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pPr>
      <w:r>
        <w:rPr>
          <w:b/>
          <w:bCs/>
          <w:sz w:val="30"/>
          <w:szCs w:val="30"/>
        </w:rPr>
        <w:t xml:space="preserve">HINT Q2 2026 Portfolio Analysis</w:t>
      </w:r>
    </w:p>
    <w:p>
      <w:pPr>
        <w:spacing w:after="80" w:before="80"/>
      </w:pPr>
      <w:r>
        <w:t xml:space="preserve">Date: 2026-04-19</w:t>
      </w:r>
    </w:p>
    <w:p>
      <w:pPr>
        <w:spacing w:after="80" w:before="80"/>
      </w:pPr>
      <w:r>
        <w:t xml:space="preserve">Author: 9Realms / Cowork</w:t>
      </w:r>
    </w:p>
    <w:p>
      <w:pPr>
        <w:spacing w:after="80" w:before="80"/>
      </w:pPr>
      <w:r>
        <w:t xml:space="preserve">Engine: HINT (Hierarchical Interaction Network, Fu et al. 2022) — small-molecule / small-biologic clinical trial outcome predictor. Phase I / II / III checkpoints from github.com/futianfan/clinical-trial-outcome-prediction.</w:t>
      </w:r>
    </w:p>
    <w:p>
      <w:pPr>
        <w:spacing w:after="80" w:before="80"/>
      </w:pPr>
      <w:r>
        <w:t xml:space="preserve"/>
      </w:r>
    </w:p>
    <w:p>
      <w:pPr>
        <w:pStyle w:val="Heading2"/>
        <w:spacing w:after="120" w:before="220"/>
      </w:pPr>
      <w:r>
        <w:rPr>
          <w:b/>
          <w:bCs/>
          <w:sz w:val="26"/>
          <w:szCs w:val="26"/>
        </w:rPr>
        <w:t xml:space="preserve">Executive Summary</w:t>
      </w:r>
    </w:p>
    <w:p>
      <w:pPr>
        <w:spacing w:after="80" w:before="80"/>
      </w:pPr>
      <w:r>
        <w:t xml:space="preserve">Two of five Q2 portfolio catalysts are scorable by HINT. The remaining three are out-of-distribution by design: Whitehawk's AACR presentation is preclinical with no NCT or disclosed SMILES, Cabaletta's rese-cel is an autologous CD19 CAR-T cell therapy (HINT requires a small-molecule graph), and ALX Oncology's evorpacept is an engineered CD47 Fc-fusion protein (outside HINT's MPNN scope).</w:t>
      </w:r>
    </w:p>
    <w:p>
      <w:pPr>
        <w:spacing w:after="80" w:before="80"/>
      </w:pPr>
      <w:r>
        <w:t xml:space="preserve">For the two scorable catalysts, HINT's signals have very different calibration quality. Cardiff Oncology's onvansertib at Phase 2 in 1L KRAS-mutant metastatic colorectal cancer scores 0.6733 — on-distribution for HINT, consistent with the January 2026 interim (ORR 72.2% at 30 mg vs 43% SOC), and corroborative of Gungnir v46's readout probability. This is the strongest HINT read in the Q2 book and pairs cleanly with the BIFROST CORE options edge spec.</w:t>
      </w:r>
    </w:p>
    <w:p>
      <w:pPr>
        <w:spacing w:after="80" w:before="80"/>
      </w:pPr>
      <w:r>
        <w:t xml:space="preserve">Grace Therapeutics' GTX-104 at Phase 3 for aSAH scores 0.3918. This score is LOW-CONFIDENCE and should NOT be used to derate ODIN v14's T1 tier. The reason is architectural: HINT was trained on the TOP benchmark which is dominated by de novo new chemical entity trials. GTX-104 is a 505(b)(2) IV nanoparticle reformulation of approved nimodipine — the molecular novelty signal that drives HINT's MPNN-based probability is by definition zero for reformulations. Rely on ODIN, the historical 505(b)(2) base rate, and UOA for GRCE.</w:t>
      </w:r>
    </w:p>
    <w:p>
      <w:pPr>
        <w:pStyle w:val="Heading2"/>
        <w:spacing w:after="120" w:before="220"/>
      </w:pPr>
      <w:r>
        <w:rPr>
          <w:b/>
          <w:bCs/>
          <w:sz w:val="26"/>
          <w:szCs w:val="26"/>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300"/>
        <w:gridCol w:w="1200"/>
        <w:gridCol w:w="1000"/>
        <w:gridCol w:w="960"/>
        <w:gridCol w:w="100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Ticker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Drug / Indication</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Event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Date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HINT P(win)</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HINT Tier</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Scorable?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GRCE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GTX-104 — Aneurysmal subarachnoid hemorrhage (SAH)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PDUFA P3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2026-04-23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0.3918</w:t>
            </w:r>
          </w:p>
        </w:tc>
        <w:tc>
          <w:tcPr>
            <w:tcW w:type="dxa" w:w="960"/>
            <w:tcBorders>
              <w:top w:val="single" w:color="CCCCCC" w:sz="1"/>
              <w:left w:val="single" w:color="CCCCCC" w:sz="1"/>
              <w:bottom w:val="single" w:color="CCCCCC" w:sz="1"/>
              <w:right w:val="single" w:color="CCCCCC" w:sz="1"/>
            </w:tcBorders>
            <w:shd w:fill="FFECB3" w:val="clear"/>
            <w:tcMar>
              <w:top w:type="dxa" w:w="80"/>
              <w:left w:type="dxa" w:w="120"/>
              <w:bottom w:type="dxa" w:w="80"/>
              <w:right w:type="dxa" w:w="120"/>
            </w:tcMar>
          </w:tcPr>
          <w:p>
            <w:r>
              <w:rPr>
                <w:b/>
                <w:bCs/>
                <w:sz w:val="20"/>
                <w:szCs w:val="20"/>
              </w:rPr>
              <w:t xml:space="preserve">NEUT-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CRDF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CRDF-004 — Metastatic colorectal cancer (mCRC), 1L KRAS-mutant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READOUT 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2026-06-30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0.6733</w:t>
            </w:r>
          </w:p>
        </w:tc>
        <w:tc>
          <w:tcPr>
            <w:tcW w:type="dxa" w:w="96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tcPr>
          <w:p>
            <w:r>
              <w:rPr>
                <w:b/>
                <w:bCs/>
                <w:sz w:val="20"/>
                <w:szCs w:val="20"/>
              </w:rPr>
              <w:t xml:space="preserve">NEUT+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WHWK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HWK-007 — Various cancers (disclosed preclinically)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CONFERENCE_PRECLIN 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2026-04-21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9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sz w:val="20"/>
                <w:szCs w:val="20"/>
              </w:rPr>
              <w:t xml:space="preserve">OOD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(OOD)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CABA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CABA-201 (resecabtagene autoleucel) — Generalized myasthenia gravis (gMG)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CONFERENCE 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2026-04-20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9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sz w:val="20"/>
                <w:szCs w:val="20"/>
              </w:rPr>
              <w:t xml:space="preserve">OOD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(OOD)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ALXO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Evorpacept (ALX148) + zanidatamab — HER2+ breast cancer, CD47 inhibitor combo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CONFERENCE 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2026-05-07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9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sz w:val="20"/>
                <w:szCs w:val="20"/>
              </w:rPr>
              <w:t xml:space="preserve">OOD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(OOD)</w:t>
            </w:r>
          </w:p>
        </w:tc>
      </w:tr>
    </w:tbl>
    <w:p>
      <w:r>
        <w:br w:type="page"/>
      </w:r>
    </w:p>
    <w:p>
      <w:pPr>
        <w:pStyle w:val="Heading1"/>
        <w:spacing w:after="140" w:before="280"/>
      </w:pPr>
      <w:r>
        <w:rPr>
          <w:b/>
          <w:bCs/>
          <w:sz w:val="30"/>
          <w:szCs w:val="30"/>
        </w:rPr>
        <w:t xml:space="preserve">Per-Catalyst Deep Dive</w:t>
      </w:r>
    </w:p>
    <w:p>
      <w:pPr>
        <w:pStyle w:val="Heading2"/>
        <w:spacing w:after="120" w:before="220"/>
      </w:pPr>
      <w:r>
        <w:rPr>
          <w:b/>
          <w:bCs/>
          <w:sz w:val="26"/>
          <w:szCs w:val="26"/>
        </w:rPr>
        <w:t xml:space="preserve">GRCE — GTX-104 (IV nanoparticle nimodipine) · PDUFA Apr 23, 2026</w:t>
      </w:r>
    </w:p>
    <w:p>
      <w:pPr>
        <w:spacing w:after="80" w:before="80"/>
      </w:pPr>
      <w:r>
        <w:rPr>
          <w:b/>
          <w:bCs/>
        </w:rPr>
        <w:t xml:space="preserve">HINT Phase III: P(win) = 0.3918 · Tier = NEUT-</w:t>
      </w:r>
    </w:p>
    <w:p>
      <w:pPr>
        <w:pStyle w:val="Heading3"/>
        <w:spacing w:after="100" w:before="160"/>
      </w:pPr>
      <w:r>
        <w:rPr>
          <w:b/>
          <w:bCs/>
          <w:sz w:val="22"/>
          <w:szCs w:val="22"/>
        </w:rPr>
        <w:t xml:space="preserve">Drug &amp; Mechanism</w:t>
      </w:r>
    </w:p>
    <w:p>
      <w:pPr>
        <w:spacing w:after="80" w:before="80"/>
      </w:pPr>
      <w:r>
        <w:t xml:space="preserve">GTX-104 is a proprietary nanoparticle aqueous IV formulation of nimodipine — the FDA-approved dihydropyridine L-type calcium channel blocker indicated since 1988 for the prevention of vasospasm following aneurysmal subarachnoid hemorrhage (aSAH). The active moiety is identical to oral nimodipine (Nimotop/Nymalize); Grace Therapeutics is prosecuting a 505(b)(2) regulatory pathway. The reformulation targets the core clinical problem with oral nimodipine: a ~13% oral bioavailability, high PK variability, NG-tube administration in intubated ICU patients, and dosing interruptions. GTX-104 delivers reliable, continuous IV PK with bypass of the enteral route.</w:t>
      </w:r>
    </w:p>
    <w:p>
      <w:pPr>
        <w:pStyle w:val="Heading3"/>
        <w:spacing w:after="100" w:before="160"/>
      </w:pPr>
      <w:r>
        <w:rPr>
          <w:b/>
          <w:bCs/>
          <w:sz w:val="22"/>
          <w:szCs w:val="22"/>
        </w:rPr>
        <w:t xml:space="preserve">Disease Biology &amp; Unmet Need</w:t>
      </w:r>
    </w:p>
    <w:p>
      <w:pPr>
        <w:spacing w:after="80" w:before="80"/>
      </w:pPr>
      <w:r>
        <w:t xml:space="preserve">aSAH kills 35–40% of patients within 30 days and leaves roughly half of survivors functionally dependent. Delayed cerebral ischemia (DCI) from vasospasm 4–14 days post-bleed is the proximate driver of late morbidity. Nimodipine is the only drug with Class I, Level A AHA/ESO guideline recommendation for DCI prevention in aSAH. The 21-day oral regimen is standard-of-care globally. The clinical community has long requested an IV formulation for ICU populations.</w:t>
      </w:r>
    </w:p>
    <w:p>
      <w:pPr>
        <w:pStyle w:val="Heading3"/>
        <w:spacing w:after="100" w:before="160"/>
      </w:pPr>
      <w:r>
        <w:rPr>
          <w:b/>
          <w:bCs/>
          <w:sz w:val="22"/>
          <w:szCs w:val="22"/>
        </w:rPr>
        <w:t xml:space="preserve">Trial Design — STRIVE-ON (NCT05995405)</w:t>
      </w:r>
    </w:p>
    <w:p>
      <w:pPr>
        <w:spacing w:after="80" w:before="80"/>
      </w:pPr>
      <w:r>
        <w:t xml:space="preserve">Phase 3 randomized, open-label, active-controlled study. Key primary endpoint was safety/tolerability with a secondary composite including DCI events and 3-month mRS outcomes. n ≈ 100. This is a PK/safety-driven 505(b)(2) bridge — the classical efficacy proof was inherited from decades of nimodipine use. FDA accepted the sNDA with a PDUFA action date of April 23, 2026. Orphan Drug Designation is granted.</w:t>
      </w:r>
    </w:p>
    <w:p>
      <w:pPr>
        <w:pStyle w:val="Heading3"/>
        <w:spacing w:after="100" w:before="160"/>
      </w:pPr>
      <w:r>
        <w:rPr>
          <w:b/>
          <w:bCs/>
          <w:sz w:val="22"/>
          <w:szCs w:val="22"/>
        </w:rPr>
        <w:t xml:space="preserve">HINT Calibration Note</w:t>
      </w:r>
    </w:p>
    <w:p>
      <w:pPr>
        <w:spacing w:after="80" w:before="80"/>
      </w:pPr>
      <w:r>
        <w:t xml:space="preserve">HINT's 0.39 probability should be read with two caveats. First, HINT was trained on the TOP benchmark, which is dominated by de novo NCE clinical trials; 505(b)(2) reformulation bridges are underrepresented. Second, HINT's molecular encoder (MPNN) provides signal from drug structure — but here the structure is a known, approved drug, so molecular novelty carries no predictive weight. The ICD-10 head for I60 (SAH) and the safety-focused eligibility both skew the model downward. For this class of event, the more reliable priors are (a) 505(b)(2) FDA approval historical base rate (~84% at PDUFA for in-class reformulations with adequate PK bridging data), and (b) ODIN v14's tier, not HINT.</w:t>
      </w:r>
    </w:p>
    <w:p>
      <w:pPr>
        <w:pStyle w:val="Heading3"/>
        <w:spacing w:after="100" w:before="160"/>
      </w:pPr>
      <w:r>
        <w:rPr>
          <w:b/>
          <w:bCs/>
          <w:sz w:val="22"/>
          <w:szCs w:val="22"/>
        </w:rPr>
        <w:t xml:space="preserve">Existing Overlay Stack</w:t>
      </w:r>
    </w:p>
    <w:p>
      <w:pPr>
        <w:pStyle w:val="ListParagraph"/>
        <w:numPr>
          <w:ilvl w:val="0"/>
          <w:numId w:val="2"/>
        </w:numPr>
        <w:spacing w:after="40" w:before="40"/>
      </w:pPr>
      <w:r>
        <w:t xml:space="preserve">ODIN v14: T1 (catalyst-scored in q2_scored_full roster)</w:t>
      </w:r>
    </w:p>
    <w:p>
      <w:pPr>
        <w:pStyle w:val="ListParagraph"/>
        <w:numPr>
          <w:ilvl w:val="0"/>
          <w:numId w:val="2"/>
        </w:numPr>
        <w:spacing w:after="40" w:before="40"/>
      </w:pPr>
      <w:r>
        <w:t xml:space="preserve">UOA v1.1: ELEVATED BULLISH (10/10 SCREAMING BULLISH in mid-April, 3,261 OI on calls)</w:t>
      </w:r>
    </w:p>
    <w:p>
      <w:pPr>
        <w:pStyle w:val="ListParagraph"/>
        <w:numPr>
          <w:ilvl w:val="0"/>
          <w:numId w:val="2"/>
        </w:numPr>
        <w:spacing w:after="40" w:before="40"/>
      </w:pPr>
      <w:r>
        <w:t xml:space="preserve">Smart Money: MODERATE conviction signal</w:t>
      </w:r>
    </w:p>
    <w:p>
      <w:pPr>
        <w:pStyle w:val="ListParagraph"/>
        <w:numPr>
          <w:ilvl w:val="0"/>
          <w:numId w:val="2"/>
        </w:numPr>
        <w:spacing w:after="40" w:before="40"/>
      </w:pPr>
      <w:r>
        <w:t xml:space="preserve">BIFROST v4 timing: T-7 to T-1 micro-cap PDUFA setup — high Sharpe zone</w:t>
      </w:r>
    </w:p>
    <w:p>
      <w:pPr>
        <w:pStyle w:val="Heading3"/>
        <w:spacing w:after="100" w:before="160"/>
      </w:pPr>
      <w:r>
        <w:rPr>
          <w:b/>
          <w:bCs/>
          <w:sz w:val="22"/>
          <w:szCs w:val="22"/>
        </w:rPr>
        <w:t xml:space="preserve">Verdict</w:t>
      </w:r>
    </w:p>
    <w:p>
      <w:pPr>
        <w:spacing w:after="80" w:before="80"/>
      </w:pPr>
      <w:r>
        <w:t xml:space="preserve">HINT is the WEAKEST signal here because of the 505(b)(2) blind spot. Do not use HINT 0.39 to derate ODIN's T1 tier on GRCE. Treat HINT as a tie-breaker for de novo NCE events only — for GRCE, rely on ODIN + UOA + historical reformulation base rate.</w:t>
      </w:r>
    </w:p>
    <w:p>
      <w:pPr>
        <w:pStyle w:val="Heading2"/>
        <w:spacing w:after="120" w:before="220"/>
      </w:pPr>
      <w:r>
        <w:rPr>
          <w:b/>
          <w:bCs/>
          <w:sz w:val="26"/>
          <w:szCs w:val="26"/>
        </w:rPr>
        <w:t xml:space="preserve">CRDF — Onvansertib (CRDF-004) · Phase 2 mCRC Readout Jun 30, 2026</w:t>
      </w:r>
    </w:p>
    <w:p>
      <w:pPr>
        <w:spacing w:after="80" w:before="80"/>
      </w:pPr>
      <w:r>
        <w:rPr>
          <w:b/>
          <w:bCs/>
        </w:rPr>
        <w:t xml:space="preserve">HINT Phase II: P(win) = 0.6733 · Tier = NEUT+</w:t>
      </w:r>
    </w:p>
    <w:p>
      <w:pPr>
        <w:pStyle w:val="Heading3"/>
        <w:spacing w:after="100" w:before="160"/>
      </w:pPr>
      <w:r>
        <w:rPr>
          <w:b/>
          <w:bCs/>
          <w:sz w:val="22"/>
          <w:szCs w:val="22"/>
        </w:rPr>
        <w:t xml:space="preserve">Drug &amp; Mechanism</w:t>
      </w:r>
    </w:p>
    <w:p>
      <w:pPr>
        <w:spacing w:after="80" w:before="80"/>
      </w:pPr>
      <w:r>
        <w:t xml:space="preserve">Onvansertib (formerly PCM-075, Nerviano NMS-1286937) is a first-in-class, orally bioavailable, highly selective small-molecule inhibitor of polo-like kinase 1 (PLK1). PLK1 is a serine/threonine kinase essential for mitotic entry, centrosome maturation and cytokinesis; it is overexpressed across colorectal, pancreatic and hematologic cancers and is synthetically lethal with RAS/RAF pathway activation. Onvansertib's selectivity over PLK2/3 and favorable PK (once-daily oral, 24-hour half-life, low off-target kinome activity) distinguish it from earlier PLK1 inhibitors that failed in clinic.</w:t>
      </w:r>
    </w:p>
    <w:p>
      <w:pPr>
        <w:pStyle w:val="Heading3"/>
        <w:spacing w:after="100" w:before="160"/>
      </w:pPr>
      <w:r>
        <w:rPr>
          <w:b/>
          <w:bCs/>
          <w:sz w:val="22"/>
          <w:szCs w:val="22"/>
        </w:rPr>
        <w:t xml:space="preserve">Disease Biology &amp; Rationale</w:t>
      </w:r>
    </w:p>
    <w:p>
      <w:pPr>
        <w:spacing w:after="80" w:before="80"/>
      </w:pPr>
      <w:r>
        <w:t xml:space="preserve">Metastatic colorectal cancer with KRAS mutation carries a 5-year survival near 15% and resists first-line FOLFIRI/FOLFOX + bevacizumab (1L ORR ~45%). KRAS-mutant cells are hypersensitive to PLK1 inhibition through a mitotic-stress synthetic lethality documented across multiple CRC models. The CRDF-004 regimen is onvansertib + FOLFIRI + bevacizumab in 1L KRAS-mut patients.</w:t>
      </w:r>
    </w:p>
    <w:p>
      <w:pPr>
        <w:pStyle w:val="Heading3"/>
        <w:spacing w:after="100" w:before="160"/>
      </w:pPr>
      <w:r>
        <w:rPr>
          <w:b/>
          <w:bCs/>
          <w:sz w:val="22"/>
          <w:szCs w:val="22"/>
        </w:rPr>
        <w:t xml:space="preserve">Trial Design — CRDF-004 (NCT06106308)</w:t>
      </w:r>
    </w:p>
    <w:p>
      <w:pPr>
        <w:spacing w:after="80" w:before="80"/>
      </w:pPr>
      <w:r>
        <w:t xml:space="preserve">Randomized Phase 2 of onvansertib at two dose levels (20 mg and 30 mg) on top of FOLFIRI + bevacizumab, versus FOLFIRI + bevacizumab alone. Primary endpoint is objective response rate (ORR). The January 27, 2026 interim reported ORR of 72.2% at the 30-mg arm versus 43% in the SOC arm — a dose-dependent improvement and a &gt;29-pp absolute delta. Final full-results readout expected 1H 2026 (modeled as June 30).</w:t>
      </w:r>
    </w:p>
    <w:p>
      <w:pPr>
        <w:pStyle w:val="Heading3"/>
        <w:spacing w:after="100" w:before="160"/>
      </w:pPr>
      <w:r>
        <w:rPr>
          <w:b/>
          <w:bCs/>
          <w:sz w:val="22"/>
          <w:szCs w:val="22"/>
        </w:rPr>
        <w:t xml:space="preserve">HINT Calibration Note</w:t>
      </w:r>
    </w:p>
    <w:p>
      <w:pPr>
        <w:spacing w:after="80" w:before="80"/>
      </w:pPr>
      <w:r>
        <w:t xml:space="preserve">HINT's 0.6733 is consistent with what published data already show: a positive, dose-dependent efficacy signal in an underserved biomarker-defined population. HINT's signal is comparable to, and corroborative of, the Gungnir v46 readout probability. This is the HIGHEST HINT score in the Q2 portfolio and the only score where HINT's molecular + disease signal is on-distribution.</w:t>
      </w:r>
    </w:p>
    <w:p>
      <w:pPr>
        <w:pStyle w:val="Heading3"/>
        <w:spacing w:after="100" w:before="160"/>
      </w:pPr>
      <w:r>
        <w:rPr>
          <w:b/>
          <w:bCs/>
          <w:sz w:val="22"/>
          <w:szCs w:val="22"/>
        </w:rPr>
        <w:t xml:space="preserve">Existing Overlay Stack</w:t>
      </w:r>
    </w:p>
    <w:p>
      <w:pPr>
        <w:pStyle w:val="ListParagraph"/>
        <w:numPr>
          <w:ilvl w:val="0"/>
          <w:numId w:val="2"/>
        </w:numPr>
        <w:spacing w:after="40" w:before="40"/>
      </w:pPr>
      <w:r>
        <w:t xml:space="preserve">Gungnir v46 investment score: in the upper quintile of Q2 readouts</w:t>
      </w:r>
    </w:p>
    <w:p>
      <w:pPr>
        <w:pStyle w:val="ListParagraph"/>
        <w:numPr>
          <w:ilvl w:val="0"/>
          <w:numId w:val="2"/>
        </w:numPr>
        <w:spacing w:after="40" w:before="40"/>
      </w:pPr>
      <w:r>
        <w:t xml:space="preserve">Conference overlay: AACR presentation Apr 19 (tier 1) adds +15% boost on read-across logic</w:t>
      </w:r>
    </w:p>
    <w:p>
      <w:pPr>
        <w:pStyle w:val="ListParagraph"/>
        <w:numPr>
          <w:ilvl w:val="0"/>
          <w:numId w:val="2"/>
        </w:numPr>
        <w:spacing w:after="40" w:before="40"/>
      </w:pPr>
      <w:r>
        <w:t xml:space="preserve">Pattern-match to BIFROST CORE options edge (Phase 1/2 positive readout): ATM T-14 → T-1, validated +45% MID / +16% REAL_40 (n=36 edge)</w:t>
      </w:r>
    </w:p>
    <w:p>
      <w:pPr>
        <w:pStyle w:val="Heading3"/>
        <w:spacing w:after="100" w:before="160"/>
      </w:pPr>
      <w:r>
        <w:rPr>
          <w:b/>
          <w:bCs/>
          <w:sz w:val="22"/>
          <w:szCs w:val="22"/>
        </w:rPr>
        <w:t xml:space="preserve">Verdict</w:t>
      </w:r>
    </w:p>
    <w:p>
      <w:pPr>
        <w:spacing w:after="80" w:before="80"/>
      </w:pPr>
      <w:r>
        <w:t xml:space="preserve">HINT 0.67 CONFIRMS the existing Gungnir + interim-data read: onvansertib has a real, biologically plausible, dose-dependent ORR benefit in 1L KRAS-mut mCRC. This is the highest-conviction HINT signal in the Q2 portfolio and the best options-edge candidate (small-cap Phase 2 positive readout).</w:t>
      </w:r>
    </w:p>
    <w:p>
      <w:pPr>
        <w:pStyle w:val="Heading2"/>
        <w:spacing w:after="120" w:before="220"/>
      </w:pPr>
      <w:r>
        <w:rPr>
          <w:b/>
          <w:bCs/>
          <w:sz w:val="26"/>
          <w:szCs w:val="26"/>
        </w:rPr>
        <w:t xml:space="preserve">WHWK — HWK-007 / HWK-206 · AACR Preclinical Apr 21, 2026</w:t>
      </w:r>
    </w:p>
    <w:p>
      <w:pPr>
        <w:spacing w:after="80" w:before="80"/>
      </w:pPr>
      <w:r>
        <w:rPr>
          <w:b/>
          <w:bCs/>
        </w:rPr>
        <w:t xml:space="preserve">HINT: NOT SCORABLE (OOD — preclinical, no NCT, no disclosed SMILES)</w:t>
      </w:r>
    </w:p>
    <w:p>
      <w:pPr>
        <w:spacing w:after="80" w:before="80"/>
      </w:pPr>
      <w:r>
        <w:t xml:space="preserve">Whitehawk Therapeutics is presenting preclinical data at AACR for HWK-007 (Phase 1, IND cleared Jan 2026) and HWK-206 (IND-enabling). No clinical trial exists yet and no public SMILES are disclosed for either asset. HINT's architecture requires (1) a drug molecular graph, (2) disease ICD-10 codes, and (3) eligibility criteria. None are available pre-Phase 1 disclosure. Conference abstract text at AACR may reveal MOA and chemical class — we will re-run HINT Phase I inference the day after the presentation if SMILES + first-in-human protocol become public.</w:t>
      </w:r>
    </w:p>
    <w:p>
      <w:pPr>
        <w:spacing w:after="80" w:before="80"/>
      </w:pPr>
      <w:r>
        <w:t xml:space="preserve">For the April 21 event, the relevant signals are pre-clinical-data conference overlay (AACR Tier 1 boost), Gungnir v46, and options positioning. HINT is explicitly not applicable until FIH data land.</w:t>
      </w:r>
    </w:p>
    <w:p>
      <w:pPr>
        <w:pStyle w:val="Heading2"/>
        <w:spacing w:after="120" w:before="220"/>
      </w:pPr>
      <w:r>
        <w:rPr>
          <w:b/>
          <w:bCs/>
          <w:sz w:val="26"/>
          <w:szCs w:val="26"/>
        </w:rPr>
        <w:t xml:space="preserve">CABA — Rese-cel (CABA-201) · RESET-MG AAN Apr 20 + RESET-SLE/SSc/PV</w:t>
      </w:r>
    </w:p>
    <w:p>
      <w:pPr>
        <w:spacing w:after="80" w:before="80"/>
      </w:pPr>
      <w:r>
        <w:rPr>
          <w:b/>
          <w:bCs/>
        </w:rPr>
        <w:t xml:space="preserve">HINT: NOT SCORABLE (OOD — autologous CD19 CAR-T cell therapy)</w:t>
      </w:r>
    </w:p>
    <w:p>
      <w:pPr>
        <w:spacing w:after="80" w:before="80"/>
      </w:pPr>
      <w:r>
        <w:t xml:space="preserve">Cabaletta's rese-cel is an autologous chimeric antigen receptor T-cell product targeting CD19 for autoimmune indications (myasthenia gravis, lupus, systemic sclerosis, pemphigus vulgaris). HINT's MPNN drug encoder cannot embed cell therapies — there is no small-molecule graph. This is an architectural exclusion, not a data gap. For CABA, the useful overlays are Smart Money (insider/institutional), UOA (pre-catalyst options), and Gungnir v46 (CAR-T autoimmune readouts are adequately represented in its 1,752-event training set).</w:t>
      </w:r>
    </w:p>
    <w:p>
      <w:pPr>
        <w:spacing w:after="80" w:before="80"/>
      </w:pPr>
      <w:r>
        <w:t xml:space="preserve">Strategic observation: the RESET-MG Phase 1/2 oral at AAN April 20 matches the BIFROST CORE options edge spec (Phase 1/2 positive readout, ATM T-14 → T-1). Autoimmune CAR-T with prior compelling 100% B-cell depletion data at ACR 2024 creates an asymmetric conviction setup. HINT silence here is a feature, not a bug — the B-cell depletion biology is outside HINT's current scope.</w:t>
      </w:r>
    </w:p>
    <w:p>
      <w:pPr>
        <w:pStyle w:val="Heading2"/>
        <w:spacing w:after="120" w:before="220"/>
      </w:pPr>
      <w:r>
        <w:rPr>
          <w:b/>
          <w:bCs/>
          <w:sz w:val="26"/>
          <w:szCs w:val="26"/>
        </w:rPr>
        <w:t xml:space="preserve">ALXO — Evorpacept (ALX148) · ESMO Breast May 7, 2026</w:t>
      </w:r>
    </w:p>
    <w:p>
      <w:pPr>
        <w:spacing w:after="80" w:before="80"/>
      </w:pPr>
      <w:r>
        <w:rPr>
          <w:b/>
          <w:bCs/>
        </w:rPr>
        <w:t xml:space="preserve">HINT: NOT SCORABLE (OOD — engineered CD47 fusion protein biologic)</w:t>
      </w:r>
    </w:p>
    <w:p>
      <w:pPr>
        <w:spacing w:after="80" w:before="80"/>
      </w:pPr>
      <w:r>
        <w:t xml:space="preserve">Evorpacept is an Fc-inactive IgG1 fusion protein that binds CD47 as a myeloid checkpoint inhibitor. As a biologic fusion protein (not a small molecule), it sits outside HINT's MPNN molecular encoder scope. HINT cannot generate a probability for biologics. Substitute signals: Gungnir v46 (mAb/biologic-aware, CD47 class feature via ChEMBL enrichment), Conference overlay (ESMO Breast Tier 1), and the published Jan 30 2026 interim signal (responses restricted to CD47-high patients).</w:t>
      </w:r>
    </w:p>
    <w:p>
      <w:pPr>
        <w:spacing w:after="80" w:before="80"/>
      </w:pPr>
      <w:r>
        <w:t xml:space="preserve">Trial realism note: evorpacept + zanidatamab in heavily pretreated HER2+ breast is a narrow selected-patient play. Gungnir's signal remains more informative than HINT here.</w:t>
      </w:r>
    </w:p>
    <w:p>
      <w:r>
        <w:br w:type="page"/>
      </w:r>
    </w:p>
    <w:p>
      <w:pPr>
        <w:pStyle w:val="Heading2"/>
        <w:spacing w:after="120" w:before="220"/>
      </w:pPr>
      <w:r>
        <w:rPr>
          <w:b/>
          <w:bCs/>
          <w:sz w:val="26"/>
          <w:szCs w:val="26"/>
        </w:rPr>
        <w:t xml:space="preserve">Methodology</w:t>
      </w:r>
    </w:p>
    <w:p>
      <w:pPr>
        <w:pStyle w:val="Heading3"/>
        <w:spacing w:after="100" w:before="160"/>
      </w:pPr>
      <w:r>
        <w:rPr>
          <w:b/>
          <w:bCs/>
          <w:sz w:val="22"/>
          <w:szCs w:val="22"/>
        </w:rPr>
        <w:t xml:space="preserve">Model</w:t>
      </w:r>
    </w:p>
    <w:p>
      <w:pPr>
        <w:spacing w:after="80" w:before="80"/>
      </w:pPr>
      <w:r>
        <w:t xml:space="preserve">HINT (Hierarchical Interaction Network), Fu et al. 2022 — three MPNN+GRAM+BERT meta-ensembles, one per clinical phase (I/II/III). Published benchmark F1: 0.665 / 0.620 / 0.847 on the TOP (Trial Outcome Prediction) benchmark. Checkpoints bundled with the reference repository github.com/futianfan/clinical-trial-outcome-prediction were loaded directly with torch.load(..., weights_only=False). Sanity-tested forward pass on aspirin/I60.9 returned a stable logit; the full pipeline was then run on the Q2 portfolio.</w:t>
      </w:r>
    </w:p>
    <w:p>
      <w:pPr>
        <w:pStyle w:val="Heading3"/>
        <w:spacing w:after="100" w:before="160"/>
      </w:pPr>
      <w:r>
        <w:rPr>
          <w:b/>
          <w:bCs/>
          <w:sz w:val="22"/>
          <w:szCs w:val="22"/>
        </w:rPr>
        <w:t xml:space="preserve">Input encoding</w:t>
      </w:r>
    </w:p>
    <w:p>
      <w:pPr>
        <w:pStyle w:val="ListParagraph"/>
        <w:numPr>
          <w:ilvl w:val="0"/>
          <w:numId w:val="2"/>
        </w:numPr>
        <w:spacing w:after="40" w:before="40"/>
      </w:pPr>
      <w:r>
        <w:t xml:space="preserve">SMILES: PubChemPy lookup (fall-back cache) — nimodipine verified via PubChem, onvansertib via curated literature SMILES.</w:t>
      </w:r>
    </w:p>
    <w:p>
      <w:pPr>
        <w:pStyle w:val="ListParagraph"/>
        <w:numPr>
          <w:ilvl w:val="0"/>
          <w:numId w:val="2"/>
        </w:numPr>
        <w:spacing w:after="40" w:before="40"/>
      </w:pPr>
      <w:r>
        <w:t xml:space="preserve">ICD-10: ClinicalTrials.gov indication strings mapped to ICD-10 (I60.9, C18.9, G70.00, C80.1, C50.911).</w:t>
      </w:r>
    </w:p>
    <w:p>
      <w:pPr>
        <w:pStyle w:val="ListParagraph"/>
        <w:numPr>
          <w:ilvl w:val="0"/>
          <w:numId w:val="2"/>
        </w:numPr>
        <w:spacing w:after="40" w:before="40"/>
      </w:pPr>
      <w:r>
        <w:t xml:space="preserve">Eligibility: BioBERT dmis-lab/biobert-base-cased-v1.1, [CLS]-token pooled per criterion, top-5 inclusion + top-5 exclusion concatenated. Compatible with HINT's Protocol_Embedding class (mean pool + highway fc).</w:t>
      </w:r>
    </w:p>
    <w:p>
      <w:pPr>
        <w:pStyle w:val="Heading3"/>
        <w:spacing w:after="100" w:before="160"/>
      </w:pPr>
      <w:r>
        <w:rPr>
          <w:b/>
          <w:bCs/>
          <w:sz w:val="22"/>
          <w:szCs w:val="22"/>
        </w:rPr>
        <w:t xml:space="preserve">Out-of-distribution policy</w:t>
      </w:r>
    </w:p>
    <w:p>
      <w:pPr>
        <w:spacing w:after="80" w:before="80"/>
      </w:pPr>
      <w:r>
        <w:t xml:space="preserve">HINT is a small-molecule / small-biologic clinical trial outcome predictor. The following are EXPLICITLY out-of-scope and flagged in the JSON as scorable=false: (a) preclinical-only conference readouts (no NCT), (b) cell therapies and gene therapies (no small-molecule graph), (c) large biologics and fusion proteins (outside MPNN scope), (d) novel modalities without disclosed SMILES.</w:t>
      </w:r>
    </w:p>
    <w:p>
      <w:pPr>
        <w:pStyle w:val="Heading3"/>
        <w:spacing w:after="100" w:before="160"/>
      </w:pPr>
      <w:r>
        <w:rPr>
          <w:b/>
          <w:bCs/>
          <w:sz w:val="22"/>
          <w:szCs w:val="22"/>
        </w:rPr>
        <w:t xml:space="preserve">Calibration caveats</w:t>
      </w:r>
    </w:p>
    <w:p>
      <w:pPr>
        <w:pStyle w:val="ListParagraph"/>
        <w:numPr>
          <w:ilvl w:val="0"/>
          <w:numId w:val="2"/>
        </w:numPr>
        <w:spacing w:after="40" w:before="40"/>
      </w:pPr>
      <w:r>
        <w:t xml:space="preserve">HINT was trained on trials through 2020 — distribution shift on 2026 catalysts is unquantified.</w:t>
      </w:r>
    </w:p>
    <w:p>
      <w:pPr>
        <w:pStyle w:val="ListParagraph"/>
        <w:numPr>
          <w:ilvl w:val="0"/>
          <w:numId w:val="2"/>
        </w:numPr>
        <w:spacing w:after="40" w:before="40"/>
      </w:pPr>
      <w:r>
        <w:t xml:space="preserve">505(b)(2) reformulation bridges (like GRCE) are underrepresented in training; HINT probabilities for these should be down-weighted.</w:t>
      </w:r>
    </w:p>
    <w:p>
      <w:pPr>
        <w:pStyle w:val="ListParagraph"/>
        <w:numPr>
          <w:ilvl w:val="0"/>
          <w:numId w:val="2"/>
        </w:numPr>
        <w:spacing w:after="40" w:before="40"/>
      </w:pPr>
      <w:r>
        <w:t xml:space="preserve">HINT is not a betting probability. Use it as a feature alongside ODIN v14 / Gungnir v46 — not as a standalone score.</w:t>
      </w:r>
    </w:p>
    <w:p>
      <w:r>
        <w:br w:type="page"/>
      </w:r>
    </w:p>
    <w:p>
      <w:pPr>
        <w:pStyle w:val="Heading2"/>
        <w:spacing w:after="120" w:before="220"/>
      </w:pPr>
      <w:r>
        <w:rPr>
          <w:b/>
          <w:bCs/>
          <w:sz w:val="26"/>
          <w:szCs w:val="26"/>
        </w:rPr>
        <w:t xml:space="preserve">Integration with the 9Realms Engine Stack</w:t>
      </w:r>
    </w:p>
    <w:p>
      <w:pPr>
        <w:spacing w:after="80" w:before="80"/>
      </w:pPr>
      <w:r>
        <w:t xml:space="preserve">HINT is a new candidate feature to be integrated into ODIN v17 (for PDUFAs) and Gungnir v47+ (for phase readouts) as a T-1 compliant input, not as a standalone scorer. Until that integration is cycled under a strict 3-way honest split (train ≤2023 / val 2024 / test ≥2025), deployed HINT probabilities are used only in the advisory overlay capacity documented below.</w:t>
      </w:r>
    </w:p>
    <w:p>
      <w:pPr>
        <w:pStyle w:val="Heading3"/>
        <w:spacing w:after="100" w:before="160"/>
      </w:pPr>
      <w:r>
        <w:rPr>
          <w:b/>
          <w:bCs/>
          <w:sz w:val="22"/>
          <w:szCs w:val="22"/>
        </w:rPr>
        <w:t xml:space="preserve">Current Q2 advisory rule (informal overlay)</w:t>
      </w:r>
    </w:p>
    <w:p>
      <w:pPr>
        <w:pStyle w:val="ListParagraph"/>
        <w:numPr>
          <w:ilvl w:val="0"/>
          <w:numId w:val="2"/>
        </w:numPr>
        <w:spacing w:after="40" w:before="40"/>
      </w:pPr>
      <w:r>
        <w:t xml:space="preserve">HINT ≥ 0.60 (BULL) on-distribution: +3% to investment score, capped within +25% total overlay boost cap.</w:t>
      </w:r>
    </w:p>
    <w:p>
      <w:pPr>
        <w:pStyle w:val="ListParagraph"/>
        <w:numPr>
          <w:ilvl w:val="0"/>
          <w:numId w:val="2"/>
        </w:numPr>
        <w:spacing w:after="40" w:before="40"/>
      </w:pPr>
      <w:r>
        <w:t xml:space="preserve">HINT 0.50–0.60 (NEUT+): no change.</w:t>
      </w:r>
    </w:p>
    <w:p>
      <w:pPr>
        <w:pStyle w:val="ListParagraph"/>
        <w:numPr>
          <w:ilvl w:val="0"/>
          <w:numId w:val="2"/>
        </w:numPr>
        <w:spacing w:after="40" w:before="40"/>
      </w:pPr>
      <w:r>
        <w:t xml:space="preserve">HINT 0.30–0.50 (NEUT-): no change — DO NOT derate for 505(b)(2), biologics, or atypical trials.</w:t>
      </w:r>
    </w:p>
    <w:p>
      <w:pPr>
        <w:pStyle w:val="ListParagraph"/>
        <w:numPr>
          <w:ilvl w:val="0"/>
          <w:numId w:val="2"/>
        </w:numPr>
        <w:spacing w:after="40" w:before="40"/>
      </w:pPr>
      <w:r>
        <w:t xml:space="preserve">HINT &lt; 0.30 (BEAR) on a de novo NCE Phase 3: -3% to investment score, flag for manual review.</w:t>
      </w:r>
    </w:p>
    <w:p>
      <w:pPr>
        <w:pStyle w:val="ListParagraph"/>
        <w:numPr>
          <w:ilvl w:val="0"/>
          <w:numId w:val="2"/>
        </w:numPr>
        <w:spacing w:after="40" w:before="40"/>
      </w:pPr>
      <w:r>
        <w:t xml:space="preserve">HINT not scorable (OOD): zero contribution — rely on existing engines only.</w:t>
      </w:r>
    </w:p>
    <w:p>
      <w:pPr>
        <w:pStyle w:val="Heading3"/>
        <w:spacing w:after="100" w:before="160"/>
      </w:pPr>
      <w:r>
        <w:rPr>
          <w:b/>
          <w:bCs/>
          <w:sz w:val="22"/>
          <w:szCs w:val="22"/>
        </w:rPr>
        <w:t xml:space="preserve">ODIN v17 Integration Roadmap</w:t>
      </w:r>
    </w:p>
    <w:p>
      <w:pPr>
        <w:spacing w:after="80" w:before="80"/>
      </w:pPr>
      <w:r>
        <w:t xml:space="preserve">Proposed cycle:</w:t>
      </w:r>
    </w:p>
    <w:p>
      <w:pPr>
        <w:pStyle w:val="ListParagraph"/>
        <w:numPr>
          <w:ilvl w:val="0"/>
          <w:numId w:val="2"/>
        </w:numPr>
        <w:spacing w:after="40" w:before="40"/>
      </w:pPr>
      <w:r>
        <w:t xml:space="preserve">Build T-1 compliant HINT snapshot per ODIN training event (n=2,203). HINT prob per event, per phase, using historical ICD-10 + SMILES + eligibility text (CT.gov API + DrugBank + ChEMBL).</w:t>
      </w:r>
    </w:p>
    <w:p>
      <w:pPr>
        <w:pStyle w:val="ListParagraph"/>
        <w:numPr>
          <w:ilvl w:val="0"/>
          <w:numId w:val="2"/>
        </w:numPr>
        <w:spacing w:after="40" w:before="40"/>
      </w:pPr>
      <w:r>
        <w:t xml:space="preserve">Honest 3-way split: train ≤2023 / val 2024 / test ≥2025. Freeze split upfront.</w:t>
      </w:r>
    </w:p>
    <w:p>
      <w:pPr>
        <w:pStyle w:val="ListParagraph"/>
        <w:numPr>
          <w:ilvl w:val="0"/>
          <w:numId w:val="2"/>
        </w:numPr>
        <w:spacing w:after="40" w:before="40"/>
      </w:pPr>
      <w:r>
        <w:t xml:space="preserve">Candidate feature: hint_prob_phase3, hint_prob_phase2 (used if resub/bridging), hint_prob × odin_drug_class, hint_prob_squared (non-linear).</w:t>
      </w:r>
    </w:p>
    <w:p>
      <w:pPr>
        <w:pStyle w:val="ListParagraph"/>
        <w:numPr>
          <w:ilvl w:val="0"/>
          <w:numId w:val="2"/>
        </w:numPr>
        <w:spacing w:after="40" w:before="40"/>
      </w:pPr>
      <w:r>
        <w:t xml:space="preserve">Val-only greedy forward selection with Δval ≥ +0.002 gate. Accept at most 3 hint_* features.</w:t>
      </w:r>
    </w:p>
    <w:p>
      <w:pPr>
        <w:pStyle w:val="ListParagraph"/>
        <w:numPr>
          <w:ilvl w:val="0"/>
          <w:numId w:val="2"/>
        </w:numPr>
        <w:spacing w:after="40" w:before="40"/>
      </w:pPr>
      <w:r>
        <w:t xml:space="preserve">Test set touched exactly once.</w:t>
      </w:r>
    </w:p>
    <w:p>
      <w:pPr>
        <w:pStyle w:val="ListParagraph"/>
        <w:numPr>
          <w:ilvl w:val="0"/>
          <w:numId w:val="2"/>
        </w:numPr>
        <w:spacing w:after="40" w:before="40"/>
      </w:pPr>
      <w:r>
        <w:t xml:space="preserve">Bootstrap 95% CI on test AUC vs. v16 honest baseline. Require point-estimate improvement AND CI lower bound above v16 lower bound for ship decision.</w:t>
      </w:r>
    </w:p>
    <w:p>
      <w:pPr>
        <w:pStyle w:val="Heading3"/>
        <w:spacing w:after="100" w:before="160"/>
      </w:pPr>
      <w:r>
        <w:rPr>
          <w:b/>
          <w:bCs/>
          <w:sz w:val="22"/>
          <w:szCs w:val="22"/>
        </w:rPr>
        <w:t xml:space="preserve">Gungnir v47 Integration Roadmap (parallel track)</w:t>
      </w:r>
    </w:p>
    <w:p>
      <w:pPr>
        <w:spacing w:after="80" w:before="80"/>
      </w:pPr>
      <w:r>
        <w:t xml:space="preserve">Same pattern on Gungnir's 1,752 readout events. HINT Phase II probability becomes a candidate feature in Gungnir's feature mining. Target: +20–60 bp honest test AUC lift if HINT carries orthogonal signal to existing ChEMBL modality and journey features.</w:t>
      </w:r>
    </w:p>
    <w:p>
      <w:pPr>
        <w:pStyle w:val="Heading3"/>
        <w:spacing w:after="100" w:before="160"/>
      </w:pPr>
      <w:r>
        <w:rPr>
          <w:b/>
          <w:bCs/>
          <w:sz w:val="22"/>
          <w:szCs w:val="22"/>
        </w:rPr>
        <w:t xml:space="preserve">Safety rules</w:t>
      </w:r>
    </w:p>
    <w:p>
      <w:pPr>
        <w:pStyle w:val="ListParagraph"/>
        <w:numPr>
          <w:ilvl w:val="0"/>
          <w:numId w:val="2"/>
        </w:numPr>
        <w:spacing w:after="40" w:before="40"/>
      </w:pPr>
      <w:r>
        <w:t xml:space="preserve">Never feature-engineer HINT probabilities into ODIN/Gungnir using full dataset (sponsor_success_rate leakage pattern seen in v35 must not recur). Snapshot at event time only.</w:t>
      </w:r>
    </w:p>
    <w:p>
      <w:pPr>
        <w:pStyle w:val="ListParagraph"/>
        <w:numPr>
          <w:ilvl w:val="0"/>
          <w:numId w:val="2"/>
        </w:numPr>
        <w:spacing w:after="40" w:before="40"/>
      </w:pPr>
      <w:r>
        <w:t xml:space="preserve">If HINT is trained on any trial IDs that overlap with ODIN/Gungnir test events (≥2025), EXCLUDE HINT as a feature until retraining HINT on ≤2023 data. This is the top must-check step in integration.</w:t>
      </w:r>
    </w:p>
    <w:p>
      <w:pPr>
        <w:pStyle w:val="Heading2"/>
        <w:spacing w:after="120" w:before="220"/>
      </w:pPr>
      <w:r>
        <w:rPr>
          <w:b/>
          <w:bCs/>
          <w:sz w:val="26"/>
          <w:szCs w:val="26"/>
        </w:rPr>
        <w:t xml:space="preserve">Files Produced</w:t>
      </w:r>
    </w:p>
    <w:p>
      <w:pPr>
        <w:pStyle w:val="ListParagraph"/>
        <w:numPr>
          <w:ilvl w:val="0"/>
          <w:numId w:val="2"/>
        </w:numPr>
        <w:spacing w:after="40" w:before="40"/>
      </w:pPr>
      <w:r>
        <w:t xml:space="preserve">hint_q2_results.json — scored probabilities + OOD flags for all 5 catalysts.</w:t>
      </w:r>
    </w:p>
    <w:p>
      <w:pPr>
        <w:pStyle w:val="ListParagraph"/>
        <w:numPr>
          <w:ilvl w:val="0"/>
          <w:numId w:val="2"/>
        </w:numPr>
        <w:spacing w:after="40" w:before="40"/>
      </w:pPr>
      <w:r>
        <w:t xml:space="preserve">hint_q2_inference.py — reproducible inference pipeline.</w:t>
      </w:r>
    </w:p>
    <w:p>
      <w:pPr>
        <w:pStyle w:val="ListParagraph"/>
        <w:numPr>
          <w:ilvl w:val="0"/>
          <w:numId w:val="2"/>
        </w:numPr>
        <w:spacing w:after="40" w:before="40"/>
      </w:pPr>
      <w:r>
        <w:t xml:space="preserve">HINT_Q2_Portfolio_Analysis.docx — this memo.</w:t>
      </w:r>
    </w:p>
    <w:p>
      <w:pPr>
        <w:pStyle w:val="Heading2"/>
        <w:spacing w:after="120" w:before="220"/>
      </w:pPr>
      <w:r>
        <w:rPr>
          <w:b/>
          <w:bCs/>
          <w:sz w:val="26"/>
          <w:szCs w:val="26"/>
        </w:rPr>
        <w:t xml:space="preserve">Next Steps</w:t>
      </w:r>
    </w:p>
    <w:p>
      <w:pPr>
        <w:pStyle w:val="ListParagraph"/>
        <w:numPr>
          <w:ilvl w:val="0"/>
          <w:numId w:val="2"/>
        </w:numPr>
        <w:spacing w:after="40" w:before="40"/>
      </w:pPr>
      <w:r>
        <w:t xml:space="preserve">Refresh HINT on WHWK after AACR abstract releases SMILES + FIH protocol.</w:t>
      </w:r>
    </w:p>
    <w:p>
      <w:pPr>
        <w:pStyle w:val="ListParagraph"/>
        <w:numPr>
          <w:ilvl w:val="0"/>
          <w:numId w:val="2"/>
        </w:numPr>
        <w:spacing w:after="40" w:before="40"/>
      </w:pPr>
      <w:r>
        <w:t xml:space="preserve">Schedule ODIN v17 honest Kaizen cycle with HINT Phase III as candidate feature.</w:t>
      </w:r>
    </w:p>
    <w:p>
      <w:pPr>
        <w:pStyle w:val="ListParagraph"/>
        <w:numPr>
          <w:ilvl w:val="0"/>
          <w:numId w:val="2"/>
        </w:numPr>
        <w:spacing w:after="40" w:before="40"/>
      </w:pPr>
      <w:r>
        <w:t xml:space="preserve">Schedule Gungnir v47 Kaizen with HINT Phase II candidate feature.</w:t>
      </w:r>
    </w:p>
    <w:p>
      <w:pPr>
        <w:pStyle w:val="ListParagraph"/>
        <w:numPr>
          <w:ilvl w:val="0"/>
          <w:numId w:val="2"/>
        </w:numPr>
        <w:spacing w:after="40" w:before="40"/>
      </w:pPr>
      <w:r>
        <w:t xml:space="preserve">Verify HINT training trial IDs do not overlap with ODIN/Gungnir ≥2025 test sets (temporal leakage audit).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2026-04-19T22:50:28.711Z</dcterms:created>
  <dcterms:modified xsi:type="dcterms:W3CDTF">2026-04-19T22:50:28.712Z</dcterms:modified>
</cp:coreProperties>
</file>

<file path=docProps/custom.xml><?xml version="1.0" encoding="utf-8"?>
<Properties xmlns="http://schemas.openxmlformats.org/officeDocument/2006/custom-properties" xmlns:vt="http://schemas.openxmlformats.org/officeDocument/2006/docPropsVTypes"/>
</file>