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251C3" w14:textId="77777777" w:rsidR="00C47E0A" w:rsidRPr="00C47E0A" w:rsidRDefault="00C47E0A" w:rsidP="00C47E0A">
      <w:r w:rsidRPr="00C47E0A">
        <w:t>Here’s an urgent regulatory update that could materially affect short</w:t>
      </w:r>
      <w:r w:rsidRPr="00C47E0A">
        <w:noBreakHyphen/>
        <w:t xml:space="preserve">term sentiment around Pharming (PHAR): the FDA </w:t>
      </w:r>
      <w:r w:rsidRPr="00C47E0A">
        <w:rPr>
          <w:i/>
          <w:iCs/>
        </w:rPr>
        <w:t>has issued a Complete Response Letter (CRL)</w:t>
      </w:r>
      <w:r w:rsidRPr="00C47E0A">
        <w:t xml:space="preserve"> on the pediatric sNDA for </w:t>
      </w:r>
      <w:r w:rsidRPr="00C47E0A">
        <w:rPr>
          <w:b/>
          <w:bCs/>
        </w:rPr>
        <w:t>Joenja (leniolisib)</w:t>
      </w:r>
      <w:r w:rsidRPr="00C47E0A">
        <w:t xml:space="preserve"> in children aged 4–11, citing dosing/exposure and analytical method concerns — though the adult/adolescent approval remains intact. (</w:t>
      </w:r>
      <w:hyperlink r:id="rId5" w:tooltip="Pharming Group receives Complete Response Letter from U.S." w:history="1">
        <w:r w:rsidRPr="00C47E0A">
          <w:rPr>
            <w:rStyle w:val="Hyperlink"/>
          </w:rPr>
          <w:t>GlobeNewswire</w:t>
        </w:r>
      </w:hyperlink>
      <w:r w:rsidRPr="00C47E0A">
        <w:t>)</w:t>
      </w:r>
    </w:p>
    <w:p w14:paraId="467772CB" w14:textId="0F09C42B" w:rsidR="00C47E0A" w:rsidRPr="00C47E0A" w:rsidRDefault="00C47E0A" w:rsidP="00C47E0A">
      <w:r w:rsidRPr="00C47E0A">
        <w:rPr>
          <w:noProof/>
        </w:rPr>
        <w:drawing>
          <wp:inline distT="0" distB="0" distL="0" distR="0" wp14:anchorId="20C9AE2A" wp14:editId="7C6A2491">
            <wp:extent cx="5943600" cy="2020570"/>
            <wp:effectExtent l="0" t="0" r="0" b="0"/>
            <wp:docPr id="427923629" name="Picture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020570"/>
                    </a:xfrm>
                    <a:prstGeom prst="rect">
                      <a:avLst/>
                    </a:prstGeom>
                    <a:noFill/>
                    <a:ln>
                      <a:noFill/>
                    </a:ln>
                  </pic:spPr>
                </pic:pic>
              </a:graphicData>
            </a:graphic>
          </wp:inline>
        </w:drawing>
      </w:r>
    </w:p>
    <w:p w14:paraId="6F7BA9A0" w14:textId="203A1600" w:rsidR="00C47E0A" w:rsidRPr="00C47E0A" w:rsidRDefault="00C47E0A" w:rsidP="00C47E0A">
      <w:r w:rsidRPr="00C47E0A">
        <w:rPr>
          <w:noProof/>
        </w:rPr>
        <w:drawing>
          <wp:inline distT="0" distB="0" distL="0" distR="0" wp14:anchorId="742B400B" wp14:editId="3EB35073">
            <wp:extent cx="5943600" cy="3333115"/>
            <wp:effectExtent l="0" t="0" r="0" b="635"/>
            <wp:docPr id="19799852" name="Picture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Imag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333115"/>
                    </a:xfrm>
                    <a:prstGeom prst="rect">
                      <a:avLst/>
                    </a:prstGeom>
                    <a:noFill/>
                    <a:ln>
                      <a:noFill/>
                    </a:ln>
                  </pic:spPr>
                </pic:pic>
              </a:graphicData>
            </a:graphic>
          </wp:inline>
        </w:drawing>
      </w:r>
    </w:p>
    <w:p w14:paraId="76275968" w14:textId="58DECC3C" w:rsidR="00C47E0A" w:rsidRPr="00C47E0A" w:rsidRDefault="00C47E0A" w:rsidP="00C47E0A">
      <w:r w:rsidRPr="00C47E0A">
        <w:rPr>
          <w:noProof/>
        </w:rPr>
        <w:lastRenderedPageBreak/>
        <w:drawing>
          <wp:inline distT="0" distB="0" distL="0" distR="0" wp14:anchorId="3A44EE71" wp14:editId="21BF3079">
            <wp:extent cx="5943600" cy="5687695"/>
            <wp:effectExtent l="0" t="0" r="0" b="8255"/>
            <wp:docPr id="1125995994" name="Picture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ma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5687695"/>
                    </a:xfrm>
                    <a:prstGeom prst="rect">
                      <a:avLst/>
                    </a:prstGeom>
                    <a:noFill/>
                    <a:ln>
                      <a:noFill/>
                    </a:ln>
                  </pic:spPr>
                </pic:pic>
              </a:graphicData>
            </a:graphic>
          </wp:inline>
        </w:drawing>
      </w:r>
    </w:p>
    <w:p w14:paraId="5E9DD567" w14:textId="3B6F1CD4" w:rsidR="00C47E0A" w:rsidRPr="00C47E0A" w:rsidRDefault="00C47E0A" w:rsidP="00C47E0A">
      <w:r w:rsidRPr="00C47E0A">
        <w:rPr>
          <w:noProof/>
        </w:rPr>
        <w:lastRenderedPageBreak/>
        <w:drawing>
          <wp:inline distT="0" distB="0" distL="0" distR="0" wp14:anchorId="017C360D" wp14:editId="0923BF50">
            <wp:extent cx="5943600" cy="4334510"/>
            <wp:effectExtent l="0" t="0" r="0" b="8890"/>
            <wp:docPr id="1172290516" name="Picture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334510"/>
                    </a:xfrm>
                    <a:prstGeom prst="rect">
                      <a:avLst/>
                    </a:prstGeom>
                    <a:noFill/>
                    <a:ln>
                      <a:noFill/>
                    </a:ln>
                  </pic:spPr>
                </pic:pic>
              </a:graphicData>
            </a:graphic>
          </wp:inline>
        </w:drawing>
      </w:r>
    </w:p>
    <w:p w14:paraId="6810BC8A" w14:textId="77777777" w:rsidR="00C47E0A" w:rsidRPr="00C47E0A" w:rsidRDefault="00C47E0A" w:rsidP="00C47E0A">
      <w:r w:rsidRPr="00C47E0A">
        <w:rPr>
          <w:b/>
          <w:bCs/>
        </w:rPr>
        <w:t>Key clinical/regulatory points</w:t>
      </w:r>
    </w:p>
    <w:p w14:paraId="651DD817" w14:textId="77777777" w:rsidR="00C47E0A" w:rsidRPr="00C47E0A" w:rsidRDefault="00C47E0A" w:rsidP="00C47E0A">
      <w:pPr>
        <w:numPr>
          <w:ilvl w:val="0"/>
          <w:numId w:val="1"/>
        </w:numPr>
      </w:pPr>
      <w:r w:rsidRPr="00C47E0A">
        <w:t xml:space="preserve">The </w:t>
      </w:r>
      <w:r w:rsidRPr="00C47E0A">
        <w:rPr>
          <w:b/>
          <w:bCs/>
        </w:rPr>
        <w:t>CRL</w:t>
      </w:r>
      <w:r w:rsidRPr="00C47E0A">
        <w:t xml:space="preserve"> was issued because the FDA is not convinced that dosing in </w:t>
      </w:r>
      <w:r w:rsidRPr="00C47E0A">
        <w:rPr>
          <w:i/>
          <w:iCs/>
        </w:rPr>
        <w:t>lower</w:t>
      </w:r>
      <w:r w:rsidRPr="00C47E0A">
        <w:rPr>
          <w:i/>
          <w:iCs/>
        </w:rPr>
        <w:noBreakHyphen/>
        <w:t>weight pediatric patients achieves sufficient exposure</w:t>
      </w:r>
      <w:r w:rsidRPr="00C47E0A">
        <w:t xml:space="preserve">; the agency is requesting </w:t>
      </w:r>
      <w:r w:rsidRPr="00C47E0A">
        <w:rPr>
          <w:b/>
          <w:bCs/>
        </w:rPr>
        <w:t>additional pharmacokinetic data</w:t>
      </w:r>
      <w:r w:rsidRPr="00C47E0A">
        <w:t xml:space="preserve"> and reassessment of proposed doses. (</w:t>
      </w:r>
      <w:hyperlink r:id="rId10" w:tooltip="Pharming Group receives Complete Response Letter from U.S." w:history="1">
        <w:r w:rsidRPr="00C47E0A">
          <w:rPr>
            <w:rStyle w:val="Hyperlink"/>
          </w:rPr>
          <w:t>GlobeNewswire</w:t>
        </w:r>
      </w:hyperlink>
      <w:r w:rsidRPr="00C47E0A">
        <w:t>)</w:t>
      </w:r>
    </w:p>
    <w:p w14:paraId="44F7E204" w14:textId="77777777" w:rsidR="00C47E0A" w:rsidRPr="00C47E0A" w:rsidRDefault="00C47E0A" w:rsidP="00C47E0A">
      <w:pPr>
        <w:numPr>
          <w:ilvl w:val="0"/>
          <w:numId w:val="1"/>
        </w:numPr>
      </w:pPr>
      <w:r w:rsidRPr="00C47E0A">
        <w:t xml:space="preserve">There’s also an </w:t>
      </w:r>
      <w:r w:rsidRPr="00C47E0A">
        <w:rPr>
          <w:b/>
          <w:bCs/>
        </w:rPr>
        <w:t>analytical method issue</w:t>
      </w:r>
      <w:r w:rsidRPr="00C47E0A">
        <w:t xml:space="preserve"> flagged for production batch testing that needs clarification and additional data. (</w:t>
      </w:r>
      <w:hyperlink r:id="rId11" w:tooltip="Pharming Group receives Complete Response Letter from U.S." w:history="1">
        <w:r w:rsidRPr="00C47E0A">
          <w:rPr>
            <w:rStyle w:val="Hyperlink"/>
          </w:rPr>
          <w:t>GlobeNewswire</w:t>
        </w:r>
      </w:hyperlink>
      <w:r w:rsidRPr="00C47E0A">
        <w:t>)</w:t>
      </w:r>
    </w:p>
    <w:p w14:paraId="74A6905C" w14:textId="77777777" w:rsidR="00C47E0A" w:rsidRPr="00C47E0A" w:rsidRDefault="00C47E0A" w:rsidP="00C47E0A">
      <w:pPr>
        <w:numPr>
          <w:ilvl w:val="0"/>
          <w:numId w:val="1"/>
        </w:numPr>
      </w:pPr>
      <w:r w:rsidRPr="00C47E0A">
        <w:t xml:space="preserve">Pharming believes both issues can be addressed and plans to </w:t>
      </w:r>
      <w:r w:rsidRPr="00C47E0A">
        <w:rPr>
          <w:b/>
          <w:bCs/>
        </w:rPr>
        <w:t>request a Type A meeting</w:t>
      </w:r>
      <w:r w:rsidRPr="00C47E0A">
        <w:t xml:space="preserve"> with the FDA to clarify the path forward. (</w:t>
      </w:r>
      <w:hyperlink r:id="rId12" w:tooltip="Pharming Group receives Complete Response Letter from U.S." w:history="1">
        <w:r w:rsidRPr="00C47E0A">
          <w:rPr>
            <w:rStyle w:val="Hyperlink"/>
          </w:rPr>
          <w:t>GlobeNewswire</w:t>
        </w:r>
      </w:hyperlink>
      <w:r w:rsidRPr="00C47E0A">
        <w:t>)</w:t>
      </w:r>
    </w:p>
    <w:p w14:paraId="34FD229E" w14:textId="77777777" w:rsidR="00C47E0A" w:rsidRPr="00C47E0A" w:rsidRDefault="00C47E0A" w:rsidP="00C47E0A">
      <w:pPr>
        <w:numPr>
          <w:ilvl w:val="0"/>
          <w:numId w:val="1"/>
        </w:numPr>
      </w:pPr>
      <w:r w:rsidRPr="00C47E0A">
        <w:t xml:space="preserve">Importantly, this regulatory action </w:t>
      </w:r>
      <w:r w:rsidRPr="00C47E0A">
        <w:rPr>
          <w:b/>
          <w:bCs/>
        </w:rPr>
        <w:t>does not affect</w:t>
      </w:r>
      <w:r w:rsidRPr="00C47E0A">
        <w:t xml:space="preserve"> the existing U.S. approval of Joenja for patients 12</w:t>
      </w:r>
      <w:r w:rsidRPr="00C47E0A">
        <w:rPr>
          <w:rFonts w:ascii="Arial" w:hAnsi="Arial" w:cs="Arial"/>
        </w:rPr>
        <w:t> </w:t>
      </w:r>
      <w:r w:rsidRPr="00C47E0A">
        <w:t>years and older. (</w:t>
      </w:r>
      <w:hyperlink r:id="rId13" w:tooltip="Pharming Group receives Complete Response Letter from U.S." w:history="1">
        <w:r w:rsidRPr="00C47E0A">
          <w:rPr>
            <w:rStyle w:val="Hyperlink"/>
          </w:rPr>
          <w:t>GlobeNewswire</w:t>
        </w:r>
      </w:hyperlink>
      <w:r w:rsidRPr="00C47E0A">
        <w:t>)</w:t>
      </w:r>
    </w:p>
    <w:p w14:paraId="6E25D15A" w14:textId="77777777" w:rsidR="00C47E0A" w:rsidRPr="00C47E0A" w:rsidRDefault="00C47E0A" w:rsidP="00C47E0A">
      <w:r w:rsidRPr="00C47E0A">
        <w:rPr>
          <w:b/>
          <w:bCs/>
        </w:rPr>
        <w:t>Background context</w:t>
      </w:r>
    </w:p>
    <w:p w14:paraId="3BDD4E40" w14:textId="77777777" w:rsidR="00C47E0A" w:rsidRPr="00C47E0A" w:rsidRDefault="00C47E0A" w:rsidP="00C47E0A">
      <w:pPr>
        <w:numPr>
          <w:ilvl w:val="0"/>
          <w:numId w:val="2"/>
        </w:numPr>
      </w:pPr>
      <w:r w:rsidRPr="00C47E0A">
        <w:t xml:space="preserve">The pediatric sNDA had been under </w:t>
      </w:r>
      <w:r w:rsidRPr="00C47E0A">
        <w:rPr>
          <w:i/>
          <w:iCs/>
        </w:rPr>
        <w:t>Priority Review</w:t>
      </w:r>
      <w:r w:rsidRPr="00C47E0A">
        <w:t xml:space="preserve"> with a PDUFA target date around January</w:t>
      </w:r>
      <w:r w:rsidRPr="00C47E0A">
        <w:rPr>
          <w:rFonts w:ascii="Arial" w:hAnsi="Arial" w:cs="Arial"/>
        </w:rPr>
        <w:t> </w:t>
      </w:r>
      <w:r w:rsidRPr="00C47E0A">
        <w:t>31,</w:t>
      </w:r>
      <w:r w:rsidRPr="00C47E0A">
        <w:rPr>
          <w:rFonts w:ascii="Arial" w:hAnsi="Arial" w:cs="Arial"/>
        </w:rPr>
        <w:t> </w:t>
      </w:r>
      <w:r w:rsidRPr="00C47E0A">
        <w:t>2026, based on positive Phase</w:t>
      </w:r>
      <w:r w:rsidRPr="00C47E0A">
        <w:rPr>
          <w:rFonts w:ascii="Arial" w:hAnsi="Arial" w:cs="Arial"/>
        </w:rPr>
        <w:t> </w:t>
      </w:r>
      <w:r w:rsidRPr="00C47E0A">
        <w:t>III data showing improvements in core APDS disease markers in 4</w:t>
      </w:r>
      <w:r w:rsidRPr="00C47E0A">
        <w:rPr>
          <w:rFonts w:ascii="Aptos" w:hAnsi="Aptos" w:cs="Aptos"/>
        </w:rPr>
        <w:t>–</w:t>
      </w:r>
      <w:r w:rsidRPr="00C47E0A">
        <w:t>11</w:t>
      </w:r>
      <w:r w:rsidRPr="00C47E0A">
        <w:noBreakHyphen/>
        <w:t>year</w:t>
      </w:r>
      <w:r w:rsidRPr="00C47E0A">
        <w:noBreakHyphen/>
        <w:t>olds. (</w:t>
      </w:r>
      <w:hyperlink r:id="rId14" w:tooltip="Pharming Group announces U.S. FDA acceptance and ..." w:history="1">
        <w:r w:rsidRPr="00C47E0A">
          <w:rPr>
            <w:rStyle w:val="Hyperlink"/>
          </w:rPr>
          <w:t>BioSpace</w:t>
        </w:r>
      </w:hyperlink>
      <w:r w:rsidRPr="00C47E0A">
        <w:t>)</w:t>
      </w:r>
    </w:p>
    <w:p w14:paraId="340FBE19" w14:textId="77777777" w:rsidR="00C47E0A" w:rsidRPr="00C47E0A" w:rsidRDefault="00C47E0A" w:rsidP="00C47E0A">
      <w:pPr>
        <w:numPr>
          <w:ilvl w:val="0"/>
          <w:numId w:val="2"/>
        </w:numPr>
      </w:pPr>
      <w:r w:rsidRPr="00C47E0A">
        <w:lastRenderedPageBreak/>
        <w:t xml:space="preserve">APDS is a </w:t>
      </w:r>
      <w:r w:rsidRPr="00C47E0A">
        <w:rPr>
          <w:i/>
          <w:iCs/>
        </w:rPr>
        <w:t>very rare primary immunodeficiency</w:t>
      </w:r>
      <w:r w:rsidRPr="00C47E0A">
        <w:t xml:space="preserve"> with unmet needs in younger children; Joenja is already approved for older cohorts. (</w:t>
      </w:r>
      <w:hyperlink r:id="rId15" w:tooltip="FINAL_Pharming receives FDA CRL for Joenja sNDA in ..." w:history="1">
        <w:r w:rsidRPr="00C47E0A">
          <w:rPr>
            <w:rStyle w:val="Hyperlink"/>
          </w:rPr>
          <w:t>Pharming Group N.V.</w:t>
        </w:r>
      </w:hyperlink>
      <w:r w:rsidRPr="00C47E0A">
        <w:t>)</w:t>
      </w:r>
    </w:p>
    <w:p w14:paraId="5AFC9E8C" w14:textId="77777777" w:rsidR="00C47E0A" w:rsidRPr="00C47E0A" w:rsidRDefault="00C47E0A" w:rsidP="00C47E0A">
      <w:r w:rsidRPr="00C47E0A">
        <w:rPr>
          <w:b/>
          <w:bCs/>
        </w:rPr>
        <w:t>Immediate strategic implications</w:t>
      </w:r>
    </w:p>
    <w:p w14:paraId="285B360E" w14:textId="77777777" w:rsidR="00C47E0A" w:rsidRPr="00C47E0A" w:rsidRDefault="00C47E0A" w:rsidP="00C47E0A">
      <w:pPr>
        <w:numPr>
          <w:ilvl w:val="0"/>
          <w:numId w:val="3"/>
        </w:numPr>
      </w:pPr>
      <w:r w:rsidRPr="00C47E0A">
        <w:t xml:space="preserve">This CRL introduces </w:t>
      </w:r>
      <w:r w:rsidRPr="00C47E0A">
        <w:rPr>
          <w:i/>
          <w:iCs/>
        </w:rPr>
        <w:t>uncertainty</w:t>
      </w:r>
      <w:r w:rsidRPr="00C47E0A">
        <w:t xml:space="preserve"> into the incremental pediatric market opportunity and will likely slow any immediate expansion into the 4–11 age group until dosing/exposure clarity is established. (</w:t>
      </w:r>
      <w:hyperlink r:id="rId16" w:tooltip="Pharming Group receives Complete Response Letter from U.S." w:history="1">
        <w:r w:rsidRPr="00C47E0A">
          <w:rPr>
            <w:rStyle w:val="Hyperlink"/>
          </w:rPr>
          <w:t>GlobeNewswire</w:t>
        </w:r>
      </w:hyperlink>
      <w:r w:rsidRPr="00C47E0A">
        <w:t>)</w:t>
      </w:r>
    </w:p>
    <w:p w14:paraId="4E357EB8" w14:textId="77777777" w:rsidR="00C47E0A" w:rsidRPr="00C47E0A" w:rsidRDefault="00C47E0A" w:rsidP="00C47E0A">
      <w:pPr>
        <w:numPr>
          <w:ilvl w:val="0"/>
          <w:numId w:val="3"/>
        </w:numPr>
      </w:pPr>
      <w:r w:rsidRPr="00C47E0A">
        <w:t xml:space="preserve">What to monitor now: timing and outcome of the </w:t>
      </w:r>
      <w:r w:rsidRPr="00C47E0A">
        <w:rPr>
          <w:i/>
          <w:iCs/>
        </w:rPr>
        <w:t>Type A meeting</w:t>
      </w:r>
      <w:r w:rsidRPr="00C47E0A">
        <w:t>, any new pediatric PK modeling or revised dosing proposals, and resolution of the analytical method questions. (</w:t>
      </w:r>
      <w:hyperlink r:id="rId17" w:tooltip="Pharming Group receives Complete Response Letter from U.S." w:history="1">
        <w:r w:rsidRPr="00C47E0A">
          <w:rPr>
            <w:rStyle w:val="Hyperlink"/>
          </w:rPr>
          <w:t>GlobeNewswire</w:t>
        </w:r>
      </w:hyperlink>
      <w:r w:rsidRPr="00C47E0A">
        <w:t>)</w:t>
      </w:r>
    </w:p>
    <w:p w14:paraId="754B2531" w14:textId="77777777" w:rsidR="00C47E0A" w:rsidRPr="00C47E0A" w:rsidRDefault="00C47E0A" w:rsidP="00C47E0A">
      <w:r w:rsidRPr="00C47E0A">
        <w:t>Let me know if you want a concise timeline of events or a quick impact summary tailored to your ODIN metrics.</w:t>
      </w:r>
    </w:p>
    <w:p w14:paraId="6C3C7193" w14:textId="77777777" w:rsidR="00C47E0A" w:rsidRPr="00C47E0A" w:rsidRDefault="00C47E0A" w:rsidP="00C47E0A">
      <w:r w:rsidRPr="00C47E0A">
        <w:t xml:space="preserve">I’m sharing this because </w:t>
      </w:r>
      <w:r w:rsidRPr="00C47E0A">
        <w:rPr>
          <w:b/>
          <w:bCs/>
        </w:rPr>
        <w:t xml:space="preserve">the FDA’s corrected Complete Response Letter on relacorilant is unusually explicit about both </w:t>
      </w:r>
      <w:r w:rsidRPr="00C47E0A">
        <w:rPr>
          <w:b/>
          <w:bCs/>
          <w:i/>
          <w:iCs/>
        </w:rPr>
        <w:t>lack of convincing benefit</w:t>
      </w:r>
      <w:r w:rsidRPr="00C47E0A">
        <w:rPr>
          <w:b/>
          <w:bCs/>
        </w:rPr>
        <w:t xml:space="preserve"> and </w:t>
      </w:r>
      <w:r w:rsidRPr="00C47E0A">
        <w:rPr>
          <w:b/>
          <w:bCs/>
          <w:i/>
          <w:iCs/>
        </w:rPr>
        <w:t>serious liver safety signals</w:t>
      </w:r>
      <w:r w:rsidRPr="00C47E0A">
        <w:t xml:space="preserve"> — a rare regulatory rebuff that reshapes the outlook for Corcept’s key asset. (</w:t>
      </w:r>
      <w:hyperlink r:id="rId18" w:tooltip="Corcept shares tumble after FDA letter reveals warnings before drug rejection" w:history="1">
        <w:r w:rsidRPr="00C47E0A">
          <w:rPr>
            <w:rStyle w:val="Hyperlink"/>
          </w:rPr>
          <w:t>Reuters</w:t>
        </w:r>
      </w:hyperlink>
      <w:r w:rsidRPr="00C47E0A">
        <w:t>)</w:t>
      </w:r>
    </w:p>
    <w:p w14:paraId="65DE156D" w14:textId="247E59D9" w:rsidR="00C47E0A" w:rsidRPr="00C47E0A" w:rsidRDefault="00C47E0A" w:rsidP="00C47E0A">
      <w:r w:rsidRPr="00C47E0A">
        <w:rPr>
          <w:noProof/>
        </w:rPr>
        <w:drawing>
          <wp:inline distT="0" distB="0" distL="0" distR="0" wp14:anchorId="008C8FED" wp14:editId="1D6E1DEA">
            <wp:extent cx="5943600" cy="3343275"/>
            <wp:effectExtent l="0" t="0" r="0" b="9525"/>
            <wp:docPr id="1938424887" name="Picture 1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Ima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13E8EEB6" w14:textId="74AA12E7" w:rsidR="00C47E0A" w:rsidRPr="00C47E0A" w:rsidRDefault="00C47E0A" w:rsidP="00C47E0A">
      <w:r w:rsidRPr="00C47E0A">
        <w:rPr>
          <w:noProof/>
        </w:rPr>
        <w:lastRenderedPageBreak/>
        <w:drawing>
          <wp:inline distT="0" distB="0" distL="0" distR="0" wp14:anchorId="2B7A2973" wp14:editId="5DE7D40F">
            <wp:extent cx="5943600" cy="3961130"/>
            <wp:effectExtent l="0" t="0" r="0" b="1270"/>
            <wp:docPr id="912037448" name="Picture 1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Imag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3961130"/>
                    </a:xfrm>
                    <a:prstGeom prst="rect">
                      <a:avLst/>
                    </a:prstGeom>
                    <a:noFill/>
                    <a:ln>
                      <a:noFill/>
                    </a:ln>
                  </pic:spPr>
                </pic:pic>
              </a:graphicData>
            </a:graphic>
          </wp:inline>
        </w:drawing>
      </w:r>
    </w:p>
    <w:p w14:paraId="6A1A761C" w14:textId="2FB509DA" w:rsidR="00C47E0A" w:rsidRPr="00C47E0A" w:rsidRDefault="00C47E0A" w:rsidP="00C47E0A">
      <w:r w:rsidRPr="00C47E0A">
        <w:rPr>
          <w:noProof/>
        </w:rPr>
        <w:drawing>
          <wp:inline distT="0" distB="0" distL="0" distR="0" wp14:anchorId="0894FD05" wp14:editId="2D6FA90C">
            <wp:extent cx="2857500" cy="2857500"/>
            <wp:effectExtent l="0" t="0" r="0" b="0"/>
            <wp:docPr id="1741540027" name="Picture 1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Imag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inline>
        </w:drawing>
      </w:r>
    </w:p>
    <w:p w14:paraId="143200A4" w14:textId="7AFA99AF" w:rsidR="00C47E0A" w:rsidRPr="00C47E0A" w:rsidRDefault="00C47E0A" w:rsidP="00C47E0A">
      <w:r w:rsidRPr="00C47E0A">
        <w:rPr>
          <w:noProof/>
        </w:rPr>
        <w:lastRenderedPageBreak/>
        <w:drawing>
          <wp:inline distT="0" distB="0" distL="0" distR="0" wp14:anchorId="56BB586F" wp14:editId="5A1F39D5">
            <wp:extent cx="5715000" cy="3810000"/>
            <wp:effectExtent l="0" t="0" r="0" b="0"/>
            <wp:docPr id="1378765231" name="Picture 1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p>
    <w:p w14:paraId="5D4F5FB4" w14:textId="77777777" w:rsidR="00C47E0A" w:rsidRPr="00C47E0A" w:rsidRDefault="00C47E0A" w:rsidP="00C47E0A">
      <w:r w:rsidRPr="00C47E0A">
        <w:t xml:space="preserve">The FDA’s updated letter, dated </w:t>
      </w:r>
      <w:r w:rsidRPr="00C47E0A">
        <w:rPr>
          <w:b/>
          <w:bCs/>
        </w:rPr>
        <w:t>January 28, 2026</w:t>
      </w:r>
      <w:r w:rsidRPr="00C47E0A">
        <w:t xml:space="preserve">, makes clear that the agency found </w:t>
      </w:r>
      <w:r w:rsidRPr="00C47E0A">
        <w:rPr>
          <w:b/>
          <w:bCs/>
        </w:rPr>
        <w:t>the clinical evidence insufficient to demonstrate meaningful effectiveness</w:t>
      </w:r>
      <w:r w:rsidRPr="00C47E0A">
        <w:t xml:space="preserve"> of relacorilant for its endocrine indication — and flagged </w:t>
      </w:r>
      <w:r w:rsidRPr="00C47E0A">
        <w:rPr>
          <w:b/>
          <w:bCs/>
        </w:rPr>
        <w:t>multiple probable cases of drug</w:t>
      </w:r>
      <w:r w:rsidRPr="00C47E0A">
        <w:rPr>
          <w:b/>
          <w:bCs/>
        </w:rPr>
        <w:noBreakHyphen/>
        <w:t>induced liver injury</w:t>
      </w:r>
      <w:r w:rsidRPr="00C47E0A">
        <w:t>, including one with ALT &gt;</w:t>
      </w:r>
      <w:r w:rsidRPr="00C47E0A">
        <w:rPr>
          <w:rFonts w:ascii="Arial" w:hAnsi="Arial" w:cs="Arial"/>
        </w:rPr>
        <w:t> </w:t>
      </w:r>
      <w:r w:rsidRPr="00C47E0A">
        <w:t>1,900</w:t>
      </w:r>
      <w:r w:rsidRPr="00C47E0A">
        <w:rPr>
          <w:rFonts w:ascii="Arial" w:hAnsi="Arial" w:cs="Arial"/>
        </w:rPr>
        <w:t> </w:t>
      </w:r>
      <w:r w:rsidRPr="00C47E0A">
        <w:t>U/L. (</w:t>
      </w:r>
      <w:hyperlink r:id="rId23" w:tooltip="Corcept shares tumble after FDA letter reveals warnings before drug rejection" w:history="1">
        <w:r w:rsidRPr="00C47E0A">
          <w:rPr>
            <w:rStyle w:val="Hyperlink"/>
          </w:rPr>
          <w:t>Reuters</w:t>
        </w:r>
      </w:hyperlink>
      <w:r w:rsidRPr="00C47E0A">
        <w:t>)</w:t>
      </w:r>
    </w:p>
    <w:p w14:paraId="49176B36" w14:textId="77777777" w:rsidR="00C47E0A" w:rsidRPr="00C47E0A" w:rsidRDefault="00C47E0A" w:rsidP="00C47E0A">
      <w:r w:rsidRPr="00C47E0A">
        <w:t>Key takeaways from the corrected CRL:</w:t>
      </w:r>
    </w:p>
    <w:p w14:paraId="2278C2E5" w14:textId="77777777" w:rsidR="00C47E0A" w:rsidRPr="00C47E0A" w:rsidRDefault="00C47E0A" w:rsidP="00C47E0A">
      <w:pPr>
        <w:numPr>
          <w:ilvl w:val="0"/>
          <w:numId w:val="4"/>
        </w:numPr>
      </w:pPr>
      <w:r w:rsidRPr="00C47E0A">
        <w:t xml:space="preserve">The agency noted Corcept was </w:t>
      </w:r>
      <w:r w:rsidRPr="00C47E0A">
        <w:rPr>
          <w:b/>
          <w:bCs/>
        </w:rPr>
        <w:t>warned ahead of submission about significant review issues</w:t>
      </w:r>
      <w:r w:rsidRPr="00C47E0A">
        <w:t>, yet proceeded to file. (</w:t>
      </w:r>
      <w:hyperlink r:id="rId24" w:tooltip="Corcept shares tumble after FDA letter reveals warnings before drug rejection" w:history="1">
        <w:r w:rsidRPr="00C47E0A">
          <w:rPr>
            <w:rStyle w:val="Hyperlink"/>
          </w:rPr>
          <w:t>Reuters</w:t>
        </w:r>
      </w:hyperlink>
      <w:r w:rsidRPr="00C47E0A">
        <w:t>)</w:t>
      </w:r>
    </w:p>
    <w:p w14:paraId="0DD9A196" w14:textId="77777777" w:rsidR="00C47E0A" w:rsidRPr="00C47E0A" w:rsidRDefault="00C47E0A" w:rsidP="00C47E0A">
      <w:pPr>
        <w:numPr>
          <w:ilvl w:val="0"/>
          <w:numId w:val="4"/>
        </w:numPr>
      </w:pPr>
      <w:r w:rsidRPr="00C47E0A">
        <w:t>The pivotal data failed to show a clear advantage over placebo, leaving the benefit</w:t>
      </w:r>
      <w:r w:rsidRPr="00C47E0A">
        <w:noBreakHyphen/>
        <w:t>risk profile unproven. (</w:t>
      </w:r>
      <w:hyperlink r:id="rId25" w:tooltip="Corcept shares tumble after FDA letter reveals warnings before drug rejection" w:history="1">
        <w:r w:rsidRPr="00C47E0A">
          <w:rPr>
            <w:rStyle w:val="Hyperlink"/>
          </w:rPr>
          <w:t>Reuters</w:t>
        </w:r>
      </w:hyperlink>
      <w:r w:rsidRPr="00C47E0A">
        <w:t>)</w:t>
      </w:r>
    </w:p>
    <w:p w14:paraId="7118BB86" w14:textId="77777777" w:rsidR="00C47E0A" w:rsidRPr="00C47E0A" w:rsidRDefault="00C47E0A" w:rsidP="00C47E0A">
      <w:pPr>
        <w:numPr>
          <w:ilvl w:val="0"/>
          <w:numId w:val="4"/>
        </w:numPr>
      </w:pPr>
      <w:r w:rsidRPr="00C47E0A">
        <w:rPr>
          <w:b/>
          <w:bCs/>
        </w:rPr>
        <w:t>Liver safety concerns were serious</w:t>
      </w:r>
      <w:r w:rsidRPr="00C47E0A">
        <w:t>, with four probable drug</w:t>
      </w:r>
      <w:r w:rsidRPr="00C47E0A">
        <w:noBreakHyphen/>
        <w:t>induced liver injury cases highlighted. (</w:t>
      </w:r>
      <w:hyperlink r:id="rId26" w:tooltip="Corcept shares tumble after FDA letter reveals warnings before drug rejection" w:history="1">
        <w:r w:rsidRPr="00C47E0A">
          <w:rPr>
            <w:rStyle w:val="Hyperlink"/>
          </w:rPr>
          <w:t>Reuters</w:t>
        </w:r>
      </w:hyperlink>
      <w:r w:rsidRPr="00C47E0A">
        <w:t>)</w:t>
      </w:r>
    </w:p>
    <w:p w14:paraId="5CDF012F" w14:textId="77777777" w:rsidR="00C47E0A" w:rsidRPr="00C47E0A" w:rsidRDefault="00C47E0A" w:rsidP="00C47E0A">
      <w:pPr>
        <w:numPr>
          <w:ilvl w:val="0"/>
          <w:numId w:val="4"/>
        </w:numPr>
      </w:pPr>
      <w:r w:rsidRPr="00C47E0A">
        <w:t xml:space="preserve">The CRL instructs Corcept to </w:t>
      </w:r>
      <w:r w:rsidRPr="00C47E0A">
        <w:rPr>
          <w:b/>
          <w:bCs/>
        </w:rPr>
        <w:t>respond or resubmit within one year</w:t>
      </w:r>
      <w:r w:rsidRPr="00C47E0A">
        <w:t xml:space="preserve"> — otherwise the NDA may be considered withdrawn. (</w:t>
      </w:r>
      <w:hyperlink r:id="rId27" w:tooltip="Corcept shares tumble after FDA letter reveals warnings before drug rejection" w:history="1">
        <w:r w:rsidRPr="00C47E0A">
          <w:rPr>
            <w:rStyle w:val="Hyperlink"/>
          </w:rPr>
          <w:t>Reuters</w:t>
        </w:r>
      </w:hyperlink>
      <w:r w:rsidRPr="00C47E0A">
        <w:t>)</w:t>
      </w:r>
    </w:p>
    <w:p w14:paraId="723D4B80" w14:textId="77777777" w:rsidR="00C47E0A" w:rsidRPr="00C47E0A" w:rsidRDefault="00C47E0A" w:rsidP="00C47E0A">
      <w:r w:rsidRPr="00C47E0A">
        <w:t>The market has already reacted sharply to these developments, reflecting how rare such explicit regulatory language is in a CRL. (</w:t>
      </w:r>
      <w:hyperlink r:id="rId28" w:tooltip="Corcept shares tumble after FDA letter reveals warnings before drug rejection" w:history="1">
        <w:r w:rsidRPr="00C47E0A">
          <w:rPr>
            <w:rStyle w:val="Hyperlink"/>
          </w:rPr>
          <w:t>Reuters</w:t>
        </w:r>
      </w:hyperlink>
      <w:r w:rsidRPr="00C47E0A">
        <w:t>)</w:t>
      </w:r>
    </w:p>
    <w:p w14:paraId="34866F21" w14:textId="77777777" w:rsidR="00C47E0A" w:rsidRPr="00C47E0A" w:rsidRDefault="00C47E0A" w:rsidP="00C47E0A">
      <w:r w:rsidRPr="00C47E0A">
        <w:lastRenderedPageBreak/>
        <w:t>I’ll follow up if more details from FDA postings or Corcept’s investor communications surface.</w:t>
      </w:r>
    </w:p>
    <w:p w14:paraId="23EB3864" w14:textId="77777777" w:rsidR="00C47E0A" w:rsidRPr="00C47E0A" w:rsidRDefault="00C47E0A" w:rsidP="00C47E0A">
      <w:r w:rsidRPr="00C47E0A">
        <w:t xml:space="preserve">Here’s a </w:t>
      </w:r>
      <w:r w:rsidRPr="00C47E0A">
        <w:rPr>
          <w:b/>
          <w:bCs/>
        </w:rPr>
        <w:t>short, proactive update you’d care about</w:t>
      </w:r>
      <w:r w:rsidRPr="00C47E0A">
        <w:t xml:space="preserve"> because Ultragenyx just cleared a major regulatory hurdle on a program that could be the first approved therapy for a fatal pediatric disease — and the next catalysts are now ticking.</w:t>
      </w:r>
    </w:p>
    <w:p w14:paraId="11DF1572" w14:textId="419FCA1C" w:rsidR="00C47E0A" w:rsidRPr="00C47E0A" w:rsidRDefault="00C47E0A" w:rsidP="00C47E0A">
      <w:r w:rsidRPr="00C47E0A">
        <w:rPr>
          <w:noProof/>
        </w:rPr>
        <w:drawing>
          <wp:inline distT="0" distB="0" distL="0" distR="0" wp14:anchorId="691D4B62" wp14:editId="700D19B3">
            <wp:extent cx="5943600" cy="3341370"/>
            <wp:effectExtent l="0" t="0" r="0" b="0"/>
            <wp:docPr id="1901902544" name="Picture 2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Imag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364663F9" w14:textId="23AF4448" w:rsidR="00C47E0A" w:rsidRPr="00C47E0A" w:rsidRDefault="00C47E0A" w:rsidP="00C47E0A">
      <w:r w:rsidRPr="00C47E0A">
        <w:rPr>
          <w:noProof/>
        </w:rPr>
        <mc:AlternateContent>
          <mc:Choice Requires="wps">
            <w:drawing>
              <wp:inline distT="0" distB="0" distL="0" distR="0" wp14:anchorId="23E1D82D" wp14:editId="58327B41">
                <wp:extent cx="304800" cy="304800"/>
                <wp:effectExtent l="0" t="0" r="0" b="0"/>
                <wp:docPr id="994391805" name="Rectangle 23"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064221" id="Rectangle 23"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5760BB7" w14:textId="2F9877EB" w:rsidR="00C47E0A" w:rsidRPr="00C47E0A" w:rsidRDefault="00C47E0A" w:rsidP="00C47E0A">
      <w:r w:rsidRPr="00C47E0A">
        <w:rPr>
          <w:noProof/>
        </w:rPr>
        <w:lastRenderedPageBreak/>
        <w:drawing>
          <wp:inline distT="0" distB="0" distL="0" distR="0" wp14:anchorId="2A2F0D91" wp14:editId="7D6367A4">
            <wp:extent cx="5485130" cy="8229600"/>
            <wp:effectExtent l="0" t="0" r="1270" b="0"/>
            <wp:docPr id="957451553" name="Picture 2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Image"/>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485130" cy="8229600"/>
                    </a:xfrm>
                    <a:prstGeom prst="rect">
                      <a:avLst/>
                    </a:prstGeom>
                    <a:noFill/>
                    <a:ln>
                      <a:noFill/>
                    </a:ln>
                  </pic:spPr>
                </pic:pic>
              </a:graphicData>
            </a:graphic>
          </wp:inline>
        </w:drawing>
      </w:r>
    </w:p>
    <w:p w14:paraId="5CAC5787" w14:textId="66D56D66" w:rsidR="00C47E0A" w:rsidRPr="00C47E0A" w:rsidRDefault="00C47E0A" w:rsidP="00C47E0A">
      <w:r w:rsidRPr="00C47E0A">
        <w:rPr>
          <w:noProof/>
        </w:rPr>
        <w:lastRenderedPageBreak/>
        <w:drawing>
          <wp:inline distT="0" distB="0" distL="0" distR="0" wp14:anchorId="6A2837A2" wp14:editId="518EFB1D">
            <wp:extent cx="5943600" cy="5358765"/>
            <wp:effectExtent l="0" t="0" r="0" b="0"/>
            <wp:docPr id="1648727307" name="Picture 2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Image"/>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5358765"/>
                    </a:xfrm>
                    <a:prstGeom prst="rect">
                      <a:avLst/>
                    </a:prstGeom>
                    <a:noFill/>
                    <a:ln>
                      <a:noFill/>
                    </a:ln>
                  </pic:spPr>
                </pic:pic>
              </a:graphicData>
            </a:graphic>
          </wp:inline>
        </w:drawing>
      </w:r>
    </w:p>
    <w:p w14:paraId="5AA6AD09" w14:textId="77777777" w:rsidR="00C47E0A" w:rsidRPr="00C47E0A" w:rsidRDefault="00C47E0A" w:rsidP="00C47E0A">
      <w:r w:rsidRPr="00C47E0A">
        <w:t xml:space="preserve">Ultragenyx </w:t>
      </w:r>
      <w:r w:rsidRPr="00C47E0A">
        <w:rPr>
          <w:b/>
          <w:bCs/>
        </w:rPr>
        <w:t>resubmitted its Biologics License Application (BLA) for UX111</w:t>
      </w:r>
      <w:r w:rsidRPr="00C47E0A">
        <w:t xml:space="preserve">, an AAV9 gene therapy for Sanfilippo syndrome type A, to the U.S. FDA on </w:t>
      </w:r>
      <w:r w:rsidRPr="00C47E0A">
        <w:rPr>
          <w:b/>
          <w:bCs/>
        </w:rPr>
        <w:t>January</w:t>
      </w:r>
      <w:r w:rsidRPr="00C47E0A">
        <w:rPr>
          <w:rFonts w:ascii="Arial" w:hAnsi="Arial" w:cs="Arial"/>
          <w:b/>
          <w:bCs/>
        </w:rPr>
        <w:t> </w:t>
      </w:r>
      <w:r w:rsidRPr="00C47E0A">
        <w:rPr>
          <w:b/>
          <w:bCs/>
        </w:rPr>
        <w:t>30,</w:t>
      </w:r>
      <w:r w:rsidRPr="00C47E0A">
        <w:rPr>
          <w:rFonts w:ascii="Arial" w:hAnsi="Arial" w:cs="Arial"/>
          <w:b/>
          <w:bCs/>
        </w:rPr>
        <w:t> </w:t>
      </w:r>
      <w:r w:rsidRPr="00C47E0A">
        <w:rPr>
          <w:b/>
          <w:bCs/>
        </w:rPr>
        <w:t>2026</w:t>
      </w:r>
      <w:r w:rsidRPr="00C47E0A">
        <w:t xml:space="preserve">. The resubmission </w:t>
      </w:r>
      <w:r w:rsidRPr="00C47E0A">
        <w:rPr>
          <w:b/>
          <w:bCs/>
        </w:rPr>
        <w:t>packages detailed responses to the CMC observations cited in the July</w:t>
      </w:r>
      <w:r w:rsidRPr="00C47E0A">
        <w:rPr>
          <w:rFonts w:ascii="Arial" w:hAnsi="Arial" w:cs="Arial"/>
          <w:b/>
          <w:bCs/>
        </w:rPr>
        <w:t> </w:t>
      </w:r>
      <w:r w:rsidRPr="00C47E0A">
        <w:rPr>
          <w:b/>
          <w:bCs/>
        </w:rPr>
        <w:t>2025 Complete Response Letter</w:t>
      </w:r>
      <w:r w:rsidRPr="00C47E0A">
        <w:t xml:space="preserve"> along with </w:t>
      </w:r>
      <w:r w:rsidRPr="00C47E0A">
        <w:rPr>
          <w:b/>
          <w:bCs/>
        </w:rPr>
        <w:t>additional longer</w:t>
      </w:r>
      <w:r w:rsidRPr="00C47E0A">
        <w:rPr>
          <w:b/>
          <w:bCs/>
        </w:rPr>
        <w:noBreakHyphen/>
        <w:t>term clinical and biomarker data</w:t>
      </w:r>
      <w:r w:rsidRPr="00C47E0A">
        <w:t xml:space="preserve"> that the agency requested. (</w:t>
      </w:r>
      <w:hyperlink r:id="rId32" w:tooltip="8-K - SEC.gov" w:history="1">
        <w:r w:rsidRPr="00C47E0A">
          <w:rPr>
            <w:rStyle w:val="Hyperlink"/>
          </w:rPr>
          <w:t>SEC</w:t>
        </w:r>
      </w:hyperlink>
      <w:r w:rsidRPr="00C47E0A">
        <w:t>)</w:t>
      </w:r>
    </w:p>
    <w:p w14:paraId="474907B0" w14:textId="77777777" w:rsidR="00C47E0A" w:rsidRPr="00C47E0A" w:rsidRDefault="00C47E0A" w:rsidP="00C47E0A">
      <w:r w:rsidRPr="00C47E0A">
        <w:t xml:space="preserve">According to the SEC </w:t>
      </w:r>
      <w:r w:rsidRPr="00C47E0A">
        <w:rPr>
          <w:b/>
          <w:bCs/>
        </w:rPr>
        <w:t>8</w:t>
      </w:r>
      <w:r w:rsidRPr="00C47E0A">
        <w:rPr>
          <w:b/>
          <w:bCs/>
        </w:rPr>
        <w:noBreakHyphen/>
        <w:t>K</w:t>
      </w:r>
      <w:r w:rsidRPr="00C47E0A">
        <w:t xml:space="preserve">, the filing includes </w:t>
      </w:r>
      <w:r w:rsidRPr="00C47E0A">
        <w:rPr>
          <w:b/>
          <w:bCs/>
        </w:rPr>
        <w:t>extended neurologic outcomes and CSF heparan sulfate biomarker evidence</w:t>
      </w:r>
      <w:r w:rsidRPr="00C47E0A">
        <w:t xml:space="preserve"> supporting an intermediate endpoint for accelerated approval, and shows a </w:t>
      </w:r>
      <w:r w:rsidRPr="00C47E0A">
        <w:rPr>
          <w:b/>
          <w:bCs/>
        </w:rPr>
        <w:t>durable treatment effect up to additional years of follow</w:t>
      </w:r>
      <w:r w:rsidRPr="00C47E0A">
        <w:rPr>
          <w:b/>
          <w:bCs/>
        </w:rPr>
        <w:noBreakHyphen/>
        <w:t>up</w:t>
      </w:r>
      <w:r w:rsidRPr="00C47E0A">
        <w:t xml:space="preserve"> while maintaining an acceptable safety profile. (</w:t>
      </w:r>
      <w:hyperlink r:id="rId33" w:tooltip="8-K - SEC.gov" w:history="1">
        <w:r w:rsidRPr="00C47E0A">
          <w:rPr>
            <w:rStyle w:val="Hyperlink"/>
          </w:rPr>
          <w:t>SEC</w:t>
        </w:r>
      </w:hyperlink>
      <w:r w:rsidRPr="00C47E0A">
        <w:t>)</w:t>
      </w:r>
    </w:p>
    <w:p w14:paraId="57B8C779" w14:textId="77777777" w:rsidR="00C47E0A" w:rsidRPr="00C47E0A" w:rsidRDefault="00C47E0A" w:rsidP="00C47E0A">
      <w:r w:rsidRPr="00C47E0A">
        <w:t xml:space="preserve">The FDA had already granted </w:t>
      </w:r>
      <w:r w:rsidRPr="00C47E0A">
        <w:rPr>
          <w:b/>
          <w:bCs/>
        </w:rPr>
        <w:t>Priority Review in February</w:t>
      </w:r>
      <w:r w:rsidRPr="00C47E0A">
        <w:rPr>
          <w:rFonts w:ascii="Arial" w:hAnsi="Arial" w:cs="Arial"/>
          <w:b/>
          <w:bCs/>
        </w:rPr>
        <w:t> </w:t>
      </w:r>
      <w:r w:rsidRPr="00C47E0A">
        <w:rPr>
          <w:b/>
          <w:bCs/>
        </w:rPr>
        <w:t>2025</w:t>
      </w:r>
      <w:r w:rsidRPr="00C47E0A">
        <w:t xml:space="preserve">, and Ultragenyx expects the agency to </w:t>
      </w:r>
      <w:r w:rsidRPr="00C47E0A">
        <w:rPr>
          <w:b/>
          <w:bCs/>
        </w:rPr>
        <w:t>acknowledge receipt and assign a PDUFA action date within about a month</w:t>
      </w:r>
      <w:r w:rsidRPr="00C47E0A">
        <w:t xml:space="preserve"> </w:t>
      </w:r>
      <w:r w:rsidRPr="00C47E0A">
        <w:lastRenderedPageBreak/>
        <w:t xml:space="preserve">of the resubmission. From there, </w:t>
      </w:r>
      <w:r w:rsidRPr="00C47E0A">
        <w:rPr>
          <w:b/>
          <w:bCs/>
        </w:rPr>
        <w:t>the review clock could run up to six months</w:t>
      </w:r>
      <w:r w:rsidRPr="00C47E0A">
        <w:t xml:space="preserve">, targeting a decision in </w:t>
      </w:r>
      <w:r w:rsidRPr="00C47E0A">
        <w:rPr>
          <w:b/>
          <w:bCs/>
        </w:rPr>
        <w:t>Q3</w:t>
      </w:r>
      <w:r w:rsidRPr="00C47E0A">
        <w:rPr>
          <w:rFonts w:ascii="Arial" w:hAnsi="Arial" w:cs="Arial"/>
          <w:b/>
          <w:bCs/>
        </w:rPr>
        <w:t> </w:t>
      </w:r>
      <w:r w:rsidRPr="00C47E0A">
        <w:rPr>
          <w:b/>
          <w:bCs/>
        </w:rPr>
        <w:t>2026</w:t>
      </w:r>
      <w:r w:rsidRPr="00C47E0A">
        <w:t xml:space="preserve"> under the priority timeline. (</w:t>
      </w:r>
      <w:hyperlink r:id="rId34" w:tooltip="Release details" w:history="1">
        <w:r w:rsidRPr="00C47E0A">
          <w:rPr>
            <w:rStyle w:val="Hyperlink"/>
          </w:rPr>
          <w:t>Ultragenyx</w:t>
        </w:r>
      </w:hyperlink>
      <w:r w:rsidRPr="00C47E0A">
        <w:t>)</w:t>
      </w:r>
    </w:p>
    <w:p w14:paraId="66C9534F" w14:textId="77777777" w:rsidR="00C47E0A" w:rsidRPr="00C47E0A" w:rsidRDefault="00C47E0A" w:rsidP="00C47E0A">
      <w:r w:rsidRPr="00C47E0A">
        <w:t>Next catalysts to monitor officially are:</w:t>
      </w:r>
    </w:p>
    <w:p w14:paraId="548DDC2F" w14:textId="77777777" w:rsidR="00C47E0A" w:rsidRPr="00C47E0A" w:rsidRDefault="00C47E0A" w:rsidP="00C47E0A">
      <w:pPr>
        <w:numPr>
          <w:ilvl w:val="0"/>
          <w:numId w:val="5"/>
        </w:numPr>
      </w:pPr>
      <w:r w:rsidRPr="00C47E0A">
        <w:t xml:space="preserve">FDA </w:t>
      </w:r>
      <w:r w:rsidRPr="00C47E0A">
        <w:rPr>
          <w:b/>
          <w:bCs/>
        </w:rPr>
        <w:t>acknowledgment and PDUFA date assignment</w:t>
      </w:r>
      <w:r w:rsidRPr="00C47E0A">
        <w:t xml:space="preserve"> (likely within ~1</w:t>
      </w:r>
      <w:r w:rsidRPr="00C47E0A">
        <w:rPr>
          <w:rFonts w:ascii="Arial" w:hAnsi="Arial" w:cs="Arial"/>
        </w:rPr>
        <w:t> </w:t>
      </w:r>
      <w:r w:rsidRPr="00C47E0A">
        <w:t>month) (</w:t>
      </w:r>
      <w:hyperlink r:id="rId35" w:tooltip="Release details" w:history="1">
        <w:r w:rsidRPr="00C47E0A">
          <w:rPr>
            <w:rStyle w:val="Hyperlink"/>
          </w:rPr>
          <w:t>Ultragenyx</w:t>
        </w:r>
      </w:hyperlink>
      <w:r w:rsidRPr="00C47E0A">
        <w:t>)</w:t>
      </w:r>
    </w:p>
    <w:p w14:paraId="6144D2C9" w14:textId="77777777" w:rsidR="00C47E0A" w:rsidRPr="00C47E0A" w:rsidRDefault="00C47E0A" w:rsidP="00C47E0A">
      <w:pPr>
        <w:numPr>
          <w:ilvl w:val="0"/>
          <w:numId w:val="5"/>
        </w:numPr>
      </w:pPr>
      <w:r w:rsidRPr="00C47E0A">
        <w:t xml:space="preserve">Progress along the </w:t>
      </w:r>
      <w:r w:rsidRPr="00C47E0A">
        <w:rPr>
          <w:b/>
          <w:bCs/>
        </w:rPr>
        <w:t>priority review clock</w:t>
      </w:r>
      <w:r w:rsidRPr="00C47E0A">
        <w:t xml:space="preserve"> toward a potential </w:t>
      </w:r>
      <w:r w:rsidRPr="00C47E0A">
        <w:rPr>
          <w:b/>
          <w:bCs/>
        </w:rPr>
        <w:t>Q3</w:t>
      </w:r>
      <w:r w:rsidRPr="00C47E0A">
        <w:rPr>
          <w:rFonts w:ascii="Arial" w:hAnsi="Arial" w:cs="Arial"/>
          <w:b/>
          <w:bCs/>
        </w:rPr>
        <w:t> </w:t>
      </w:r>
      <w:r w:rsidRPr="00C47E0A">
        <w:rPr>
          <w:b/>
          <w:bCs/>
        </w:rPr>
        <w:t>2026 action</w:t>
      </w:r>
      <w:r w:rsidRPr="00C47E0A">
        <w:t xml:space="preserve"> (</w:t>
      </w:r>
      <w:hyperlink r:id="rId36" w:tooltip="Release details" w:history="1">
        <w:r w:rsidRPr="00C47E0A">
          <w:rPr>
            <w:rStyle w:val="Hyperlink"/>
          </w:rPr>
          <w:t>Ultragenyx</w:t>
        </w:r>
      </w:hyperlink>
      <w:r w:rsidRPr="00C47E0A">
        <w:t>)</w:t>
      </w:r>
    </w:p>
    <w:p w14:paraId="28574F73" w14:textId="77777777" w:rsidR="00C47E0A" w:rsidRPr="00C47E0A" w:rsidRDefault="00C47E0A" w:rsidP="00C47E0A">
      <w:r w:rsidRPr="00C47E0A">
        <w:t xml:space="preserve">If approved, </w:t>
      </w:r>
      <w:r w:rsidRPr="00C47E0A">
        <w:rPr>
          <w:b/>
          <w:bCs/>
        </w:rPr>
        <w:t>UX111 would become the first approved therapy for Sanfilippo syndrome type A</w:t>
      </w:r>
      <w:r w:rsidRPr="00C47E0A">
        <w:t>, addressing a disease with no current approved options. (</w:t>
      </w:r>
      <w:hyperlink r:id="rId37" w:tooltip="8-K - SEC.gov" w:history="1">
        <w:r w:rsidRPr="00C47E0A">
          <w:rPr>
            <w:rStyle w:val="Hyperlink"/>
          </w:rPr>
          <w:t>SEC</w:t>
        </w:r>
      </w:hyperlink>
      <w:r w:rsidRPr="00C47E0A">
        <w:t>)</w:t>
      </w:r>
    </w:p>
    <w:p w14:paraId="388FADDE" w14:textId="77777777" w:rsidR="00C47E0A" w:rsidRPr="00C47E0A" w:rsidRDefault="00C47E0A" w:rsidP="00C47E0A">
      <w:r w:rsidRPr="00C47E0A">
        <w:t>Short, fact</w:t>
      </w:r>
      <w:r w:rsidRPr="00C47E0A">
        <w:noBreakHyphen/>
        <w:t>dense, and with clear near</w:t>
      </w:r>
      <w:r w:rsidRPr="00C47E0A">
        <w:noBreakHyphen/>
        <w:t>term regulatory inflection points.</w:t>
      </w:r>
    </w:p>
    <w:p w14:paraId="08EBB503" w14:textId="77777777" w:rsidR="00012DA0" w:rsidRPr="00012DA0" w:rsidRDefault="00012DA0" w:rsidP="00012DA0">
      <w:pPr>
        <w:spacing w:before="100" w:beforeAutospacing="1" w:after="100" w:afterAutospacing="1" w:line="240" w:lineRule="auto"/>
        <w:rPr>
          <w:rFonts w:ascii="Times New Roman" w:eastAsia="Times New Roman" w:hAnsi="Times New Roman" w:cs="Times New Roman"/>
          <w:kern w:val="0"/>
          <w14:ligatures w14:val="none"/>
        </w:rPr>
      </w:pPr>
      <w:r w:rsidRPr="00012DA0">
        <w:rPr>
          <w:rFonts w:ascii="Times New Roman" w:eastAsia="Times New Roman" w:hAnsi="Times New Roman" w:cs="Times New Roman"/>
          <w:kern w:val="0"/>
          <w14:ligatures w14:val="none"/>
        </w:rPr>
        <w:t>Here’s the short, sharp regulatory snapshot you need — a trio of FDA</w:t>
      </w:r>
      <w:r w:rsidRPr="00012DA0">
        <w:rPr>
          <w:rFonts w:ascii="Times New Roman" w:eastAsia="Times New Roman" w:hAnsi="Times New Roman" w:cs="Times New Roman"/>
          <w:kern w:val="0"/>
          <w14:ligatures w14:val="none"/>
        </w:rPr>
        <w:noBreakHyphen/>
        <w:t>centric ambiguity and timeline shifts that have been driving biotech feeds and price action this week.</w:t>
      </w:r>
    </w:p>
    <w:p w14:paraId="558BDA87" w14:textId="77777777" w:rsidR="00012DA0" w:rsidRPr="00012DA0" w:rsidRDefault="00012DA0" w:rsidP="00012DA0">
      <w:pPr>
        <w:spacing w:before="100" w:beforeAutospacing="1" w:after="100" w:afterAutospacing="1" w:line="240" w:lineRule="auto"/>
        <w:rPr>
          <w:rFonts w:ascii="Times New Roman" w:eastAsia="Times New Roman" w:hAnsi="Times New Roman" w:cs="Times New Roman"/>
          <w:kern w:val="0"/>
          <w14:ligatures w14:val="none"/>
        </w:rPr>
      </w:pPr>
      <w:r w:rsidRPr="00012DA0">
        <w:rPr>
          <w:rFonts w:ascii="Times New Roman" w:eastAsia="Times New Roman" w:hAnsi="Times New Roman" w:cs="Times New Roman"/>
          <w:noProof/>
          <w:kern w:val="0"/>
          <w14:ligatures w14:val="none"/>
        </w:rPr>
        <mc:AlternateContent>
          <mc:Choice Requires="wps">
            <w:drawing>
              <wp:inline distT="0" distB="0" distL="0" distR="0" wp14:anchorId="16B5A812" wp14:editId="51FD86D1">
                <wp:extent cx="304800" cy="304800"/>
                <wp:effectExtent l="0" t="0" r="0" b="0"/>
                <wp:docPr id="480738132" name="AutoShape 1"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C10BF6" id="AutoShape 1"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14B4DD9" w14:textId="77777777" w:rsidR="00012DA0" w:rsidRPr="00012DA0" w:rsidRDefault="00012DA0" w:rsidP="00012DA0">
      <w:pPr>
        <w:spacing w:before="100" w:beforeAutospacing="1" w:after="100" w:afterAutospacing="1" w:line="240" w:lineRule="auto"/>
        <w:rPr>
          <w:rFonts w:ascii="Times New Roman" w:eastAsia="Times New Roman" w:hAnsi="Times New Roman" w:cs="Times New Roman"/>
          <w:kern w:val="0"/>
          <w14:ligatures w14:val="none"/>
        </w:rPr>
      </w:pPr>
      <w:r w:rsidRPr="00012DA0">
        <w:rPr>
          <w:rFonts w:ascii="Times New Roman" w:eastAsia="Times New Roman" w:hAnsi="Times New Roman" w:cs="Times New Roman"/>
          <w:noProof/>
          <w:kern w:val="0"/>
          <w14:ligatures w14:val="none"/>
        </w:rPr>
        <w:drawing>
          <wp:inline distT="0" distB="0" distL="0" distR="0" wp14:anchorId="0629D652" wp14:editId="0E0FCBD4">
            <wp:extent cx="2857500" cy="1609725"/>
            <wp:effectExtent l="0" t="0" r="0" b="9525"/>
            <wp:docPr id="2"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857500" cy="1609725"/>
                    </a:xfrm>
                    <a:prstGeom prst="rect">
                      <a:avLst/>
                    </a:prstGeom>
                    <a:noFill/>
                    <a:ln>
                      <a:noFill/>
                    </a:ln>
                  </pic:spPr>
                </pic:pic>
              </a:graphicData>
            </a:graphic>
          </wp:inline>
        </w:drawing>
      </w:r>
    </w:p>
    <w:p w14:paraId="70F671BE" w14:textId="77777777" w:rsidR="00012DA0" w:rsidRPr="00012DA0" w:rsidRDefault="00012DA0" w:rsidP="00012DA0">
      <w:pPr>
        <w:spacing w:before="100" w:beforeAutospacing="1" w:after="100" w:afterAutospacing="1" w:line="240" w:lineRule="auto"/>
        <w:rPr>
          <w:rFonts w:ascii="Times New Roman" w:eastAsia="Times New Roman" w:hAnsi="Times New Roman" w:cs="Times New Roman"/>
          <w:kern w:val="0"/>
          <w14:ligatures w14:val="none"/>
        </w:rPr>
      </w:pPr>
      <w:r w:rsidRPr="00012DA0">
        <w:rPr>
          <w:rFonts w:ascii="Times New Roman" w:eastAsia="Times New Roman" w:hAnsi="Times New Roman" w:cs="Times New Roman"/>
          <w:noProof/>
          <w:kern w:val="0"/>
          <w14:ligatures w14:val="none"/>
        </w:rPr>
        <w:lastRenderedPageBreak/>
        <w:drawing>
          <wp:inline distT="0" distB="0" distL="0" distR="0" wp14:anchorId="0F0B34CC" wp14:editId="3BF5331A">
            <wp:extent cx="7858125" cy="4286250"/>
            <wp:effectExtent l="0" t="0" r="9525" b="0"/>
            <wp:docPr id="3"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7858125" cy="4286250"/>
                    </a:xfrm>
                    <a:prstGeom prst="rect">
                      <a:avLst/>
                    </a:prstGeom>
                    <a:noFill/>
                    <a:ln>
                      <a:noFill/>
                    </a:ln>
                  </pic:spPr>
                </pic:pic>
              </a:graphicData>
            </a:graphic>
          </wp:inline>
        </w:drawing>
      </w:r>
    </w:p>
    <w:p w14:paraId="3976863A" w14:textId="77777777" w:rsidR="00012DA0" w:rsidRPr="00012DA0" w:rsidRDefault="00012DA0" w:rsidP="00012DA0">
      <w:pPr>
        <w:spacing w:before="100" w:beforeAutospacing="1" w:after="100" w:afterAutospacing="1" w:line="240" w:lineRule="auto"/>
        <w:rPr>
          <w:rFonts w:ascii="Times New Roman" w:eastAsia="Times New Roman" w:hAnsi="Times New Roman" w:cs="Times New Roman"/>
          <w:kern w:val="0"/>
          <w14:ligatures w14:val="none"/>
        </w:rPr>
      </w:pPr>
      <w:r w:rsidRPr="00012DA0">
        <w:rPr>
          <w:rFonts w:ascii="Times New Roman" w:eastAsia="Times New Roman" w:hAnsi="Times New Roman" w:cs="Times New Roman"/>
          <w:b/>
          <w:bCs/>
          <w:kern w:val="0"/>
          <w14:ligatures w14:val="none"/>
        </w:rPr>
        <w:t>Saphnelo (AstraZeneca) — mixed signals vs CRL clarity</w:t>
      </w:r>
      <w:r w:rsidRPr="00012DA0">
        <w:rPr>
          <w:rFonts w:ascii="Times New Roman" w:eastAsia="Times New Roman" w:hAnsi="Times New Roman" w:cs="Times New Roman"/>
          <w:kern w:val="0"/>
          <w14:ligatures w14:val="none"/>
        </w:rPr>
        <w:br/>
        <w:t xml:space="preserve">Latest US regulator communications on the subcutaneous version of </w:t>
      </w:r>
      <w:r w:rsidRPr="00012DA0">
        <w:rPr>
          <w:rFonts w:ascii="Times New Roman" w:eastAsia="Times New Roman" w:hAnsi="Times New Roman" w:cs="Times New Roman"/>
          <w:b/>
          <w:bCs/>
          <w:kern w:val="0"/>
          <w14:ligatures w14:val="none"/>
        </w:rPr>
        <w:t>Saphnelo</w:t>
      </w:r>
      <w:r w:rsidRPr="00012DA0">
        <w:rPr>
          <w:rFonts w:ascii="Times New Roman" w:eastAsia="Times New Roman" w:hAnsi="Times New Roman" w:cs="Times New Roman"/>
          <w:kern w:val="0"/>
          <w14:ligatures w14:val="none"/>
        </w:rPr>
        <w:t xml:space="preserve"> for lupus have been conflated in feeds as a “rejection,” but the primary sources tell a more nuanced story: the FDA issued a </w:t>
      </w:r>
      <w:r w:rsidRPr="00012DA0">
        <w:rPr>
          <w:rFonts w:ascii="Times New Roman" w:eastAsia="Times New Roman" w:hAnsi="Times New Roman" w:cs="Times New Roman"/>
          <w:b/>
          <w:bCs/>
          <w:kern w:val="0"/>
          <w14:ligatures w14:val="none"/>
        </w:rPr>
        <w:t>Complete Response Letter</w:t>
      </w:r>
      <w:r w:rsidRPr="00012DA0">
        <w:rPr>
          <w:rFonts w:ascii="Times New Roman" w:eastAsia="Times New Roman" w:hAnsi="Times New Roman" w:cs="Times New Roman"/>
          <w:kern w:val="0"/>
          <w14:ligatures w14:val="none"/>
        </w:rPr>
        <w:t xml:space="preserve"> (CRL) on the Biologics License Application for the sub</w:t>
      </w:r>
      <w:r w:rsidRPr="00012DA0">
        <w:rPr>
          <w:rFonts w:ascii="Times New Roman" w:eastAsia="Times New Roman" w:hAnsi="Times New Roman" w:cs="Times New Roman"/>
          <w:kern w:val="0"/>
          <w14:ligatures w14:val="none"/>
        </w:rPr>
        <w:noBreakHyphen/>
        <w:t>Q formulation, and AZ has responded with requested data while anticipating an updated review decision in the first half of 2026. The intravenous form remains approved and commercially available. (</w:t>
      </w:r>
      <w:hyperlink r:id="rId40" w:tooltip="Update on US regulatory review of Saphnelo ..." w:history="1">
        <w:r w:rsidRPr="00012DA0">
          <w:rPr>
            <w:rFonts w:ascii="Times New Roman" w:eastAsia="Times New Roman" w:hAnsi="Times New Roman" w:cs="Times New Roman"/>
            <w:color w:val="0000FF"/>
            <w:kern w:val="0"/>
            <w:u w:val="single"/>
            <w14:ligatures w14:val="none"/>
          </w:rPr>
          <w:t>AstraZeneca</w:t>
        </w:r>
      </w:hyperlink>
      <w:r w:rsidRPr="00012DA0">
        <w:rPr>
          <w:rFonts w:ascii="Times New Roman" w:eastAsia="Times New Roman" w:hAnsi="Times New Roman" w:cs="Times New Roman"/>
          <w:kern w:val="0"/>
          <w14:ligatures w14:val="none"/>
        </w:rPr>
        <w:t>)</w:t>
      </w:r>
    </w:p>
    <w:p w14:paraId="130830D2" w14:textId="77777777" w:rsidR="00012DA0" w:rsidRPr="00012DA0" w:rsidRDefault="00012DA0" w:rsidP="00012DA0">
      <w:pPr>
        <w:spacing w:before="100" w:beforeAutospacing="1" w:after="100" w:afterAutospacing="1" w:line="240" w:lineRule="auto"/>
        <w:rPr>
          <w:rFonts w:ascii="Times New Roman" w:eastAsia="Times New Roman" w:hAnsi="Times New Roman" w:cs="Times New Roman"/>
          <w:kern w:val="0"/>
          <w14:ligatures w14:val="none"/>
        </w:rPr>
      </w:pPr>
      <w:r w:rsidRPr="00012DA0">
        <w:rPr>
          <w:rFonts w:ascii="Times New Roman" w:eastAsia="Times New Roman" w:hAnsi="Times New Roman" w:cs="Times New Roman"/>
          <w:b/>
          <w:bCs/>
          <w:kern w:val="0"/>
          <w14:ligatures w14:val="none"/>
        </w:rPr>
        <w:t>Anaphylm (Aquestive) — CRL with firm fix path</w:t>
      </w:r>
      <w:r w:rsidRPr="00012DA0">
        <w:rPr>
          <w:rFonts w:ascii="Times New Roman" w:eastAsia="Times New Roman" w:hAnsi="Times New Roman" w:cs="Times New Roman"/>
          <w:kern w:val="0"/>
          <w14:ligatures w14:val="none"/>
        </w:rPr>
        <w:br/>
        <w:t xml:space="preserve">Aquestive Therapeutics disclosed that the FDA issued a </w:t>
      </w:r>
      <w:r w:rsidRPr="00012DA0">
        <w:rPr>
          <w:rFonts w:ascii="Times New Roman" w:eastAsia="Times New Roman" w:hAnsi="Times New Roman" w:cs="Times New Roman"/>
          <w:b/>
          <w:bCs/>
          <w:kern w:val="0"/>
          <w14:ligatures w14:val="none"/>
        </w:rPr>
        <w:t>CRL</w:t>
      </w:r>
      <w:r w:rsidRPr="00012DA0">
        <w:rPr>
          <w:rFonts w:ascii="Times New Roman" w:eastAsia="Times New Roman" w:hAnsi="Times New Roman" w:cs="Times New Roman"/>
          <w:kern w:val="0"/>
          <w14:ligatures w14:val="none"/>
        </w:rPr>
        <w:t xml:space="preserve"> for </w:t>
      </w:r>
      <w:r w:rsidRPr="00012DA0">
        <w:rPr>
          <w:rFonts w:ascii="Times New Roman" w:eastAsia="Times New Roman" w:hAnsi="Times New Roman" w:cs="Times New Roman"/>
          <w:b/>
          <w:bCs/>
          <w:kern w:val="0"/>
          <w14:ligatures w14:val="none"/>
        </w:rPr>
        <w:t>Anaphylm™</w:t>
      </w:r>
      <w:r w:rsidRPr="00012DA0">
        <w:rPr>
          <w:rFonts w:ascii="Times New Roman" w:eastAsia="Times New Roman" w:hAnsi="Times New Roman" w:cs="Times New Roman"/>
          <w:kern w:val="0"/>
          <w14:ligatures w14:val="none"/>
        </w:rPr>
        <w:t xml:space="preserve"> (its sublingual epinephrine film) on Jan 30, 2026. The issues cited are specifically related to packaging and human factors that could compromise administration in anaphylaxis, plus a supportive pharmacokinetics study requirement; the company says it has already updated packaging and labeling and plans rapid resubmission as early as Q3 2026. (</w:t>
      </w:r>
      <w:hyperlink r:id="rId41" w:tooltip="Aquestive Therapeutics Announces FDA Issuance of ..." w:history="1">
        <w:r w:rsidRPr="00012DA0">
          <w:rPr>
            <w:rFonts w:ascii="Times New Roman" w:eastAsia="Times New Roman" w:hAnsi="Times New Roman" w:cs="Times New Roman"/>
            <w:color w:val="0000FF"/>
            <w:kern w:val="0"/>
            <w:u w:val="single"/>
            <w14:ligatures w14:val="none"/>
          </w:rPr>
          <w:t>BioSpace</w:t>
        </w:r>
      </w:hyperlink>
      <w:r w:rsidRPr="00012DA0">
        <w:rPr>
          <w:rFonts w:ascii="Times New Roman" w:eastAsia="Times New Roman" w:hAnsi="Times New Roman" w:cs="Times New Roman"/>
          <w:kern w:val="0"/>
          <w14:ligatures w14:val="none"/>
        </w:rPr>
        <w:t>)</w:t>
      </w:r>
    </w:p>
    <w:p w14:paraId="3C45A249" w14:textId="77777777" w:rsidR="00012DA0" w:rsidRPr="00012DA0" w:rsidRDefault="00012DA0" w:rsidP="00012DA0">
      <w:pPr>
        <w:spacing w:before="100" w:beforeAutospacing="1" w:after="100" w:afterAutospacing="1" w:line="240" w:lineRule="auto"/>
        <w:rPr>
          <w:rFonts w:ascii="Times New Roman" w:eastAsia="Times New Roman" w:hAnsi="Times New Roman" w:cs="Times New Roman"/>
          <w:kern w:val="0"/>
          <w14:ligatures w14:val="none"/>
        </w:rPr>
      </w:pPr>
      <w:r w:rsidRPr="00012DA0">
        <w:rPr>
          <w:rFonts w:ascii="Times New Roman" w:eastAsia="Times New Roman" w:hAnsi="Times New Roman" w:cs="Times New Roman"/>
          <w:b/>
          <w:bCs/>
          <w:kern w:val="0"/>
          <w14:ligatures w14:val="none"/>
        </w:rPr>
        <w:t>Bitopertin (Disc Medicine) — action date ambiguity</w:t>
      </w:r>
      <w:r w:rsidRPr="00012DA0">
        <w:rPr>
          <w:rFonts w:ascii="Times New Roman" w:eastAsia="Times New Roman" w:hAnsi="Times New Roman" w:cs="Times New Roman"/>
          <w:kern w:val="0"/>
          <w14:ligatures w14:val="none"/>
        </w:rPr>
        <w:br/>
        <w:t xml:space="preserve">For </w:t>
      </w:r>
      <w:r w:rsidRPr="00012DA0">
        <w:rPr>
          <w:rFonts w:ascii="Times New Roman" w:eastAsia="Times New Roman" w:hAnsi="Times New Roman" w:cs="Times New Roman"/>
          <w:b/>
          <w:bCs/>
          <w:kern w:val="0"/>
          <w14:ligatures w14:val="none"/>
        </w:rPr>
        <w:t>bitopertin</w:t>
      </w:r>
      <w:r w:rsidRPr="00012DA0">
        <w:rPr>
          <w:rFonts w:ascii="Times New Roman" w:eastAsia="Times New Roman" w:hAnsi="Times New Roman" w:cs="Times New Roman"/>
          <w:kern w:val="0"/>
          <w14:ligatures w14:val="none"/>
        </w:rPr>
        <w:t xml:space="preserve">, being reviewed under the FDA’s new Commissioner’s National Priority Voucher program for </w:t>
      </w:r>
      <w:r w:rsidRPr="00012DA0">
        <w:rPr>
          <w:rFonts w:ascii="Times New Roman" w:eastAsia="Times New Roman" w:hAnsi="Times New Roman" w:cs="Times New Roman"/>
          <w:b/>
          <w:bCs/>
          <w:kern w:val="0"/>
          <w14:ligatures w14:val="none"/>
        </w:rPr>
        <w:t>erythropoietic protoporphyria (EPP)</w:t>
      </w:r>
      <w:r w:rsidRPr="00012DA0">
        <w:rPr>
          <w:rFonts w:ascii="Times New Roman" w:eastAsia="Times New Roman" w:hAnsi="Times New Roman" w:cs="Times New Roman"/>
          <w:kern w:val="0"/>
          <w14:ligatures w14:val="none"/>
        </w:rPr>
        <w:t xml:space="preserve">, internal schedules appear to have shifted. Reuters and other sources indicated the FDA extended the review to </w:t>
      </w:r>
      <w:r w:rsidRPr="00012DA0">
        <w:rPr>
          <w:rFonts w:ascii="Times New Roman" w:eastAsia="Times New Roman" w:hAnsi="Times New Roman" w:cs="Times New Roman"/>
          <w:b/>
          <w:bCs/>
          <w:kern w:val="0"/>
          <w14:ligatures w14:val="none"/>
        </w:rPr>
        <w:t>Feb 10, 2026</w:t>
      </w:r>
      <w:r w:rsidRPr="00012DA0">
        <w:rPr>
          <w:rFonts w:ascii="Times New Roman" w:eastAsia="Times New Roman" w:hAnsi="Times New Roman" w:cs="Times New Roman"/>
          <w:kern w:val="0"/>
          <w14:ligatures w14:val="none"/>
        </w:rPr>
        <w:t xml:space="preserve">, and that metadata on ‘decision’ or PDUFA timing in feeds has been inconsistent. Disc’s own filings </w:t>
      </w:r>
      <w:r w:rsidRPr="00012DA0">
        <w:rPr>
          <w:rFonts w:ascii="Times New Roman" w:eastAsia="Times New Roman" w:hAnsi="Times New Roman" w:cs="Times New Roman"/>
          <w:kern w:val="0"/>
          <w14:ligatures w14:val="none"/>
        </w:rPr>
        <w:lastRenderedPageBreak/>
        <w:t>confirm the NDA was accepted under accelerated pathways, but public calendars have not aligned perfectly with internal or external tracker dates. (</w:t>
      </w:r>
      <w:hyperlink r:id="rId42" w:tooltip="Disc Medicine's Bitopertin Approval Delayed to February" w:history="1">
        <w:r w:rsidRPr="00012DA0">
          <w:rPr>
            <w:rFonts w:ascii="Times New Roman" w:eastAsia="Times New Roman" w:hAnsi="Times New Roman" w:cs="Times New Roman"/>
            <w:color w:val="0000FF"/>
            <w:kern w:val="0"/>
            <w:u w:val="single"/>
            <w14:ligatures w14:val="none"/>
          </w:rPr>
          <w:t>@IntellectiaAI</w:t>
        </w:r>
      </w:hyperlink>
      <w:r w:rsidRPr="00012DA0">
        <w:rPr>
          <w:rFonts w:ascii="Times New Roman" w:eastAsia="Times New Roman" w:hAnsi="Times New Roman" w:cs="Times New Roman"/>
          <w:kern w:val="0"/>
          <w14:ligatures w14:val="none"/>
        </w:rPr>
        <w:t>)</w:t>
      </w:r>
    </w:p>
    <w:p w14:paraId="566F949F" w14:textId="77777777" w:rsidR="00012DA0" w:rsidRPr="00012DA0" w:rsidRDefault="00012DA0" w:rsidP="00012DA0">
      <w:pPr>
        <w:spacing w:before="100" w:beforeAutospacing="1" w:after="100" w:afterAutospacing="1" w:line="240" w:lineRule="auto"/>
        <w:rPr>
          <w:rFonts w:ascii="Times New Roman" w:eastAsia="Times New Roman" w:hAnsi="Times New Roman" w:cs="Times New Roman"/>
          <w:kern w:val="0"/>
          <w14:ligatures w14:val="none"/>
        </w:rPr>
      </w:pPr>
      <w:r w:rsidRPr="00012DA0">
        <w:rPr>
          <w:rFonts w:ascii="Times New Roman" w:eastAsia="Times New Roman" w:hAnsi="Times New Roman" w:cs="Times New Roman"/>
          <w:b/>
          <w:bCs/>
          <w:kern w:val="0"/>
          <w14:ligatures w14:val="none"/>
        </w:rPr>
        <w:t>Why you should care (quick tension build)</w:t>
      </w:r>
      <w:r w:rsidRPr="00012DA0">
        <w:rPr>
          <w:rFonts w:ascii="Times New Roman" w:eastAsia="Times New Roman" w:hAnsi="Times New Roman" w:cs="Times New Roman"/>
          <w:kern w:val="0"/>
          <w14:ligatures w14:val="none"/>
        </w:rPr>
        <w:br/>
        <w:t>These three cases — a large cap biologic line extension, a small biotech first</w:t>
      </w:r>
      <w:r w:rsidRPr="00012DA0">
        <w:rPr>
          <w:rFonts w:ascii="Times New Roman" w:eastAsia="Times New Roman" w:hAnsi="Times New Roman" w:cs="Times New Roman"/>
          <w:kern w:val="0"/>
          <w14:ligatures w14:val="none"/>
        </w:rPr>
        <w:noBreakHyphen/>
        <w:t>in</w:t>
      </w:r>
      <w:r w:rsidRPr="00012DA0">
        <w:rPr>
          <w:rFonts w:ascii="Times New Roman" w:eastAsia="Times New Roman" w:hAnsi="Times New Roman" w:cs="Times New Roman"/>
          <w:kern w:val="0"/>
          <w14:ligatures w14:val="none"/>
        </w:rPr>
        <w:noBreakHyphen/>
        <w:t xml:space="preserve">class product, and a rare disease priority review — are all reflecting </w:t>
      </w:r>
      <w:r w:rsidRPr="00012DA0">
        <w:rPr>
          <w:rFonts w:ascii="Times New Roman" w:eastAsia="Times New Roman" w:hAnsi="Times New Roman" w:cs="Times New Roman"/>
          <w:b/>
          <w:bCs/>
          <w:kern w:val="0"/>
          <w14:ligatures w14:val="none"/>
        </w:rPr>
        <w:t>regulatory nuance, timing uncertainty, and communication gaps</w:t>
      </w:r>
      <w:r w:rsidRPr="00012DA0">
        <w:rPr>
          <w:rFonts w:ascii="Times New Roman" w:eastAsia="Times New Roman" w:hAnsi="Times New Roman" w:cs="Times New Roman"/>
          <w:kern w:val="0"/>
          <w14:ligatures w14:val="none"/>
        </w:rPr>
        <w:t xml:space="preserve"> between press feeds and primary sources, which can materially impact timing signals and equity catalysts in early 2026.</w:t>
      </w:r>
    </w:p>
    <w:p w14:paraId="11A58A41" w14:textId="77777777" w:rsidR="00012DA0" w:rsidRPr="00012DA0" w:rsidRDefault="00012DA0" w:rsidP="00012DA0">
      <w:pPr>
        <w:spacing w:before="100" w:beforeAutospacing="1" w:after="100" w:afterAutospacing="1" w:line="240" w:lineRule="auto"/>
        <w:rPr>
          <w:rFonts w:ascii="Times New Roman" w:eastAsia="Times New Roman" w:hAnsi="Times New Roman" w:cs="Times New Roman"/>
          <w:kern w:val="0"/>
          <w14:ligatures w14:val="none"/>
        </w:rPr>
      </w:pPr>
      <w:r w:rsidRPr="00012DA0">
        <w:rPr>
          <w:rFonts w:ascii="Times New Roman" w:eastAsia="Times New Roman" w:hAnsi="Times New Roman" w:cs="Times New Roman"/>
          <w:kern w:val="0"/>
          <w14:ligatures w14:val="none"/>
        </w:rPr>
        <w:t>If you want immediate links to the primary press releases/SEC filings or FDA docket entries for any of these, just say which one you want first.</w:t>
      </w:r>
    </w:p>
    <w:p w14:paraId="58FB9D8B" w14:textId="77777777" w:rsidR="00012DA0" w:rsidRPr="00012DA0" w:rsidRDefault="00012DA0" w:rsidP="00012DA0">
      <w:pPr>
        <w:spacing w:before="100" w:beforeAutospacing="1" w:after="100" w:afterAutospacing="1" w:line="240" w:lineRule="auto"/>
        <w:rPr>
          <w:rFonts w:ascii="Times New Roman" w:eastAsia="Times New Roman" w:hAnsi="Times New Roman" w:cs="Times New Roman"/>
          <w:kern w:val="0"/>
          <w14:ligatures w14:val="none"/>
        </w:rPr>
      </w:pPr>
      <w:r w:rsidRPr="00012DA0">
        <w:rPr>
          <w:rFonts w:ascii="Times New Roman" w:eastAsia="Times New Roman" w:hAnsi="Times New Roman" w:cs="Times New Roman"/>
          <w:kern w:val="0"/>
          <w14:ligatures w14:val="none"/>
        </w:rPr>
        <w:t>Here’s the short, sharp regulatory snapshot you need — a trio of FDA</w:t>
      </w:r>
      <w:r w:rsidRPr="00012DA0">
        <w:rPr>
          <w:rFonts w:ascii="Times New Roman" w:eastAsia="Times New Roman" w:hAnsi="Times New Roman" w:cs="Times New Roman"/>
          <w:kern w:val="0"/>
          <w14:ligatures w14:val="none"/>
        </w:rPr>
        <w:noBreakHyphen/>
        <w:t>centric ambiguity and timeline shifts that have been driving biotech feeds and price action this week.</w:t>
      </w:r>
    </w:p>
    <w:p w14:paraId="47D7BD8E" w14:textId="77777777" w:rsidR="00012DA0" w:rsidRPr="00012DA0" w:rsidRDefault="00012DA0" w:rsidP="00012DA0">
      <w:pPr>
        <w:spacing w:before="100" w:beforeAutospacing="1" w:after="100" w:afterAutospacing="1" w:line="240" w:lineRule="auto"/>
        <w:rPr>
          <w:rFonts w:ascii="Times New Roman" w:eastAsia="Times New Roman" w:hAnsi="Times New Roman" w:cs="Times New Roman"/>
          <w:kern w:val="0"/>
          <w14:ligatures w14:val="none"/>
        </w:rPr>
      </w:pPr>
      <w:r w:rsidRPr="00012DA0">
        <w:rPr>
          <w:rFonts w:ascii="Times New Roman" w:eastAsia="Times New Roman" w:hAnsi="Times New Roman" w:cs="Times New Roman"/>
          <w:noProof/>
          <w:kern w:val="0"/>
          <w14:ligatures w14:val="none"/>
        </w:rPr>
        <mc:AlternateContent>
          <mc:Choice Requires="wps">
            <w:drawing>
              <wp:inline distT="0" distB="0" distL="0" distR="0" wp14:anchorId="3302C323" wp14:editId="0C04E3DE">
                <wp:extent cx="304800" cy="304800"/>
                <wp:effectExtent l="0" t="0" r="0" b="0"/>
                <wp:docPr id="379914843" name="AutoShape 7"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80EBA0" id="AutoShape 7"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A8FC52E" w14:textId="77777777" w:rsidR="00012DA0" w:rsidRPr="00012DA0" w:rsidRDefault="00012DA0" w:rsidP="00012DA0">
      <w:pPr>
        <w:spacing w:before="100" w:beforeAutospacing="1" w:after="100" w:afterAutospacing="1" w:line="240" w:lineRule="auto"/>
        <w:rPr>
          <w:rFonts w:ascii="Times New Roman" w:eastAsia="Times New Roman" w:hAnsi="Times New Roman" w:cs="Times New Roman"/>
          <w:kern w:val="0"/>
          <w14:ligatures w14:val="none"/>
        </w:rPr>
      </w:pPr>
      <w:r w:rsidRPr="00012DA0">
        <w:rPr>
          <w:rFonts w:ascii="Times New Roman" w:eastAsia="Times New Roman" w:hAnsi="Times New Roman" w:cs="Times New Roman"/>
          <w:noProof/>
          <w:kern w:val="0"/>
          <w14:ligatures w14:val="none"/>
        </w:rPr>
        <w:drawing>
          <wp:inline distT="0" distB="0" distL="0" distR="0" wp14:anchorId="32A6806F" wp14:editId="3899F26C">
            <wp:extent cx="2857500" cy="1609725"/>
            <wp:effectExtent l="0" t="0" r="0" b="9525"/>
            <wp:docPr id="8" name="Picture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mag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857500" cy="1609725"/>
                    </a:xfrm>
                    <a:prstGeom prst="rect">
                      <a:avLst/>
                    </a:prstGeom>
                    <a:noFill/>
                    <a:ln>
                      <a:noFill/>
                    </a:ln>
                  </pic:spPr>
                </pic:pic>
              </a:graphicData>
            </a:graphic>
          </wp:inline>
        </w:drawing>
      </w:r>
    </w:p>
    <w:p w14:paraId="388C5253" w14:textId="77777777" w:rsidR="00012DA0" w:rsidRPr="00012DA0" w:rsidRDefault="00012DA0" w:rsidP="00012DA0">
      <w:pPr>
        <w:spacing w:before="100" w:beforeAutospacing="1" w:after="100" w:afterAutospacing="1" w:line="240" w:lineRule="auto"/>
        <w:rPr>
          <w:rFonts w:ascii="Times New Roman" w:eastAsia="Times New Roman" w:hAnsi="Times New Roman" w:cs="Times New Roman"/>
          <w:kern w:val="0"/>
          <w14:ligatures w14:val="none"/>
        </w:rPr>
      </w:pPr>
      <w:r w:rsidRPr="00012DA0">
        <w:rPr>
          <w:rFonts w:ascii="Times New Roman" w:eastAsia="Times New Roman" w:hAnsi="Times New Roman" w:cs="Times New Roman"/>
          <w:noProof/>
          <w:kern w:val="0"/>
          <w14:ligatures w14:val="none"/>
        </w:rPr>
        <w:lastRenderedPageBreak/>
        <w:drawing>
          <wp:inline distT="0" distB="0" distL="0" distR="0" wp14:anchorId="04F5F9BF" wp14:editId="6B7AC610">
            <wp:extent cx="7858125" cy="4286250"/>
            <wp:effectExtent l="0" t="0" r="9525" b="0"/>
            <wp:docPr id="9" name="Picture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7858125" cy="4286250"/>
                    </a:xfrm>
                    <a:prstGeom prst="rect">
                      <a:avLst/>
                    </a:prstGeom>
                    <a:noFill/>
                    <a:ln>
                      <a:noFill/>
                    </a:ln>
                  </pic:spPr>
                </pic:pic>
              </a:graphicData>
            </a:graphic>
          </wp:inline>
        </w:drawing>
      </w:r>
    </w:p>
    <w:p w14:paraId="7A3F011B" w14:textId="77777777" w:rsidR="00012DA0" w:rsidRPr="00012DA0" w:rsidRDefault="00012DA0" w:rsidP="00012DA0">
      <w:pPr>
        <w:spacing w:before="100" w:beforeAutospacing="1" w:after="100" w:afterAutospacing="1" w:line="240" w:lineRule="auto"/>
        <w:rPr>
          <w:rFonts w:ascii="Times New Roman" w:eastAsia="Times New Roman" w:hAnsi="Times New Roman" w:cs="Times New Roman"/>
          <w:kern w:val="0"/>
          <w14:ligatures w14:val="none"/>
        </w:rPr>
      </w:pPr>
      <w:r w:rsidRPr="00012DA0">
        <w:rPr>
          <w:rFonts w:ascii="Times New Roman" w:eastAsia="Times New Roman" w:hAnsi="Times New Roman" w:cs="Times New Roman"/>
          <w:b/>
          <w:bCs/>
          <w:kern w:val="0"/>
          <w14:ligatures w14:val="none"/>
        </w:rPr>
        <w:t>Saphnelo (AstraZeneca) — mixed signals vs CRL clarity</w:t>
      </w:r>
      <w:r w:rsidRPr="00012DA0">
        <w:rPr>
          <w:rFonts w:ascii="Times New Roman" w:eastAsia="Times New Roman" w:hAnsi="Times New Roman" w:cs="Times New Roman"/>
          <w:kern w:val="0"/>
          <w14:ligatures w14:val="none"/>
        </w:rPr>
        <w:br/>
        <w:t xml:space="preserve">Latest US regulator communications on the subcutaneous version of </w:t>
      </w:r>
      <w:r w:rsidRPr="00012DA0">
        <w:rPr>
          <w:rFonts w:ascii="Times New Roman" w:eastAsia="Times New Roman" w:hAnsi="Times New Roman" w:cs="Times New Roman"/>
          <w:b/>
          <w:bCs/>
          <w:kern w:val="0"/>
          <w14:ligatures w14:val="none"/>
        </w:rPr>
        <w:t>Saphnelo</w:t>
      </w:r>
      <w:r w:rsidRPr="00012DA0">
        <w:rPr>
          <w:rFonts w:ascii="Times New Roman" w:eastAsia="Times New Roman" w:hAnsi="Times New Roman" w:cs="Times New Roman"/>
          <w:kern w:val="0"/>
          <w14:ligatures w14:val="none"/>
        </w:rPr>
        <w:t xml:space="preserve"> for lupus have been conflated in feeds as a “rejection,” but the primary sources tell a more nuanced story: the FDA issued a </w:t>
      </w:r>
      <w:r w:rsidRPr="00012DA0">
        <w:rPr>
          <w:rFonts w:ascii="Times New Roman" w:eastAsia="Times New Roman" w:hAnsi="Times New Roman" w:cs="Times New Roman"/>
          <w:b/>
          <w:bCs/>
          <w:kern w:val="0"/>
          <w14:ligatures w14:val="none"/>
        </w:rPr>
        <w:t>Complete Response Letter</w:t>
      </w:r>
      <w:r w:rsidRPr="00012DA0">
        <w:rPr>
          <w:rFonts w:ascii="Times New Roman" w:eastAsia="Times New Roman" w:hAnsi="Times New Roman" w:cs="Times New Roman"/>
          <w:kern w:val="0"/>
          <w14:ligatures w14:val="none"/>
        </w:rPr>
        <w:t xml:space="preserve"> (CRL) on the Biologics License Application for the sub</w:t>
      </w:r>
      <w:r w:rsidRPr="00012DA0">
        <w:rPr>
          <w:rFonts w:ascii="Times New Roman" w:eastAsia="Times New Roman" w:hAnsi="Times New Roman" w:cs="Times New Roman"/>
          <w:kern w:val="0"/>
          <w14:ligatures w14:val="none"/>
        </w:rPr>
        <w:noBreakHyphen/>
        <w:t>Q formulation, and AZ has responded with requested data while anticipating an updated review decision in the first half of 2026. The intravenous form remains approved and commercially available. (</w:t>
      </w:r>
      <w:hyperlink r:id="rId43" w:tooltip="Update on US regulatory review of Saphnelo ..." w:history="1">
        <w:r w:rsidRPr="00012DA0">
          <w:rPr>
            <w:rFonts w:ascii="Times New Roman" w:eastAsia="Times New Roman" w:hAnsi="Times New Roman" w:cs="Times New Roman"/>
            <w:color w:val="0000FF"/>
            <w:kern w:val="0"/>
            <w:u w:val="single"/>
            <w14:ligatures w14:val="none"/>
          </w:rPr>
          <w:t>AstraZeneca</w:t>
        </w:r>
      </w:hyperlink>
      <w:r w:rsidRPr="00012DA0">
        <w:rPr>
          <w:rFonts w:ascii="Times New Roman" w:eastAsia="Times New Roman" w:hAnsi="Times New Roman" w:cs="Times New Roman"/>
          <w:kern w:val="0"/>
          <w14:ligatures w14:val="none"/>
        </w:rPr>
        <w:t>)</w:t>
      </w:r>
    </w:p>
    <w:p w14:paraId="5E1A6989" w14:textId="77777777" w:rsidR="00012DA0" w:rsidRPr="00012DA0" w:rsidRDefault="00012DA0" w:rsidP="00012DA0">
      <w:pPr>
        <w:spacing w:before="100" w:beforeAutospacing="1" w:after="100" w:afterAutospacing="1" w:line="240" w:lineRule="auto"/>
        <w:rPr>
          <w:rFonts w:ascii="Times New Roman" w:eastAsia="Times New Roman" w:hAnsi="Times New Roman" w:cs="Times New Roman"/>
          <w:kern w:val="0"/>
          <w14:ligatures w14:val="none"/>
        </w:rPr>
      </w:pPr>
      <w:r w:rsidRPr="00012DA0">
        <w:rPr>
          <w:rFonts w:ascii="Times New Roman" w:eastAsia="Times New Roman" w:hAnsi="Times New Roman" w:cs="Times New Roman"/>
          <w:b/>
          <w:bCs/>
          <w:kern w:val="0"/>
          <w14:ligatures w14:val="none"/>
        </w:rPr>
        <w:t>Anaphylm (Aquestive) — CRL with firm fix path</w:t>
      </w:r>
      <w:r w:rsidRPr="00012DA0">
        <w:rPr>
          <w:rFonts w:ascii="Times New Roman" w:eastAsia="Times New Roman" w:hAnsi="Times New Roman" w:cs="Times New Roman"/>
          <w:kern w:val="0"/>
          <w14:ligatures w14:val="none"/>
        </w:rPr>
        <w:br/>
        <w:t xml:space="preserve">Aquestive Therapeutics disclosed that the FDA issued a </w:t>
      </w:r>
      <w:r w:rsidRPr="00012DA0">
        <w:rPr>
          <w:rFonts w:ascii="Times New Roman" w:eastAsia="Times New Roman" w:hAnsi="Times New Roman" w:cs="Times New Roman"/>
          <w:b/>
          <w:bCs/>
          <w:kern w:val="0"/>
          <w14:ligatures w14:val="none"/>
        </w:rPr>
        <w:t>CRL</w:t>
      </w:r>
      <w:r w:rsidRPr="00012DA0">
        <w:rPr>
          <w:rFonts w:ascii="Times New Roman" w:eastAsia="Times New Roman" w:hAnsi="Times New Roman" w:cs="Times New Roman"/>
          <w:kern w:val="0"/>
          <w14:ligatures w14:val="none"/>
        </w:rPr>
        <w:t xml:space="preserve"> for </w:t>
      </w:r>
      <w:r w:rsidRPr="00012DA0">
        <w:rPr>
          <w:rFonts w:ascii="Times New Roman" w:eastAsia="Times New Roman" w:hAnsi="Times New Roman" w:cs="Times New Roman"/>
          <w:b/>
          <w:bCs/>
          <w:kern w:val="0"/>
          <w14:ligatures w14:val="none"/>
        </w:rPr>
        <w:t>Anaphylm™</w:t>
      </w:r>
      <w:r w:rsidRPr="00012DA0">
        <w:rPr>
          <w:rFonts w:ascii="Times New Roman" w:eastAsia="Times New Roman" w:hAnsi="Times New Roman" w:cs="Times New Roman"/>
          <w:kern w:val="0"/>
          <w14:ligatures w14:val="none"/>
        </w:rPr>
        <w:t xml:space="preserve"> (its sublingual epinephrine film) on Jan 30, 2026. The issues cited are specifically related to packaging and human factors that could compromise administration in anaphylaxis, plus a supportive pharmacokinetics study requirement; the company says it has already updated packaging and labeling and plans rapid resubmission as early as Q3 2026. (</w:t>
      </w:r>
      <w:hyperlink r:id="rId44" w:tooltip="Aquestive Therapeutics Announces FDA Issuance of ..." w:history="1">
        <w:r w:rsidRPr="00012DA0">
          <w:rPr>
            <w:rFonts w:ascii="Times New Roman" w:eastAsia="Times New Roman" w:hAnsi="Times New Roman" w:cs="Times New Roman"/>
            <w:color w:val="0000FF"/>
            <w:kern w:val="0"/>
            <w:u w:val="single"/>
            <w14:ligatures w14:val="none"/>
          </w:rPr>
          <w:t>BioSpace</w:t>
        </w:r>
      </w:hyperlink>
      <w:r w:rsidRPr="00012DA0">
        <w:rPr>
          <w:rFonts w:ascii="Times New Roman" w:eastAsia="Times New Roman" w:hAnsi="Times New Roman" w:cs="Times New Roman"/>
          <w:kern w:val="0"/>
          <w14:ligatures w14:val="none"/>
        </w:rPr>
        <w:t>)</w:t>
      </w:r>
    </w:p>
    <w:p w14:paraId="364F8902" w14:textId="77777777" w:rsidR="00012DA0" w:rsidRPr="00012DA0" w:rsidRDefault="00012DA0" w:rsidP="00012DA0">
      <w:pPr>
        <w:spacing w:before="100" w:beforeAutospacing="1" w:after="100" w:afterAutospacing="1" w:line="240" w:lineRule="auto"/>
        <w:rPr>
          <w:rFonts w:ascii="Times New Roman" w:eastAsia="Times New Roman" w:hAnsi="Times New Roman" w:cs="Times New Roman"/>
          <w:kern w:val="0"/>
          <w14:ligatures w14:val="none"/>
        </w:rPr>
      </w:pPr>
      <w:r w:rsidRPr="00012DA0">
        <w:rPr>
          <w:rFonts w:ascii="Times New Roman" w:eastAsia="Times New Roman" w:hAnsi="Times New Roman" w:cs="Times New Roman"/>
          <w:b/>
          <w:bCs/>
          <w:kern w:val="0"/>
          <w14:ligatures w14:val="none"/>
        </w:rPr>
        <w:t>Bitopertin (Disc Medicine) — action date ambiguity</w:t>
      </w:r>
      <w:r w:rsidRPr="00012DA0">
        <w:rPr>
          <w:rFonts w:ascii="Times New Roman" w:eastAsia="Times New Roman" w:hAnsi="Times New Roman" w:cs="Times New Roman"/>
          <w:kern w:val="0"/>
          <w14:ligatures w14:val="none"/>
        </w:rPr>
        <w:br/>
        <w:t xml:space="preserve">For </w:t>
      </w:r>
      <w:r w:rsidRPr="00012DA0">
        <w:rPr>
          <w:rFonts w:ascii="Times New Roman" w:eastAsia="Times New Roman" w:hAnsi="Times New Roman" w:cs="Times New Roman"/>
          <w:b/>
          <w:bCs/>
          <w:kern w:val="0"/>
          <w14:ligatures w14:val="none"/>
        </w:rPr>
        <w:t>bitopertin</w:t>
      </w:r>
      <w:r w:rsidRPr="00012DA0">
        <w:rPr>
          <w:rFonts w:ascii="Times New Roman" w:eastAsia="Times New Roman" w:hAnsi="Times New Roman" w:cs="Times New Roman"/>
          <w:kern w:val="0"/>
          <w14:ligatures w14:val="none"/>
        </w:rPr>
        <w:t xml:space="preserve">, being reviewed under the FDA’s new Commissioner’s National Priority Voucher program for </w:t>
      </w:r>
      <w:r w:rsidRPr="00012DA0">
        <w:rPr>
          <w:rFonts w:ascii="Times New Roman" w:eastAsia="Times New Roman" w:hAnsi="Times New Roman" w:cs="Times New Roman"/>
          <w:b/>
          <w:bCs/>
          <w:kern w:val="0"/>
          <w14:ligatures w14:val="none"/>
        </w:rPr>
        <w:t>erythropoietic protoporphyria (EPP)</w:t>
      </w:r>
      <w:r w:rsidRPr="00012DA0">
        <w:rPr>
          <w:rFonts w:ascii="Times New Roman" w:eastAsia="Times New Roman" w:hAnsi="Times New Roman" w:cs="Times New Roman"/>
          <w:kern w:val="0"/>
          <w14:ligatures w14:val="none"/>
        </w:rPr>
        <w:t xml:space="preserve">, internal schedules appear to have shifted. Reuters and other sources indicated the FDA extended the review to </w:t>
      </w:r>
      <w:r w:rsidRPr="00012DA0">
        <w:rPr>
          <w:rFonts w:ascii="Times New Roman" w:eastAsia="Times New Roman" w:hAnsi="Times New Roman" w:cs="Times New Roman"/>
          <w:b/>
          <w:bCs/>
          <w:kern w:val="0"/>
          <w14:ligatures w14:val="none"/>
        </w:rPr>
        <w:t>Feb 10, 2026</w:t>
      </w:r>
      <w:r w:rsidRPr="00012DA0">
        <w:rPr>
          <w:rFonts w:ascii="Times New Roman" w:eastAsia="Times New Roman" w:hAnsi="Times New Roman" w:cs="Times New Roman"/>
          <w:kern w:val="0"/>
          <w14:ligatures w14:val="none"/>
        </w:rPr>
        <w:t xml:space="preserve">, and that metadata on ‘decision’ or PDUFA timing in feeds has been inconsistent. Disc’s own filings </w:t>
      </w:r>
      <w:r w:rsidRPr="00012DA0">
        <w:rPr>
          <w:rFonts w:ascii="Times New Roman" w:eastAsia="Times New Roman" w:hAnsi="Times New Roman" w:cs="Times New Roman"/>
          <w:kern w:val="0"/>
          <w14:ligatures w14:val="none"/>
        </w:rPr>
        <w:lastRenderedPageBreak/>
        <w:t>confirm the NDA was accepted under accelerated pathways, but public calendars have not aligned perfectly with internal or external tracker dates. (</w:t>
      </w:r>
      <w:hyperlink r:id="rId45" w:tooltip="Disc Medicine's Bitopertin Approval Delayed to February" w:history="1">
        <w:r w:rsidRPr="00012DA0">
          <w:rPr>
            <w:rFonts w:ascii="Times New Roman" w:eastAsia="Times New Roman" w:hAnsi="Times New Roman" w:cs="Times New Roman"/>
            <w:color w:val="0000FF"/>
            <w:kern w:val="0"/>
            <w:u w:val="single"/>
            <w14:ligatures w14:val="none"/>
          </w:rPr>
          <w:t>@IntellectiaAI</w:t>
        </w:r>
      </w:hyperlink>
      <w:r w:rsidRPr="00012DA0">
        <w:rPr>
          <w:rFonts w:ascii="Times New Roman" w:eastAsia="Times New Roman" w:hAnsi="Times New Roman" w:cs="Times New Roman"/>
          <w:kern w:val="0"/>
          <w14:ligatures w14:val="none"/>
        </w:rPr>
        <w:t>)</w:t>
      </w:r>
    </w:p>
    <w:p w14:paraId="2447DC35" w14:textId="77777777" w:rsidR="00012DA0" w:rsidRPr="00012DA0" w:rsidRDefault="00012DA0" w:rsidP="00012DA0">
      <w:pPr>
        <w:spacing w:before="100" w:beforeAutospacing="1" w:after="100" w:afterAutospacing="1" w:line="240" w:lineRule="auto"/>
        <w:rPr>
          <w:rFonts w:ascii="Times New Roman" w:eastAsia="Times New Roman" w:hAnsi="Times New Roman" w:cs="Times New Roman"/>
          <w:kern w:val="0"/>
          <w14:ligatures w14:val="none"/>
        </w:rPr>
      </w:pPr>
      <w:r w:rsidRPr="00012DA0">
        <w:rPr>
          <w:rFonts w:ascii="Times New Roman" w:eastAsia="Times New Roman" w:hAnsi="Times New Roman" w:cs="Times New Roman"/>
          <w:b/>
          <w:bCs/>
          <w:kern w:val="0"/>
          <w14:ligatures w14:val="none"/>
        </w:rPr>
        <w:t>Why you should care (quick tension build)</w:t>
      </w:r>
      <w:r w:rsidRPr="00012DA0">
        <w:rPr>
          <w:rFonts w:ascii="Times New Roman" w:eastAsia="Times New Roman" w:hAnsi="Times New Roman" w:cs="Times New Roman"/>
          <w:kern w:val="0"/>
          <w14:ligatures w14:val="none"/>
        </w:rPr>
        <w:br/>
        <w:t>These three cases — a large cap biologic line extension, a small biotech first</w:t>
      </w:r>
      <w:r w:rsidRPr="00012DA0">
        <w:rPr>
          <w:rFonts w:ascii="Times New Roman" w:eastAsia="Times New Roman" w:hAnsi="Times New Roman" w:cs="Times New Roman"/>
          <w:kern w:val="0"/>
          <w14:ligatures w14:val="none"/>
        </w:rPr>
        <w:noBreakHyphen/>
        <w:t>in</w:t>
      </w:r>
      <w:r w:rsidRPr="00012DA0">
        <w:rPr>
          <w:rFonts w:ascii="Times New Roman" w:eastAsia="Times New Roman" w:hAnsi="Times New Roman" w:cs="Times New Roman"/>
          <w:kern w:val="0"/>
          <w14:ligatures w14:val="none"/>
        </w:rPr>
        <w:noBreakHyphen/>
        <w:t xml:space="preserve">class product, and a rare disease priority review — are all reflecting </w:t>
      </w:r>
      <w:r w:rsidRPr="00012DA0">
        <w:rPr>
          <w:rFonts w:ascii="Times New Roman" w:eastAsia="Times New Roman" w:hAnsi="Times New Roman" w:cs="Times New Roman"/>
          <w:b/>
          <w:bCs/>
          <w:kern w:val="0"/>
          <w14:ligatures w14:val="none"/>
        </w:rPr>
        <w:t>regulatory nuance, timing uncertainty, and communication gaps</w:t>
      </w:r>
      <w:r w:rsidRPr="00012DA0">
        <w:rPr>
          <w:rFonts w:ascii="Times New Roman" w:eastAsia="Times New Roman" w:hAnsi="Times New Roman" w:cs="Times New Roman"/>
          <w:kern w:val="0"/>
          <w14:ligatures w14:val="none"/>
        </w:rPr>
        <w:t xml:space="preserve"> between press feeds and primary sources, which can materially impact timing signals and equity catalysts in early 2026.</w:t>
      </w:r>
    </w:p>
    <w:p w14:paraId="73D7A5DB" w14:textId="77777777" w:rsidR="00012DA0" w:rsidRPr="00012DA0" w:rsidRDefault="00012DA0" w:rsidP="00012DA0">
      <w:pPr>
        <w:spacing w:before="100" w:beforeAutospacing="1" w:after="100" w:afterAutospacing="1" w:line="240" w:lineRule="auto"/>
        <w:rPr>
          <w:rFonts w:ascii="Times New Roman" w:eastAsia="Times New Roman" w:hAnsi="Times New Roman" w:cs="Times New Roman"/>
          <w:kern w:val="0"/>
          <w14:ligatures w14:val="none"/>
        </w:rPr>
      </w:pPr>
      <w:r w:rsidRPr="00012DA0">
        <w:rPr>
          <w:rFonts w:ascii="Times New Roman" w:eastAsia="Times New Roman" w:hAnsi="Times New Roman" w:cs="Times New Roman"/>
          <w:kern w:val="0"/>
          <w14:ligatures w14:val="none"/>
        </w:rPr>
        <w:t>If you want immediate links to the primary press releases/SEC filings or FDA docket entries for any of these, just say which one you want first.</w:t>
      </w:r>
    </w:p>
    <w:p w14:paraId="7A32713F" w14:textId="77777777" w:rsidR="00B76AF0" w:rsidRPr="00B76AF0" w:rsidRDefault="00B76AF0" w:rsidP="00B76AF0">
      <w:r w:rsidRPr="00B76AF0">
        <w:t xml:space="preserve">I’m sharing this because </w:t>
      </w:r>
      <w:r w:rsidRPr="00B76AF0">
        <w:rPr>
          <w:b/>
          <w:bCs/>
        </w:rPr>
        <w:t xml:space="preserve">Fortress Biotech’s latest regulatory milestone has created a real tangible asset (a Priority Review Voucher) that could materially affect revenue and valuation </w:t>
      </w:r>
      <w:r w:rsidRPr="00B76AF0">
        <w:rPr>
          <w:b/>
          <w:bCs/>
          <w:i/>
          <w:iCs/>
        </w:rPr>
        <w:t>if</w:t>
      </w:r>
      <w:r w:rsidRPr="00B76AF0">
        <w:rPr>
          <w:b/>
          <w:bCs/>
        </w:rPr>
        <w:t xml:space="preserve"> and </w:t>
      </w:r>
      <w:r w:rsidRPr="00B76AF0">
        <w:rPr>
          <w:b/>
          <w:bCs/>
          <w:i/>
          <w:iCs/>
        </w:rPr>
        <w:t>when</w:t>
      </w:r>
      <w:r w:rsidRPr="00B76AF0">
        <w:rPr>
          <w:b/>
          <w:bCs/>
        </w:rPr>
        <w:t xml:space="preserve"> it’s monetized — and that’s exactly the kind of hidden catalyst that can change a rerate model’s assumptions.</w:t>
      </w:r>
    </w:p>
    <w:p w14:paraId="7C2F6A28" w14:textId="4AB91CDA" w:rsidR="00B76AF0" w:rsidRPr="00B76AF0" w:rsidRDefault="00B76AF0" w:rsidP="00B76AF0">
      <w:r w:rsidRPr="00B76AF0">
        <w:rPr>
          <w:noProof/>
        </w:rPr>
        <mc:AlternateContent>
          <mc:Choice Requires="wps">
            <w:drawing>
              <wp:inline distT="0" distB="0" distL="0" distR="0" wp14:anchorId="2FF0B1FC" wp14:editId="249D89B8">
                <wp:extent cx="304800" cy="304800"/>
                <wp:effectExtent l="0" t="0" r="0" b="0"/>
                <wp:docPr id="1086610805" name="Rectangle 9"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68DE15" id="Rectangle 9"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2086C81" w14:textId="4910C6B5" w:rsidR="00B76AF0" w:rsidRPr="00B76AF0" w:rsidRDefault="00B76AF0" w:rsidP="00B76AF0">
      <w:r w:rsidRPr="00B76AF0">
        <w:rPr>
          <w:noProof/>
        </w:rPr>
        <w:drawing>
          <wp:inline distT="0" distB="0" distL="0" distR="0" wp14:anchorId="3FE8E810" wp14:editId="41A7450C">
            <wp:extent cx="3333750" cy="2447925"/>
            <wp:effectExtent l="0" t="0" r="0" b="9525"/>
            <wp:docPr id="194932751" name="Picture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Image"/>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333750" cy="2447925"/>
                    </a:xfrm>
                    <a:prstGeom prst="rect">
                      <a:avLst/>
                    </a:prstGeom>
                    <a:noFill/>
                    <a:ln>
                      <a:noFill/>
                    </a:ln>
                  </pic:spPr>
                </pic:pic>
              </a:graphicData>
            </a:graphic>
          </wp:inline>
        </w:drawing>
      </w:r>
    </w:p>
    <w:p w14:paraId="583760F6" w14:textId="40651201" w:rsidR="00B76AF0" w:rsidRPr="00B76AF0" w:rsidRDefault="00B76AF0" w:rsidP="00B76AF0">
      <w:r w:rsidRPr="00B76AF0">
        <w:rPr>
          <w:noProof/>
        </w:rPr>
        <w:lastRenderedPageBreak/>
        <w:drawing>
          <wp:inline distT="0" distB="0" distL="0" distR="0" wp14:anchorId="651B8DA5" wp14:editId="36B45D1E">
            <wp:extent cx="5486400" cy="8229600"/>
            <wp:effectExtent l="0" t="0" r="0" b="0"/>
            <wp:docPr id="2018248243" name="Picture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mage"/>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486400" cy="8229600"/>
                    </a:xfrm>
                    <a:prstGeom prst="rect">
                      <a:avLst/>
                    </a:prstGeom>
                    <a:noFill/>
                    <a:ln>
                      <a:noFill/>
                    </a:ln>
                  </pic:spPr>
                </pic:pic>
              </a:graphicData>
            </a:graphic>
          </wp:inline>
        </w:drawing>
      </w:r>
    </w:p>
    <w:p w14:paraId="5F8F9DE0" w14:textId="3E26725B" w:rsidR="00B76AF0" w:rsidRPr="00B76AF0" w:rsidRDefault="00B76AF0" w:rsidP="00B76AF0">
      <w:r w:rsidRPr="00B76AF0">
        <w:rPr>
          <w:noProof/>
        </w:rPr>
        <w:lastRenderedPageBreak/>
        <w:drawing>
          <wp:inline distT="0" distB="0" distL="0" distR="0" wp14:anchorId="6D15D8FE" wp14:editId="05197EE9">
            <wp:extent cx="5943600" cy="3343275"/>
            <wp:effectExtent l="0" t="0" r="0" b="9525"/>
            <wp:docPr id="1081350748" name="Picture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Image"/>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23A8726B" w14:textId="77777777" w:rsidR="00B76AF0" w:rsidRPr="00B76AF0" w:rsidRDefault="00B76AF0" w:rsidP="00B76AF0">
      <w:r w:rsidRPr="00B76AF0">
        <w:t xml:space="preserve">Fortress’s most recent </w:t>
      </w:r>
      <w:r w:rsidRPr="00B76AF0">
        <w:rPr>
          <w:b/>
          <w:bCs/>
        </w:rPr>
        <w:t>SEC 8</w:t>
      </w:r>
      <w:r w:rsidRPr="00B76AF0">
        <w:rPr>
          <w:b/>
          <w:bCs/>
        </w:rPr>
        <w:noBreakHyphen/>
        <w:t>K confirms that FDA approval of ZYCUBO for Menkes disease generated a Rare Pediatric Disease Priority Review Voucher (PRV) that will be owned by its subsidiary Cyprium Therapeutics, Inc.</w:t>
      </w:r>
      <w:r w:rsidRPr="00B76AF0">
        <w:t xml:space="preserve"> This voucher is explicitly described as a </w:t>
      </w:r>
      <w:r w:rsidRPr="00B76AF0">
        <w:rPr>
          <w:i/>
          <w:iCs/>
        </w:rPr>
        <w:t>regulatory asset</w:t>
      </w:r>
      <w:r w:rsidRPr="00B76AF0">
        <w:t xml:space="preserve"> that can be applied to accelerate another product’s review </w:t>
      </w:r>
      <w:r w:rsidRPr="00B76AF0">
        <w:rPr>
          <w:i/>
          <w:iCs/>
        </w:rPr>
        <w:t>or</w:t>
      </w:r>
      <w:r w:rsidRPr="00B76AF0">
        <w:t xml:space="preserve"> transferred/sold as allowed by FDA program rules (as defined under the Prescription Drug User Fee Act and related intangible asset accounting principles).(</w:t>
      </w:r>
      <w:hyperlink r:id="rId49" w:tooltip="Fortress Biotech gets FDA nod for ZYCUBO | FBIO SEC Filing" w:history="1">
        <w:r w:rsidRPr="00B76AF0">
          <w:rPr>
            <w:rStyle w:val="Hyperlink"/>
          </w:rPr>
          <w:t>Stock Titan</w:t>
        </w:r>
      </w:hyperlink>
      <w:r w:rsidRPr="00B76AF0">
        <w:t>)</w:t>
      </w:r>
    </w:p>
    <w:p w14:paraId="103A36C2" w14:textId="77777777" w:rsidR="00B76AF0" w:rsidRPr="00B76AF0" w:rsidRDefault="00B76AF0" w:rsidP="00B76AF0">
      <w:r w:rsidRPr="00B76AF0">
        <w:t xml:space="preserve">Here’s the key </w:t>
      </w:r>
      <w:r w:rsidRPr="00B76AF0">
        <w:rPr>
          <w:b/>
          <w:bCs/>
        </w:rPr>
        <w:t>legal/accounting framing from filings and associated guidance:</w:t>
      </w:r>
    </w:p>
    <w:p w14:paraId="245379AF" w14:textId="77777777" w:rsidR="00B76AF0" w:rsidRPr="00B76AF0" w:rsidRDefault="00B76AF0" w:rsidP="00B76AF0">
      <w:pPr>
        <w:numPr>
          <w:ilvl w:val="0"/>
          <w:numId w:val="6"/>
        </w:numPr>
      </w:pPr>
      <w:r w:rsidRPr="00B76AF0">
        <w:rPr>
          <w:b/>
          <w:bCs/>
        </w:rPr>
        <w:t>PRVs are treated as regulatory assets under GAAP</w:t>
      </w:r>
      <w:r w:rsidRPr="00B76AF0">
        <w:t xml:space="preserve"> when earned — meaning they’re recorded on the balance sheet </w:t>
      </w:r>
      <w:r w:rsidRPr="00B76AF0">
        <w:rPr>
          <w:i/>
          <w:iCs/>
        </w:rPr>
        <w:t>before</w:t>
      </w:r>
      <w:r w:rsidRPr="00B76AF0">
        <w:t xml:space="preserve"> monetization, because they represent an enforceable right to future benefit (an expedited review or sale value). This is why companies note them separately in 8</w:t>
      </w:r>
      <w:r w:rsidRPr="00B76AF0">
        <w:noBreakHyphen/>
        <w:t>K press language.(</w:t>
      </w:r>
      <w:hyperlink r:id="rId50" w:tooltip="Fortress Biotech gets FDA nod for ZYCUBO | FBIO SEC Filing" w:history="1">
        <w:r w:rsidRPr="00B76AF0">
          <w:rPr>
            <w:rStyle w:val="Hyperlink"/>
          </w:rPr>
          <w:t>Stock Titan</w:t>
        </w:r>
      </w:hyperlink>
      <w:r w:rsidRPr="00B76AF0">
        <w:t>)</w:t>
      </w:r>
    </w:p>
    <w:p w14:paraId="316FF3CF" w14:textId="77777777" w:rsidR="00B76AF0" w:rsidRPr="00B76AF0" w:rsidRDefault="00B76AF0" w:rsidP="00B76AF0">
      <w:pPr>
        <w:numPr>
          <w:ilvl w:val="0"/>
          <w:numId w:val="6"/>
        </w:numPr>
      </w:pPr>
      <w:r w:rsidRPr="00B76AF0">
        <w:t>In FBIO’s case, the 8</w:t>
      </w:r>
      <w:r w:rsidRPr="00B76AF0">
        <w:noBreakHyphen/>
        <w:t xml:space="preserve">K notes the voucher </w:t>
      </w:r>
      <w:r w:rsidRPr="00B76AF0">
        <w:rPr>
          <w:i/>
          <w:iCs/>
        </w:rPr>
        <w:t>will be transferred to a subsidiary</w:t>
      </w:r>
      <w:r w:rsidRPr="00B76AF0">
        <w:t xml:space="preserve"> (Cyprium), implying Fortress does not recognize immediate cash proceeds on issuance; instead, the voucher becomes an asset of that subsidiary.(</w:t>
      </w:r>
      <w:hyperlink r:id="rId51" w:tooltip="Fortress Biotech gets FDA nod for ZYCUBO | FBIO SEC Filing" w:history="1">
        <w:r w:rsidRPr="00B76AF0">
          <w:rPr>
            <w:rStyle w:val="Hyperlink"/>
          </w:rPr>
          <w:t>Stock Titan</w:t>
        </w:r>
      </w:hyperlink>
      <w:r w:rsidRPr="00B76AF0">
        <w:t>)</w:t>
      </w:r>
    </w:p>
    <w:p w14:paraId="2EE91FBF" w14:textId="77777777" w:rsidR="00B76AF0" w:rsidRPr="00B76AF0" w:rsidRDefault="00B76AF0" w:rsidP="00B76AF0">
      <w:pPr>
        <w:numPr>
          <w:ilvl w:val="0"/>
          <w:numId w:val="6"/>
        </w:numPr>
      </w:pPr>
      <w:r w:rsidRPr="00B76AF0">
        <w:t xml:space="preserve">The accounting and cash impact only occur when the PRV is </w:t>
      </w:r>
      <w:r w:rsidRPr="00B76AF0">
        <w:rPr>
          <w:i/>
          <w:iCs/>
        </w:rPr>
        <w:t>sold or used</w:t>
      </w:r>
      <w:r w:rsidRPr="00B76AF0">
        <w:t>:</w:t>
      </w:r>
    </w:p>
    <w:p w14:paraId="4073AA2B" w14:textId="77777777" w:rsidR="00B76AF0" w:rsidRPr="00B76AF0" w:rsidRDefault="00B76AF0" w:rsidP="00B76AF0">
      <w:pPr>
        <w:numPr>
          <w:ilvl w:val="1"/>
          <w:numId w:val="6"/>
        </w:numPr>
      </w:pPr>
      <w:r w:rsidRPr="00B76AF0">
        <w:rPr>
          <w:i/>
          <w:iCs/>
        </w:rPr>
        <w:t>Sale proceeds go to the holder (subsidiary), not automatically to the parent unless there’s an intercompany agreement or profit share arrangement.</w:t>
      </w:r>
      <w:r w:rsidRPr="00B76AF0">
        <w:t>*</w:t>
      </w:r>
    </w:p>
    <w:p w14:paraId="30540DE9" w14:textId="77777777" w:rsidR="00B76AF0" w:rsidRPr="00B76AF0" w:rsidRDefault="00B76AF0" w:rsidP="00B76AF0">
      <w:pPr>
        <w:numPr>
          <w:ilvl w:val="1"/>
          <w:numId w:val="6"/>
        </w:numPr>
      </w:pPr>
      <w:r w:rsidRPr="00B76AF0">
        <w:rPr>
          <w:b/>
          <w:bCs/>
        </w:rPr>
        <w:lastRenderedPageBreak/>
        <w:t>In practice, companies often either sell the voucher outright (one</w:t>
      </w:r>
      <w:r w:rsidRPr="00B76AF0">
        <w:rPr>
          <w:b/>
          <w:bCs/>
        </w:rPr>
        <w:noBreakHyphen/>
        <w:t>time cash) or deploy it to accelerate a high</w:t>
      </w:r>
      <w:r w:rsidRPr="00B76AF0">
        <w:rPr>
          <w:b/>
          <w:bCs/>
        </w:rPr>
        <w:noBreakHyphen/>
        <w:t>value NDA/BLA, compressing future revenue timelines.</w:t>
      </w:r>
    </w:p>
    <w:p w14:paraId="23A678C4" w14:textId="77777777" w:rsidR="00B76AF0" w:rsidRPr="00B76AF0" w:rsidRDefault="00B76AF0" w:rsidP="00B76AF0">
      <w:r w:rsidRPr="00B76AF0">
        <w:rPr>
          <w:b/>
          <w:bCs/>
        </w:rPr>
        <w:t>Jazz’s recent PRV sale provides a strong parallel:</w:t>
      </w:r>
    </w:p>
    <w:p w14:paraId="4473B7DE" w14:textId="77777777" w:rsidR="00B76AF0" w:rsidRPr="00B76AF0" w:rsidRDefault="00B76AF0" w:rsidP="00B76AF0">
      <w:pPr>
        <w:numPr>
          <w:ilvl w:val="0"/>
          <w:numId w:val="7"/>
        </w:numPr>
      </w:pPr>
      <w:r w:rsidRPr="00B76AF0">
        <w:t xml:space="preserve">Jazz Pharmaceuticals sold a rare pediatric disease Priority Review Voucher for </w:t>
      </w:r>
      <w:r w:rsidRPr="00B76AF0">
        <w:rPr>
          <w:b/>
          <w:bCs/>
        </w:rPr>
        <w:t>$200</w:t>
      </w:r>
      <w:r w:rsidRPr="00B76AF0">
        <w:rPr>
          <w:rFonts w:ascii="Arial" w:hAnsi="Arial" w:cs="Arial"/>
          <w:b/>
          <w:bCs/>
        </w:rPr>
        <w:t> </w:t>
      </w:r>
      <w:r w:rsidRPr="00B76AF0">
        <w:rPr>
          <w:b/>
          <w:bCs/>
        </w:rPr>
        <w:t>million</w:t>
      </w:r>
      <w:r w:rsidRPr="00B76AF0">
        <w:t>, reported as the second</w:t>
      </w:r>
      <w:r w:rsidRPr="00B76AF0">
        <w:noBreakHyphen/>
        <w:t xml:space="preserve">highest price since 2015 — and </w:t>
      </w:r>
      <w:r w:rsidRPr="00B76AF0">
        <w:rPr>
          <w:i/>
          <w:iCs/>
        </w:rPr>
        <w:t>approximately 50</w:t>
      </w:r>
      <w:r w:rsidRPr="00B76AF0">
        <w:rPr>
          <w:rFonts w:ascii="Arial" w:hAnsi="Arial" w:cs="Arial"/>
          <w:i/>
          <w:iCs/>
        </w:rPr>
        <w:t> </w:t>
      </w:r>
      <w:r w:rsidRPr="00B76AF0">
        <w:rPr>
          <w:i/>
          <w:iCs/>
        </w:rPr>
        <w:t>% of the net proceeds went directly to Jazz</w:t>
      </w:r>
      <w:r w:rsidRPr="00B76AF0">
        <w:t>. The remainder’s recipient was not disclosed publicly.(</w:t>
      </w:r>
      <w:hyperlink r:id="rId52" w:tooltip="Telix Pharmaceuticals Reports US$804M FY25 Revenue ..." w:history="1">
        <w:r w:rsidRPr="00B76AF0">
          <w:rPr>
            <w:rStyle w:val="Hyperlink"/>
          </w:rPr>
          <w:t>LinkedIn</w:t>
        </w:r>
      </w:hyperlink>
      <w:r w:rsidRPr="00B76AF0">
        <w:t>)</w:t>
      </w:r>
    </w:p>
    <w:p w14:paraId="26619020" w14:textId="77777777" w:rsidR="00B76AF0" w:rsidRPr="00B76AF0" w:rsidRDefault="00B76AF0" w:rsidP="00B76AF0">
      <w:pPr>
        <w:numPr>
          <w:ilvl w:val="0"/>
          <w:numId w:val="7"/>
        </w:numPr>
      </w:pPr>
      <w:r w:rsidRPr="00B76AF0">
        <w:t>That sale is the most relevant pricing comp for FBIO’s voucher because it reflects real secondary market demand and helps anchor likely fair value assumptions in rerate models.</w:t>
      </w:r>
    </w:p>
    <w:p w14:paraId="07E2D240" w14:textId="77777777" w:rsidR="00B76AF0" w:rsidRPr="00B76AF0" w:rsidRDefault="00B76AF0" w:rsidP="00B76AF0">
      <w:r w:rsidRPr="00B76AF0">
        <w:rPr>
          <w:b/>
          <w:bCs/>
        </w:rPr>
        <w:t>Why this matters for rerate models and revenue recognition:</w:t>
      </w:r>
    </w:p>
    <w:p w14:paraId="23A8A4B0" w14:textId="77777777" w:rsidR="00B76AF0" w:rsidRPr="00B76AF0" w:rsidRDefault="00B76AF0" w:rsidP="00B76AF0">
      <w:pPr>
        <w:numPr>
          <w:ilvl w:val="0"/>
          <w:numId w:val="8"/>
        </w:numPr>
      </w:pPr>
      <w:r w:rsidRPr="00B76AF0">
        <w:rPr>
          <w:b/>
          <w:bCs/>
        </w:rPr>
        <w:t>Timing:</w:t>
      </w:r>
      <w:r w:rsidRPr="00B76AF0">
        <w:t xml:space="preserve"> A sale can occur months (or even years) after issuance, depending on market conditions and strategic plans — so you need to map expected </w:t>
      </w:r>
      <w:r w:rsidRPr="00B76AF0">
        <w:rPr>
          <w:i/>
          <w:iCs/>
        </w:rPr>
        <w:t>monetization timing</w:t>
      </w:r>
      <w:r w:rsidRPr="00B76AF0">
        <w:t xml:space="preserve"> into valuation.</w:t>
      </w:r>
    </w:p>
    <w:p w14:paraId="17C2B9B3" w14:textId="77777777" w:rsidR="00B76AF0" w:rsidRPr="00B76AF0" w:rsidRDefault="00B76AF0" w:rsidP="00B76AF0">
      <w:pPr>
        <w:numPr>
          <w:ilvl w:val="0"/>
          <w:numId w:val="8"/>
        </w:numPr>
      </w:pPr>
      <w:r w:rsidRPr="00B76AF0">
        <w:rPr>
          <w:b/>
          <w:bCs/>
        </w:rPr>
        <w:t>Accounting treatment:</w:t>
      </w:r>
    </w:p>
    <w:p w14:paraId="245ABFA0" w14:textId="77777777" w:rsidR="00B76AF0" w:rsidRPr="00B76AF0" w:rsidRDefault="00B76AF0" w:rsidP="00B76AF0">
      <w:pPr>
        <w:numPr>
          <w:ilvl w:val="1"/>
          <w:numId w:val="8"/>
        </w:numPr>
      </w:pPr>
      <w:r w:rsidRPr="00B76AF0">
        <w:t xml:space="preserve">Recognition of the PRV as an </w:t>
      </w:r>
      <w:r w:rsidRPr="00B76AF0">
        <w:rPr>
          <w:i/>
          <w:iCs/>
        </w:rPr>
        <w:t>intangible asset</w:t>
      </w:r>
      <w:r w:rsidRPr="00B76AF0">
        <w:t xml:space="preserve"> at issuance (no cash yet) increases </w:t>
      </w:r>
      <w:r w:rsidRPr="00B76AF0">
        <w:rPr>
          <w:i/>
          <w:iCs/>
        </w:rPr>
        <w:t>reported assets</w:t>
      </w:r>
      <w:r w:rsidRPr="00B76AF0">
        <w:t xml:space="preserve"> but </w:t>
      </w:r>
      <w:r w:rsidRPr="00B76AF0">
        <w:rPr>
          <w:i/>
          <w:iCs/>
        </w:rPr>
        <w:t>does not add cash flow</w:t>
      </w:r>
      <w:r w:rsidRPr="00B76AF0">
        <w:t xml:space="preserve"> until monetized.</w:t>
      </w:r>
    </w:p>
    <w:p w14:paraId="48762E6C" w14:textId="77777777" w:rsidR="00B76AF0" w:rsidRPr="00B76AF0" w:rsidRDefault="00B76AF0" w:rsidP="00B76AF0">
      <w:pPr>
        <w:numPr>
          <w:ilvl w:val="1"/>
          <w:numId w:val="8"/>
        </w:numPr>
      </w:pPr>
      <w:r w:rsidRPr="00B76AF0">
        <w:t xml:space="preserve">Sale proceeds, once realized, typically hit </w:t>
      </w:r>
      <w:r w:rsidRPr="00B76AF0">
        <w:rPr>
          <w:i/>
          <w:iCs/>
        </w:rPr>
        <w:t>other income</w:t>
      </w:r>
      <w:r w:rsidRPr="00B76AF0">
        <w:t xml:space="preserve"> or </w:t>
      </w:r>
      <w:r w:rsidRPr="00B76AF0">
        <w:rPr>
          <w:i/>
          <w:iCs/>
        </w:rPr>
        <w:t>operating cash flow</w:t>
      </w:r>
      <w:r w:rsidRPr="00B76AF0">
        <w:t xml:space="preserve"> depending on how the company structures the transaction and related agreements.</w:t>
      </w:r>
    </w:p>
    <w:p w14:paraId="78DFC224" w14:textId="77777777" w:rsidR="00B76AF0" w:rsidRPr="00B76AF0" w:rsidRDefault="00B76AF0" w:rsidP="00B76AF0">
      <w:pPr>
        <w:numPr>
          <w:ilvl w:val="0"/>
          <w:numId w:val="8"/>
        </w:numPr>
      </w:pPr>
      <w:r w:rsidRPr="00B76AF0">
        <w:rPr>
          <w:b/>
          <w:bCs/>
        </w:rPr>
        <w:t>Subsidiary flow</w:t>
      </w:r>
      <w:r w:rsidRPr="00B76AF0">
        <w:rPr>
          <w:b/>
          <w:bCs/>
        </w:rPr>
        <w:noBreakHyphen/>
        <w:t>through:</w:t>
      </w:r>
      <w:r w:rsidRPr="00B76AF0">
        <w:t xml:space="preserve"> Because the voucher is owned by Cyprium, cash proceeds may initially flow there, and Fortress may only benefit per intercompany economic arrangements — so valuation models must correctly parse who actually receives the cash and how earnings are consolidated.</w:t>
      </w:r>
    </w:p>
    <w:p w14:paraId="3B27E846" w14:textId="77777777" w:rsidR="00B76AF0" w:rsidRPr="00B76AF0" w:rsidRDefault="00B76AF0" w:rsidP="00B76AF0">
      <w:r w:rsidRPr="00B76AF0">
        <w:rPr>
          <w:b/>
          <w:bCs/>
        </w:rPr>
        <w:t>In practical rerate terms:</w:t>
      </w:r>
    </w:p>
    <w:p w14:paraId="05068F63" w14:textId="77777777" w:rsidR="00B76AF0" w:rsidRPr="00B76AF0" w:rsidRDefault="00B76AF0" w:rsidP="00B76AF0">
      <w:pPr>
        <w:numPr>
          <w:ilvl w:val="0"/>
          <w:numId w:val="9"/>
        </w:numPr>
      </w:pPr>
      <w:r w:rsidRPr="00B76AF0">
        <w:t xml:space="preserve">Use </w:t>
      </w:r>
      <w:r w:rsidRPr="00B76AF0">
        <w:rPr>
          <w:i/>
          <w:iCs/>
        </w:rPr>
        <w:t>baseline pricing comps</w:t>
      </w:r>
      <w:r w:rsidRPr="00B76AF0">
        <w:t xml:space="preserve"> like the $200</w:t>
      </w:r>
      <w:r w:rsidRPr="00B76AF0">
        <w:rPr>
          <w:rFonts w:ascii="Arial" w:hAnsi="Arial" w:cs="Arial"/>
        </w:rPr>
        <w:t> </w:t>
      </w:r>
      <w:r w:rsidRPr="00B76AF0">
        <w:t xml:space="preserve">M Jazz sale as a </w:t>
      </w:r>
      <w:r w:rsidRPr="00B76AF0">
        <w:rPr>
          <w:i/>
          <w:iCs/>
        </w:rPr>
        <w:t>valuation anchor</w:t>
      </w:r>
      <w:r w:rsidRPr="00B76AF0">
        <w:t xml:space="preserve"> for FBIO’s voucher.(</w:t>
      </w:r>
      <w:hyperlink r:id="rId53" w:tooltip="Telix Pharmaceuticals Reports US$804M FY25 Revenue ..." w:history="1">
        <w:r w:rsidRPr="00B76AF0">
          <w:rPr>
            <w:rStyle w:val="Hyperlink"/>
          </w:rPr>
          <w:t>LinkedIn</w:t>
        </w:r>
      </w:hyperlink>
      <w:r w:rsidRPr="00B76AF0">
        <w:t>)</w:t>
      </w:r>
    </w:p>
    <w:p w14:paraId="67B78727" w14:textId="77777777" w:rsidR="00B76AF0" w:rsidRPr="00B76AF0" w:rsidRDefault="00B76AF0" w:rsidP="00B76AF0">
      <w:pPr>
        <w:numPr>
          <w:ilvl w:val="0"/>
          <w:numId w:val="9"/>
        </w:numPr>
      </w:pPr>
      <w:r w:rsidRPr="00B76AF0">
        <w:t xml:space="preserve">Adjust for </w:t>
      </w:r>
      <w:r w:rsidRPr="00B76AF0">
        <w:rPr>
          <w:b/>
          <w:bCs/>
        </w:rPr>
        <w:t>timing risk</w:t>
      </w:r>
      <w:r w:rsidRPr="00B76AF0">
        <w:t xml:space="preserve"> (how long until monetization) and </w:t>
      </w:r>
      <w:r w:rsidRPr="00B76AF0">
        <w:rPr>
          <w:b/>
          <w:bCs/>
        </w:rPr>
        <w:t>flow</w:t>
      </w:r>
      <w:r w:rsidRPr="00B76AF0">
        <w:rPr>
          <w:b/>
          <w:bCs/>
        </w:rPr>
        <w:noBreakHyphen/>
        <w:t>through mechanics</w:t>
      </w:r>
      <w:r w:rsidRPr="00B76AF0">
        <w:t xml:space="preserve"> (parent vs subsidiary cut) when modeling uplift to EV/EBITDA or multiples.</w:t>
      </w:r>
    </w:p>
    <w:p w14:paraId="06C8DA3C" w14:textId="77777777" w:rsidR="00B76AF0" w:rsidRPr="00B76AF0" w:rsidRDefault="00B76AF0" w:rsidP="00B76AF0">
      <w:pPr>
        <w:numPr>
          <w:ilvl w:val="0"/>
          <w:numId w:val="9"/>
        </w:numPr>
      </w:pPr>
      <w:r w:rsidRPr="00B76AF0">
        <w:lastRenderedPageBreak/>
        <w:t xml:space="preserve">Be cautious about </w:t>
      </w:r>
      <w:r w:rsidRPr="00B76AF0">
        <w:rPr>
          <w:i/>
          <w:iCs/>
        </w:rPr>
        <w:t>small wording differences</w:t>
      </w:r>
      <w:r w:rsidRPr="00B76AF0">
        <w:t xml:space="preserve"> in filings — e.g., whether the voucher is held at the parent vs subsidiary level — as that directly affects </w:t>
      </w:r>
      <w:r w:rsidRPr="00B76AF0">
        <w:rPr>
          <w:b/>
          <w:bCs/>
        </w:rPr>
        <w:t>revenue recognition</w:t>
      </w:r>
      <w:r w:rsidRPr="00B76AF0">
        <w:t xml:space="preserve"> and </w:t>
      </w:r>
      <w:r w:rsidRPr="00B76AF0">
        <w:rPr>
          <w:b/>
          <w:bCs/>
        </w:rPr>
        <w:t>cash realization</w:t>
      </w:r>
      <w:r w:rsidRPr="00B76AF0">
        <w:t xml:space="preserve"> assumptions.</w:t>
      </w:r>
    </w:p>
    <w:p w14:paraId="6268D4F6" w14:textId="77777777" w:rsidR="00B76AF0" w:rsidRPr="00B76AF0" w:rsidRDefault="00B76AF0" w:rsidP="00B76AF0">
      <w:r w:rsidRPr="00B76AF0">
        <w:t xml:space="preserve">If needed, I can walk through how to </w:t>
      </w:r>
      <w:r w:rsidRPr="00B76AF0">
        <w:rPr>
          <w:i/>
          <w:iCs/>
        </w:rPr>
        <w:t>quantitatively integrate</w:t>
      </w:r>
      <w:r w:rsidRPr="00B76AF0">
        <w:t xml:space="preserve"> a PRV into a rerate model using Jazz’s sale as a benchmark and FBIO’s specific legal language from the 8</w:t>
      </w:r>
      <w:r w:rsidRPr="00B76AF0">
        <w:noBreakHyphen/>
        <w:t>K.</w:t>
      </w:r>
    </w:p>
    <w:p w14:paraId="268BFE7B" w14:textId="77777777" w:rsidR="00EE5A3A" w:rsidRPr="00EE5A3A" w:rsidRDefault="00EE5A3A" w:rsidP="00EE5A3A">
      <w:r w:rsidRPr="00EE5A3A">
        <w:t>Here’s a concise, high</w:t>
      </w:r>
      <w:r w:rsidRPr="00EE5A3A">
        <w:noBreakHyphen/>
        <w:t>impact summary of the three live developments that matter right now — from regulatory strategy to biotech deal flow:</w:t>
      </w:r>
    </w:p>
    <w:p w14:paraId="63AE7D4A" w14:textId="151CFF59" w:rsidR="00EE5A3A" w:rsidRPr="00EE5A3A" w:rsidRDefault="00EE5A3A" w:rsidP="00EE5A3A">
      <w:r w:rsidRPr="00EE5A3A">
        <w:rPr>
          <w:noProof/>
        </w:rPr>
        <w:drawing>
          <wp:inline distT="0" distB="0" distL="0" distR="0" wp14:anchorId="509F2C57" wp14:editId="78F2C92F">
            <wp:extent cx="5314950" cy="3438525"/>
            <wp:effectExtent l="0" t="0" r="0" b="9525"/>
            <wp:docPr id="884491125" name="Picture 1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Image"/>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314950" cy="3438525"/>
                    </a:xfrm>
                    <a:prstGeom prst="rect">
                      <a:avLst/>
                    </a:prstGeom>
                    <a:noFill/>
                    <a:ln>
                      <a:noFill/>
                    </a:ln>
                  </pic:spPr>
                </pic:pic>
              </a:graphicData>
            </a:graphic>
          </wp:inline>
        </w:drawing>
      </w:r>
    </w:p>
    <w:p w14:paraId="38095A19" w14:textId="7F3DDA7C" w:rsidR="00EE5A3A" w:rsidRPr="00EE5A3A" w:rsidRDefault="00EE5A3A" w:rsidP="00EE5A3A">
      <w:r w:rsidRPr="00EE5A3A">
        <w:rPr>
          <w:noProof/>
        </w:rPr>
        <w:lastRenderedPageBreak/>
        <w:drawing>
          <wp:inline distT="0" distB="0" distL="0" distR="0" wp14:anchorId="0574F8A0" wp14:editId="4FFAEB46">
            <wp:extent cx="5943600" cy="4195445"/>
            <wp:effectExtent l="0" t="0" r="0" b="0"/>
            <wp:docPr id="282967600" name="Picture 1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Image"/>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943600" cy="4195445"/>
                    </a:xfrm>
                    <a:prstGeom prst="rect">
                      <a:avLst/>
                    </a:prstGeom>
                    <a:noFill/>
                    <a:ln>
                      <a:noFill/>
                    </a:ln>
                  </pic:spPr>
                </pic:pic>
              </a:graphicData>
            </a:graphic>
          </wp:inline>
        </w:drawing>
      </w:r>
    </w:p>
    <w:p w14:paraId="59D23F3B" w14:textId="6AA12F47" w:rsidR="00EE5A3A" w:rsidRPr="00EE5A3A" w:rsidRDefault="00EE5A3A" w:rsidP="00EE5A3A">
      <w:r w:rsidRPr="00EE5A3A">
        <w:rPr>
          <w:noProof/>
        </w:rPr>
        <w:drawing>
          <wp:inline distT="0" distB="0" distL="0" distR="0" wp14:anchorId="7372BEA1" wp14:editId="303B365C">
            <wp:extent cx="5943600" cy="3051175"/>
            <wp:effectExtent l="0" t="0" r="0" b="0"/>
            <wp:docPr id="1918252527" name="Picture 1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Image"/>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43600" cy="3051175"/>
                    </a:xfrm>
                    <a:prstGeom prst="rect">
                      <a:avLst/>
                    </a:prstGeom>
                    <a:noFill/>
                    <a:ln>
                      <a:noFill/>
                    </a:ln>
                  </pic:spPr>
                </pic:pic>
              </a:graphicData>
            </a:graphic>
          </wp:inline>
        </w:drawing>
      </w:r>
    </w:p>
    <w:p w14:paraId="71D0A594" w14:textId="77777777" w:rsidR="00EE5A3A" w:rsidRPr="00EE5A3A" w:rsidRDefault="00EE5A3A" w:rsidP="00EE5A3A">
      <w:r w:rsidRPr="00EE5A3A">
        <w:rPr>
          <w:b/>
          <w:bCs/>
        </w:rPr>
        <w:t>A regulatory prize, a big biotech pact, and a funding</w:t>
      </w:r>
      <w:r w:rsidRPr="00EE5A3A">
        <w:rPr>
          <w:b/>
          <w:bCs/>
        </w:rPr>
        <w:noBreakHyphen/>
        <w:t>aligned asset deal just landed this week.</w:t>
      </w:r>
      <w:r w:rsidRPr="00EE5A3A">
        <w:t xml:space="preserve"> These three catalysts each create optionality, strategic leverage, or near</w:t>
      </w:r>
      <w:r w:rsidRPr="00EE5A3A">
        <w:noBreakHyphen/>
        <w:t xml:space="preserve">term </w:t>
      </w:r>
      <w:r w:rsidRPr="00EE5A3A">
        <w:lastRenderedPageBreak/>
        <w:t>financing for the companies involved — and all were announced or confirmed in early February 2026.</w:t>
      </w:r>
    </w:p>
    <w:p w14:paraId="6C6D153A" w14:textId="77777777" w:rsidR="00EE5A3A" w:rsidRPr="00EE5A3A" w:rsidRDefault="00644371" w:rsidP="00EE5A3A">
      <w:r>
        <w:pict w14:anchorId="140822A6">
          <v:rect id="_x0000_i1025" style="width:0;height:1.5pt" o:hralign="center" o:hrstd="t" o:hr="t" fillcolor="#a0a0a0" stroked="f"/>
        </w:pict>
      </w:r>
    </w:p>
    <w:p w14:paraId="2FD432A7" w14:textId="77777777" w:rsidR="00EE5A3A" w:rsidRPr="00EE5A3A" w:rsidRDefault="00EE5A3A" w:rsidP="00EE5A3A">
      <w:pPr>
        <w:rPr>
          <w:b/>
          <w:bCs/>
        </w:rPr>
      </w:pPr>
      <w:r w:rsidRPr="00EE5A3A">
        <w:rPr>
          <w:rFonts w:ascii="Segoe UI Emoji" w:hAnsi="Segoe UI Emoji" w:cs="Segoe UI Emoji"/>
          <w:b/>
          <w:bCs/>
        </w:rPr>
        <w:t>📌</w:t>
      </w:r>
      <w:r w:rsidRPr="00EE5A3A">
        <w:rPr>
          <w:b/>
          <w:bCs/>
        </w:rPr>
        <w:t xml:space="preserve"> 1) Sun Pharma Advanced Research Company Ltd secures a Rare Pediatric Disease Priority Review Voucher (PRV)</w:t>
      </w:r>
    </w:p>
    <w:p w14:paraId="7AA80FC0" w14:textId="77777777" w:rsidR="00EE5A3A" w:rsidRPr="00EE5A3A" w:rsidRDefault="00EE5A3A" w:rsidP="00EE5A3A">
      <w:pPr>
        <w:numPr>
          <w:ilvl w:val="0"/>
          <w:numId w:val="10"/>
        </w:numPr>
      </w:pPr>
      <w:r w:rsidRPr="00EE5A3A">
        <w:t xml:space="preserve">The </w:t>
      </w:r>
      <w:r w:rsidRPr="00EE5A3A">
        <w:rPr>
          <w:b/>
          <w:bCs/>
        </w:rPr>
        <w:t>FDA has granted SPARC a Rare Pediatric Disease Priority Review Voucher tied to the approval of Sezaby®</w:t>
      </w:r>
      <w:r w:rsidRPr="00EE5A3A">
        <w:t xml:space="preserve">, its neonatal seizure therapy. This is a </w:t>
      </w:r>
      <w:r w:rsidRPr="00EE5A3A">
        <w:rPr>
          <w:b/>
          <w:bCs/>
        </w:rPr>
        <w:t>grant asset, not a monetization deal</w:t>
      </w:r>
      <w:r w:rsidRPr="00EE5A3A">
        <w:t xml:space="preserve"> — but a tradable voucher nonetheless. (</w:t>
      </w:r>
      <w:hyperlink r:id="rId57" w:tooltip="SPARC receives Priority Review Voucher associated with ..." w:history="1">
        <w:r w:rsidRPr="00EE5A3A">
          <w:rPr>
            <w:rStyle w:val="Hyperlink"/>
          </w:rPr>
          <w:t>Express Pharma</w:t>
        </w:r>
      </w:hyperlink>
      <w:r w:rsidRPr="00EE5A3A">
        <w:t>)</w:t>
      </w:r>
    </w:p>
    <w:p w14:paraId="1C7125D9" w14:textId="77777777" w:rsidR="00EE5A3A" w:rsidRPr="00EE5A3A" w:rsidRDefault="00EE5A3A" w:rsidP="00EE5A3A">
      <w:pPr>
        <w:numPr>
          <w:ilvl w:val="0"/>
          <w:numId w:val="10"/>
        </w:numPr>
      </w:pPr>
      <w:r w:rsidRPr="00EE5A3A">
        <w:rPr>
          <w:b/>
          <w:bCs/>
        </w:rPr>
        <w:t>PRVs accelerate FDA review on a future, separate application</w:t>
      </w:r>
      <w:r w:rsidRPr="00EE5A3A">
        <w:t xml:space="preserve">, potentially shaving months off regulatory timelines — a strategic tool that can be </w:t>
      </w:r>
      <w:r w:rsidRPr="00EE5A3A">
        <w:rPr>
          <w:b/>
          <w:bCs/>
        </w:rPr>
        <w:t>redeemed or sold later</w:t>
      </w:r>
      <w:r w:rsidRPr="00EE5A3A">
        <w:t>. (</w:t>
      </w:r>
      <w:hyperlink r:id="rId58" w:tooltip="Rare Pediatric Disease Priority Review Voucher (PRV)" w:history="1">
        <w:r w:rsidRPr="00EE5A3A">
          <w:rPr>
            <w:rStyle w:val="Hyperlink"/>
          </w:rPr>
          <w:t>ASGCT</w:t>
        </w:r>
      </w:hyperlink>
      <w:r w:rsidRPr="00EE5A3A">
        <w:t>)</w:t>
      </w:r>
    </w:p>
    <w:p w14:paraId="3BC5BB4B" w14:textId="77777777" w:rsidR="00EE5A3A" w:rsidRPr="00EE5A3A" w:rsidRDefault="00EE5A3A" w:rsidP="00EE5A3A">
      <w:pPr>
        <w:numPr>
          <w:ilvl w:val="0"/>
          <w:numId w:val="10"/>
        </w:numPr>
      </w:pPr>
      <w:r w:rsidRPr="00EE5A3A">
        <w:t>SPARC’s CEO noted this reflects the company’s focus on high</w:t>
      </w:r>
      <w:r w:rsidRPr="00EE5A3A">
        <w:noBreakHyphen/>
        <w:t>unmet</w:t>
      </w:r>
      <w:r w:rsidRPr="00EE5A3A">
        <w:noBreakHyphen/>
        <w:t>need areas and gives the pipeline added flexibility for acceleration. (</w:t>
      </w:r>
      <w:hyperlink r:id="rId59" w:tooltip="SPARC receives Priority Review Voucher associated with ..." w:history="1">
        <w:r w:rsidRPr="00EE5A3A">
          <w:rPr>
            <w:rStyle w:val="Hyperlink"/>
          </w:rPr>
          <w:t>Express Pharma</w:t>
        </w:r>
      </w:hyperlink>
      <w:r w:rsidRPr="00EE5A3A">
        <w:t>)</w:t>
      </w:r>
    </w:p>
    <w:p w14:paraId="2BAEEE56" w14:textId="77777777" w:rsidR="00EE5A3A" w:rsidRPr="00EE5A3A" w:rsidRDefault="00644371" w:rsidP="00EE5A3A">
      <w:r>
        <w:pict w14:anchorId="1725ED09">
          <v:rect id="_x0000_i1026" style="width:0;height:1.5pt" o:hralign="center" o:hrstd="t" o:hr="t" fillcolor="#a0a0a0" stroked="f"/>
        </w:pict>
      </w:r>
    </w:p>
    <w:p w14:paraId="70FA14A8" w14:textId="77777777" w:rsidR="00EE5A3A" w:rsidRPr="00EE5A3A" w:rsidRDefault="00EE5A3A" w:rsidP="00EE5A3A">
      <w:pPr>
        <w:rPr>
          <w:b/>
          <w:bCs/>
        </w:rPr>
      </w:pPr>
      <w:r w:rsidRPr="00EE5A3A">
        <w:rPr>
          <w:rFonts w:ascii="Segoe UI Emoji" w:hAnsi="Segoe UI Emoji" w:cs="Segoe UI Emoji"/>
          <w:b/>
          <w:bCs/>
        </w:rPr>
        <w:t>💥</w:t>
      </w:r>
      <w:r w:rsidRPr="00EE5A3A">
        <w:rPr>
          <w:b/>
          <w:bCs/>
        </w:rPr>
        <w:t xml:space="preserve"> 2) Global RNAi licensing deal: SanegeneBio + Genentech</w:t>
      </w:r>
    </w:p>
    <w:p w14:paraId="44F772CF" w14:textId="77777777" w:rsidR="00EE5A3A" w:rsidRPr="00EE5A3A" w:rsidRDefault="00EE5A3A" w:rsidP="00EE5A3A">
      <w:pPr>
        <w:numPr>
          <w:ilvl w:val="0"/>
          <w:numId w:val="11"/>
        </w:numPr>
      </w:pPr>
      <w:r w:rsidRPr="00EE5A3A">
        <w:t xml:space="preserve">SanegeneBio has </w:t>
      </w:r>
      <w:r w:rsidRPr="00EE5A3A">
        <w:rPr>
          <w:b/>
          <w:bCs/>
        </w:rPr>
        <w:t>granted Genentech an exclusive worldwide license to one of its RNA interference (RNAi) programs</w:t>
      </w:r>
      <w:r w:rsidRPr="00EE5A3A">
        <w:t>. (</w:t>
      </w:r>
      <w:hyperlink r:id="rId60" w:tooltip="SanegeneBio Announces RNAi Global Licensing ..." w:history="1">
        <w:r w:rsidRPr="00EE5A3A">
          <w:rPr>
            <w:rStyle w:val="Hyperlink"/>
          </w:rPr>
          <w:t>PR Newswire</w:t>
        </w:r>
      </w:hyperlink>
      <w:r w:rsidRPr="00EE5A3A">
        <w:t>)</w:t>
      </w:r>
    </w:p>
    <w:p w14:paraId="63FC39C0" w14:textId="77777777" w:rsidR="00EE5A3A" w:rsidRPr="00EE5A3A" w:rsidRDefault="00EE5A3A" w:rsidP="00EE5A3A">
      <w:pPr>
        <w:numPr>
          <w:ilvl w:val="0"/>
          <w:numId w:val="11"/>
        </w:numPr>
      </w:pPr>
      <w:r w:rsidRPr="00EE5A3A">
        <w:t xml:space="preserve">The deal </w:t>
      </w:r>
      <w:r w:rsidRPr="00EE5A3A">
        <w:rPr>
          <w:b/>
          <w:bCs/>
        </w:rPr>
        <w:t>includes ~$200</w:t>
      </w:r>
      <w:r w:rsidRPr="00EE5A3A">
        <w:rPr>
          <w:rFonts w:ascii="Arial" w:hAnsi="Arial" w:cs="Arial"/>
          <w:b/>
          <w:bCs/>
        </w:rPr>
        <w:t> </w:t>
      </w:r>
      <w:r w:rsidRPr="00EE5A3A">
        <w:rPr>
          <w:b/>
          <w:bCs/>
        </w:rPr>
        <w:t>M upfront and up to ~$1.5</w:t>
      </w:r>
      <w:r w:rsidRPr="00EE5A3A">
        <w:rPr>
          <w:rFonts w:ascii="Arial" w:hAnsi="Arial" w:cs="Arial"/>
          <w:b/>
          <w:bCs/>
        </w:rPr>
        <w:t> </w:t>
      </w:r>
      <w:r w:rsidRPr="00EE5A3A">
        <w:rPr>
          <w:b/>
          <w:bCs/>
        </w:rPr>
        <w:t>B in development and commercial milestones, plus tiered royalties</w:t>
      </w:r>
      <w:r w:rsidRPr="00EE5A3A">
        <w:t>. (</w:t>
      </w:r>
      <w:hyperlink r:id="rId61" w:tooltip="SanegeneBio Announces RNAi Global Licensing ..." w:history="1">
        <w:r w:rsidRPr="00EE5A3A">
          <w:rPr>
            <w:rStyle w:val="Hyperlink"/>
          </w:rPr>
          <w:t>PR Newswire</w:t>
        </w:r>
      </w:hyperlink>
      <w:r w:rsidRPr="00EE5A3A">
        <w:t>)</w:t>
      </w:r>
    </w:p>
    <w:p w14:paraId="5E4070B0" w14:textId="77777777" w:rsidR="00EE5A3A" w:rsidRPr="00EE5A3A" w:rsidRDefault="00EE5A3A" w:rsidP="00EE5A3A">
      <w:pPr>
        <w:numPr>
          <w:ilvl w:val="0"/>
          <w:numId w:val="11"/>
        </w:numPr>
      </w:pPr>
      <w:r w:rsidRPr="00EE5A3A">
        <w:t xml:space="preserve">Genentech will take on </w:t>
      </w:r>
      <w:r w:rsidRPr="00EE5A3A">
        <w:rPr>
          <w:b/>
          <w:bCs/>
        </w:rPr>
        <w:t>later</w:t>
      </w:r>
      <w:r w:rsidRPr="00EE5A3A">
        <w:rPr>
          <w:b/>
          <w:bCs/>
        </w:rPr>
        <w:noBreakHyphen/>
        <w:t>stage development and global commercialization</w:t>
      </w:r>
      <w:r w:rsidRPr="00EE5A3A">
        <w:t>, while SanegeneBio focuses on early development and benefits from a major commercial partner. (</w:t>
      </w:r>
      <w:hyperlink r:id="rId62" w:tooltip="SanegeneBio Announces RNAi Global Licensing ..." w:history="1">
        <w:r w:rsidRPr="00EE5A3A">
          <w:rPr>
            <w:rStyle w:val="Hyperlink"/>
          </w:rPr>
          <w:t>PR Newswire</w:t>
        </w:r>
      </w:hyperlink>
      <w:r w:rsidRPr="00EE5A3A">
        <w:t>)</w:t>
      </w:r>
    </w:p>
    <w:p w14:paraId="692FE607" w14:textId="77777777" w:rsidR="00EE5A3A" w:rsidRPr="00EE5A3A" w:rsidRDefault="00EE5A3A" w:rsidP="00EE5A3A">
      <w:pPr>
        <w:numPr>
          <w:ilvl w:val="0"/>
          <w:numId w:val="11"/>
        </w:numPr>
      </w:pPr>
      <w:r w:rsidRPr="00EE5A3A">
        <w:t xml:space="preserve">This underscores growing commitment from large pharmas to </w:t>
      </w:r>
      <w:r w:rsidRPr="00EE5A3A">
        <w:rPr>
          <w:b/>
          <w:bCs/>
        </w:rPr>
        <w:t>RNAi platforms as scalable, high</w:t>
      </w:r>
      <w:r w:rsidRPr="00EE5A3A">
        <w:rPr>
          <w:b/>
          <w:bCs/>
        </w:rPr>
        <w:noBreakHyphen/>
        <w:t>value genetic medicines.</w:t>
      </w:r>
      <w:r w:rsidRPr="00EE5A3A">
        <w:t xml:space="preserve"> (</w:t>
      </w:r>
      <w:hyperlink r:id="rId63" w:tooltip="SanegeneBio Enters $1.5 Billion Exclusive Global License Agreement with Genentech for RNAi Program" w:history="1">
        <w:r w:rsidRPr="00EE5A3A">
          <w:rPr>
            <w:rStyle w:val="Hyperlink"/>
          </w:rPr>
          <w:t>PharmExec</w:t>
        </w:r>
      </w:hyperlink>
      <w:r w:rsidRPr="00EE5A3A">
        <w:t>)</w:t>
      </w:r>
    </w:p>
    <w:p w14:paraId="6D988F6E" w14:textId="77777777" w:rsidR="00EE5A3A" w:rsidRPr="00EE5A3A" w:rsidRDefault="00644371" w:rsidP="00EE5A3A">
      <w:r>
        <w:pict w14:anchorId="250324A0">
          <v:rect id="_x0000_i1027" style="width:0;height:1.5pt" o:hralign="center" o:hrstd="t" o:hr="t" fillcolor="#a0a0a0" stroked="f"/>
        </w:pict>
      </w:r>
    </w:p>
    <w:p w14:paraId="10C35697" w14:textId="77777777" w:rsidR="00EE5A3A" w:rsidRPr="00EE5A3A" w:rsidRDefault="00EE5A3A" w:rsidP="00EE5A3A">
      <w:pPr>
        <w:rPr>
          <w:b/>
          <w:bCs/>
        </w:rPr>
      </w:pPr>
      <w:r w:rsidRPr="00EE5A3A">
        <w:rPr>
          <w:rFonts w:ascii="Segoe UI Emoji" w:hAnsi="Segoe UI Emoji" w:cs="Segoe UI Emoji"/>
          <w:b/>
          <w:bCs/>
        </w:rPr>
        <w:t>💊</w:t>
      </w:r>
      <w:r w:rsidRPr="00EE5A3A">
        <w:rPr>
          <w:b/>
          <w:bCs/>
        </w:rPr>
        <w:t xml:space="preserve"> 3) vTv Therapeutics Inc expands its HPP737 license with Newsoara Biopharma Co. Ltd</w:t>
      </w:r>
    </w:p>
    <w:p w14:paraId="30DD9A6D" w14:textId="77777777" w:rsidR="00EE5A3A" w:rsidRPr="00EE5A3A" w:rsidRDefault="00EE5A3A" w:rsidP="00EE5A3A">
      <w:pPr>
        <w:numPr>
          <w:ilvl w:val="0"/>
          <w:numId w:val="12"/>
        </w:numPr>
      </w:pPr>
      <w:r w:rsidRPr="00EE5A3A">
        <w:t xml:space="preserve">vTv amended its license agreement to grant </w:t>
      </w:r>
      <w:r w:rsidRPr="00EE5A3A">
        <w:rPr>
          <w:b/>
          <w:bCs/>
        </w:rPr>
        <w:t>Newsoara exclusive worldwide rights to its PDE4 inhibitor HPP737</w:t>
      </w:r>
      <w:r w:rsidRPr="00EE5A3A">
        <w:t xml:space="preserve"> in exchange for a </w:t>
      </w:r>
      <w:r w:rsidRPr="00EE5A3A">
        <w:rPr>
          <w:b/>
          <w:bCs/>
        </w:rPr>
        <w:t>$20</w:t>
      </w:r>
      <w:r w:rsidRPr="00EE5A3A">
        <w:rPr>
          <w:rFonts w:ascii="Arial" w:hAnsi="Arial" w:cs="Arial"/>
          <w:b/>
          <w:bCs/>
        </w:rPr>
        <w:t> </w:t>
      </w:r>
      <w:r w:rsidRPr="00EE5A3A">
        <w:rPr>
          <w:b/>
          <w:bCs/>
        </w:rPr>
        <w:t>M upfront payment</w:t>
      </w:r>
      <w:r w:rsidRPr="00EE5A3A">
        <w:t xml:space="preserve"> as of Feb</w:t>
      </w:r>
      <w:r w:rsidRPr="00EE5A3A">
        <w:rPr>
          <w:rFonts w:ascii="Arial" w:hAnsi="Arial" w:cs="Arial"/>
        </w:rPr>
        <w:t> </w:t>
      </w:r>
      <w:r w:rsidRPr="00EE5A3A">
        <w:t>2,</w:t>
      </w:r>
      <w:r w:rsidRPr="00EE5A3A">
        <w:rPr>
          <w:rFonts w:ascii="Arial" w:hAnsi="Arial" w:cs="Arial"/>
        </w:rPr>
        <w:t> </w:t>
      </w:r>
      <w:r w:rsidRPr="00EE5A3A">
        <w:t>2026. (</w:t>
      </w:r>
      <w:hyperlink r:id="rId64" w:tooltip="VTVT) expands HPP737 license with $20M upfront and ..." w:history="1">
        <w:r w:rsidRPr="00EE5A3A">
          <w:rPr>
            <w:rStyle w:val="Hyperlink"/>
          </w:rPr>
          <w:t>Stock Titan</w:t>
        </w:r>
      </w:hyperlink>
      <w:r w:rsidRPr="00EE5A3A">
        <w:t>)</w:t>
      </w:r>
    </w:p>
    <w:p w14:paraId="407A0A95" w14:textId="77777777" w:rsidR="00EE5A3A" w:rsidRPr="00EE5A3A" w:rsidRDefault="00EE5A3A" w:rsidP="00EE5A3A">
      <w:pPr>
        <w:numPr>
          <w:ilvl w:val="0"/>
          <w:numId w:val="12"/>
        </w:numPr>
      </w:pPr>
      <w:r w:rsidRPr="00EE5A3A">
        <w:lastRenderedPageBreak/>
        <w:t xml:space="preserve">The arrangement includes </w:t>
      </w:r>
      <w:r w:rsidRPr="00EE5A3A">
        <w:rPr>
          <w:b/>
          <w:bCs/>
        </w:rPr>
        <w:t>up to ~$50</w:t>
      </w:r>
      <w:r w:rsidRPr="00EE5A3A">
        <w:rPr>
          <w:rFonts w:ascii="Arial" w:hAnsi="Arial" w:cs="Arial"/>
          <w:b/>
          <w:bCs/>
        </w:rPr>
        <w:t> </w:t>
      </w:r>
      <w:r w:rsidRPr="00EE5A3A">
        <w:rPr>
          <w:b/>
          <w:bCs/>
        </w:rPr>
        <w:t>M in development milestones and ~$65</w:t>
      </w:r>
      <w:r w:rsidRPr="00EE5A3A">
        <w:rPr>
          <w:rFonts w:ascii="Arial" w:hAnsi="Arial" w:cs="Arial"/>
          <w:b/>
          <w:bCs/>
        </w:rPr>
        <w:t> </w:t>
      </w:r>
      <w:r w:rsidRPr="00EE5A3A">
        <w:rPr>
          <w:b/>
          <w:bCs/>
        </w:rPr>
        <w:t>M in sales milestones, plus mid</w:t>
      </w:r>
      <w:r w:rsidRPr="00EE5A3A">
        <w:rPr>
          <w:b/>
          <w:bCs/>
        </w:rPr>
        <w:noBreakHyphen/>
        <w:t>single</w:t>
      </w:r>
      <w:r w:rsidRPr="00EE5A3A">
        <w:rPr>
          <w:b/>
          <w:bCs/>
        </w:rPr>
        <w:noBreakHyphen/>
        <w:t>digit royalties</w:t>
      </w:r>
      <w:r w:rsidRPr="00EE5A3A">
        <w:t xml:space="preserve"> — creating a </w:t>
      </w:r>
      <w:r w:rsidRPr="00EE5A3A">
        <w:rPr>
          <w:b/>
          <w:bCs/>
        </w:rPr>
        <w:t>contingent revenue stream tied to HPP737’s progress</w:t>
      </w:r>
      <w:r w:rsidRPr="00EE5A3A">
        <w:t xml:space="preserve"> under partner stewardship. (</w:t>
      </w:r>
      <w:hyperlink r:id="rId65" w:tooltip="VTVT) expands HPP737 license with $20M upfront and ..." w:history="1">
        <w:r w:rsidRPr="00EE5A3A">
          <w:rPr>
            <w:rStyle w:val="Hyperlink"/>
          </w:rPr>
          <w:t>Stock Titan</w:t>
        </w:r>
      </w:hyperlink>
      <w:r w:rsidRPr="00EE5A3A">
        <w:t>)</w:t>
      </w:r>
    </w:p>
    <w:p w14:paraId="24F4DECE" w14:textId="77777777" w:rsidR="00EE5A3A" w:rsidRPr="00EE5A3A" w:rsidRDefault="00EE5A3A" w:rsidP="00EE5A3A">
      <w:pPr>
        <w:numPr>
          <w:ilvl w:val="0"/>
          <w:numId w:val="12"/>
        </w:numPr>
      </w:pPr>
      <w:r w:rsidRPr="00EE5A3A">
        <w:t xml:space="preserve">This gives vTv an </w:t>
      </w:r>
      <w:r w:rsidRPr="00EE5A3A">
        <w:rPr>
          <w:b/>
          <w:bCs/>
        </w:rPr>
        <w:t>immediate non</w:t>
      </w:r>
      <w:r w:rsidRPr="00EE5A3A">
        <w:rPr>
          <w:b/>
          <w:bCs/>
        </w:rPr>
        <w:noBreakHyphen/>
        <w:t>dilutive cash infusion</w:t>
      </w:r>
      <w:r w:rsidRPr="00EE5A3A">
        <w:t xml:space="preserve"> and moves the asset toward broader commercialization potential without bearing full development costs. (</w:t>
      </w:r>
      <w:hyperlink r:id="rId66" w:tooltip="VTVT) expands HPP737 license with $20M upfront and ..." w:history="1">
        <w:r w:rsidRPr="00EE5A3A">
          <w:rPr>
            <w:rStyle w:val="Hyperlink"/>
          </w:rPr>
          <w:t>Stock Titan</w:t>
        </w:r>
      </w:hyperlink>
      <w:r w:rsidRPr="00EE5A3A">
        <w:t>)</w:t>
      </w:r>
    </w:p>
    <w:p w14:paraId="61145528" w14:textId="77777777" w:rsidR="00EE5A3A" w:rsidRPr="00EE5A3A" w:rsidRDefault="00644371" w:rsidP="00EE5A3A">
      <w:r>
        <w:pict w14:anchorId="04A0C401">
          <v:rect id="_x0000_i1028" style="width:0;height:1.5pt" o:hralign="center" o:hrstd="t" o:hr="t" fillcolor="#a0a0a0" stroked="f"/>
        </w:pict>
      </w:r>
    </w:p>
    <w:p w14:paraId="6413D4F1" w14:textId="77777777" w:rsidR="00EE5A3A" w:rsidRPr="00EE5A3A" w:rsidRDefault="00EE5A3A" w:rsidP="00EE5A3A">
      <w:r w:rsidRPr="00EE5A3A">
        <w:t>If you want bullet points on how these specific updates could influence valuations or pipeline timelines, I can break that down next.</w:t>
      </w:r>
    </w:p>
    <w:p w14:paraId="4D49FC43" w14:textId="77777777" w:rsidR="00EE5A3A" w:rsidRPr="00EE5A3A" w:rsidRDefault="00EE5A3A" w:rsidP="00EE5A3A">
      <w:r w:rsidRPr="00EE5A3A">
        <w:t xml:space="preserve">Here’s why I’m flagging this for you: market makers’ positioning has shifted into a structurally </w:t>
      </w:r>
      <w:r w:rsidRPr="00EE5A3A">
        <w:rPr>
          <w:i/>
          <w:iCs/>
        </w:rPr>
        <w:t>less stable</w:t>
      </w:r>
      <w:r w:rsidRPr="00EE5A3A">
        <w:t xml:space="preserve"> setup, which by itself increases the likelihood of quick, gap</w:t>
      </w:r>
      <w:r w:rsidRPr="00EE5A3A">
        <w:noBreakHyphen/>
        <w:t>driven moves — exactly the kind of environment where option skews and index levered products can whipsaw around catalysts. (</w:t>
      </w:r>
      <w:hyperlink r:id="rId67" w:tooltip="2/2/2026 Gamma Report - by Kurt S. Altrichter, CRPS®" w:history="1">
        <w:r w:rsidRPr="00EE5A3A">
          <w:rPr>
            <w:rStyle w:val="Hyperlink"/>
          </w:rPr>
          <w:t>kurtaltrichter.com</w:t>
        </w:r>
      </w:hyperlink>
      <w:r w:rsidRPr="00EE5A3A">
        <w:t>)</w:t>
      </w:r>
    </w:p>
    <w:p w14:paraId="2A5F725A" w14:textId="6ECC6A13" w:rsidR="00EE5A3A" w:rsidRPr="00EE5A3A" w:rsidRDefault="00EE5A3A" w:rsidP="00EE5A3A">
      <w:r w:rsidRPr="00EE5A3A">
        <w:rPr>
          <w:noProof/>
        </w:rPr>
        <w:drawing>
          <wp:inline distT="0" distB="0" distL="0" distR="0" wp14:anchorId="7FE33A8F" wp14:editId="75657308">
            <wp:extent cx="5943600" cy="4126865"/>
            <wp:effectExtent l="0" t="0" r="0" b="6985"/>
            <wp:docPr id="1555318159" name="Picture 2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Image"/>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943600" cy="4126865"/>
                    </a:xfrm>
                    <a:prstGeom prst="rect">
                      <a:avLst/>
                    </a:prstGeom>
                    <a:noFill/>
                    <a:ln>
                      <a:noFill/>
                    </a:ln>
                  </pic:spPr>
                </pic:pic>
              </a:graphicData>
            </a:graphic>
          </wp:inline>
        </w:drawing>
      </w:r>
    </w:p>
    <w:p w14:paraId="2AB2C2A2" w14:textId="7493A451" w:rsidR="00EE5A3A" w:rsidRPr="00EE5A3A" w:rsidRDefault="00EE5A3A" w:rsidP="00EE5A3A">
      <w:r w:rsidRPr="00EE5A3A">
        <w:rPr>
          <w:noProof/>
        </w:rPr>
        <w:lastRenderedPageBreak/>
        <w:drawing>
          <wp:inline distT="0" distB="0" distL="0" distR="0" wp14:anchorId="4B4A8B3E" wp14:editId="0D3D228E">
            <wp:extent cx="5943600" cy="4007485"/>
            <wp:effectExtent l="0" t="0" r="0" b="0"/>
            <wp:docPr id="1006351974" name="Picture 2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Image"/>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943600" cy="4007485"/>
                    </a:xfrm>
                    <a:prstGeom prst="rect">
                      <a:avLst/>
                    </a:prstGeom>
                    <a:noFill/>
                    <a:ln>
                      <a:noFill/>
                    </a:ln>
                  </pic:spPr>
                </pic:pic>
              </a:graphicData>
            </a:graphic>
          </wp:inline>
        </w:drawing>
      </w:r>
    </w:p>
    <w:p w14:paraId="26E195D2" w14:textId="4B5F56EB" w:rsidR="00EE5A3A" w:rsidRPr="00EE5A3A" w:rsidRDefault="00EE5A3A" w:rsidP="00EE5A3A">
      <w:r w:rsidRPr="00EE5A3A">
        <w:rPr>
          <w:noProof/>
        </w:rPr>
        <w:drawing>
          <wp:inline distT="0" distB="0" distL="0" distR="0" wp14:anchorId="05CC96C7" wp14:editId="1773AA77">
            <wp:extent cx="5943600" cy="3507740"/>
            <wp:effectExtent l="0" t="0" r="0" b="0"/>
            <wp:docPr id="1623693326" name="Picture 2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Image"/>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943600" cy="3507740"/>
                    </a:xfrm>
                    <a:prstGeom prst="rect">
                      <a:avLst/>
                    </a:prstGeom>
                    <a:noFill/>
                    <a:ln>
                      <a:noFill/>
                    </a:ln>
                  </pic:spPr>
                </pic:pic>
              </a:graphicData>
            </a:graphic>
          </wp:inline>
        </w:drawing>
      </w:r>
    </w:p>
    <w:p w14:paraId="373D7261" w14:textId="6AD89393" w:rsidR="00EE5A3A" w:rsidRPr="00EE5A3A" w:rsidRDefault="00EE5A3A" w:rsidP="00EE5A3A">
      <w:r w:rsidRPr="00EE5A3A">
        <w:rPr>
          <w:noProof/>
        </w:rPr>
        <w:lastRenderedPageBreak/>
        <w:drawing>
          <wp:inline distT="0" distB="0" distL="0" distR="0" wp14:anchorId="14C10E30" wp14:editId="5FE838D1">
            <wp:extent cx="5943600" cy="4457700"/>
            <wp:effectExtent l="0" t="0" r="0" b="0"/>
            <wp:docPr id="268666583" name="Picture 2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Image"/>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4B59CBF4" w14:textId="77777777" w:rsidR="00EE5A3A" w:rsidRPr="00EE5A3A" w:rsidRDefault="00EE5A3A" w:rsidP="00EE5A3A">
      <w:r w:rsidRPr="00EE5A3A">
        <w:t xml:space="preserve">The latest </w:t>
      </w:r>
      <w:r w:rsidRPr="00EE5A3A">
        <w:rPr>
          <w:i/>
          <w:iCs/>
        </w:rPr>
        <w:t>Gamma Report</w:t>
      </w:r>
      <w:r w:rsidRPr="00EE5A3A">
        <w:t xml:space="preserve"> shows dealer gamma has slipped back into negative territory late last week — meaning market makers no longer dampen moves, they </w:t>
      </w:r>
      <w:r w:rsidRPr="00EE5A3A">
        <w:rPr>
          <w:i/>
          <w:iCs/>
        </w:rPr>
        <w:t>amplify</w:t>
      </w:r>
      <w:r w:rsidRPr="00EE5A3A">
        <w:t xml:space="preserve"> them. In negative gamma, dealers sell into weakness and buy into strength, so volatility accelerates and intraday ranges widen even without news catalysts. (</w:t>
      </w:r>
      <w:hyperlink r:id="rId72" w:tooltip="2/2/2026 Gamma Report - by Kurt S. Altrichter, CRPS®" w:history="1">
        <w:r w:rsidRPr="00EE5A3A">
          <w:rPr>
            <w:rStyle w:val="Hyperlink"/>
          </w:rPr>
          <w:t>kurtaltrichter.com</w:t>
        </w:r>
      </w:hyperlink>
      <w:r w:rsidRPr="00EE5A3A">
        <w:t>)</w:t>
      </w:r>
    </w:p>
    <w:p w14:paraId="4EF22BE0" w14:textId="77777777" w:rsidR="00EE5A3A" w:rsidRPr="00EE5A3A" w:rsidRDefault="00EE5A3A" w:rsidP="00EE5A3A">
      <w:r w:rsidRPr="00EE5A3A">
        <w:t>Implied volatility around the biotech complex remains elevated — front</w:t>
      </w:r>
      <w:r w:rsidRPr="00EE5A3A">
        <w:noBreakHyphen/>
        <w:t>month vols on XBI are higher than on broad biotech benchmarks — suggesting traders are pricing more short</w:t>
      </w:r>
      <w:r w:rsidRPr="00EE5A3A">
        <w:noBreakHyphen/>
        <w:t>dated jump and catalyst risk in that bucket relative to broader biotech exposures. That front</w:t>
      </w:r>
      <w:r w:rsidRPr="00EE5A3A">
        <w:noBreakHyphen/>
        <w:t>month skew tied to underlying gamma structure increases gap</w:t>
      </w:r>
      <w:r w:rsidRPr="00EE5A3A">
        <w:noBreakHyphen/>
        <w:t>and</w:t>
      </w:r>
      <w:r w:rsidRPr="00EE5A3A">
        <w:noBreakHyphen/>
        <w:t>pin risk around high</w:t>
      </w:r>
      <w:r w:rsidRPr="00EE5A3A">
        <w:noBreakHyphen/>
        <w:t>impact biotech readouts. (</w:t>
      </w:r>
      <w:hyperlink r:id="rId73" w:tooltip="XBI Implied Volatility Chart State Street SPDR S&amp;P Biotech ..." w:history="1">
        <w:r w:rsidRPr="00EE5A3A">
          <w:rPr>
            <w:rStyle w:val="Hyperlink"/>
          </w:rPr>
          <w:t>Market Chameleon</w:t>
        </w:r>
      </w:hyperlink>
      <w:r w:rsidRPr="00EE5A3A">
        <w:t>)</w:t>
      </w:r>
    </w:p>
    <w:p w14:paraId="3B8A2138" w14:textId="77777777" w:rsidR="00EE5A3A" w:rsidRPr="00EE5A3A" w:rsidRDefault="00EE5A3A" w:rsidP="00EE5A3A">
      <w:r w:rsidRPr="00EE5A3A">
        <w:t xml:space="preserve">In this regime, the internal mechanics — positioning, dealer hedging and volatility — matter </w:t>
      </w:r>
      <w:r w:rsidRPr="00EE5A3A">
        <w:rPr>
          <w:i/>
          <w:iCs/>
        </w:rPr>
        <w:t>more</w:t>
      </w:r>
      <w:r w:rsidRPr="00EE5A3A">
        <w:t xml:space="preserve"> than headlines. Until dealer gamma flips back to net positive liquidity or implied vols materially decompress, fragility around catalysts is elevated even if prices don’t immediately sell off. (</w:t>
      </w:r>
      <w:hyperlink r:id="rId74" w:tooltip="2/2/2026 Gamma Report - by Kurt S. Altrichter, CRPS®" w:history="1">
        <w:r w:rsidRPr="00EE5A3A">
          <w:rPr>
            <w:rStyle w:val="Hyperlink"/>
          </w:rPr>
          <w:t>kurtaltrichter.com</w:t>
        </w:r>
      </w:hyperlink>
      <w:r w:rsidRPr="00EE5A3A">
        <w:t>)</w:t>
      </w:r>
    </w:p>
    <w:p w14:paraId="4F8E1170" w14:textId="77777777" w:rsidR="00C83164" w:rsidRPr="00C83164" w:rsidRDefault="00C83164" w:rsidP="00C83164">
      <w:r w:rsidRPr="00C83164">
        <w:t xml:space="preserve">I’m sharing this because </w:t>
      </w:r>
      <w:r w:rsidRPr="00C83164">
        <w:rPr>
          <w:b/>
          <w:bCs/>
        </w:rPr>
        <w:t>two very different FDA regulatory signals</w:t>
      </w:r>
      <w:r w:rsidRPr="00C83164">
        <w:t xml:space="preserve"> just hit the tape in quick succession — one that digs into core product quality controls and another that pivots </w:t>
      </w:r>
      <w:r w:rsidRPr="00C83164">
        <w:lastRenderedPageBreak/>
        <w:t>around user</w:t>
      </w:r>
      <w:r w:rsidRPr="00C83164">
        <w:noBreakHyphen/>
        <w:t>experience/packaging risk rather than classic safety/CMC concerns. These types of filings can materially change near</w:t>
      </w:r>
      <w:r w:rsidRPr="00C83164">
        <w:noBreakHyphen/>
        <w:t>term approval timelines and remediation complexity.</w:t>
      </w:r>
    </w:p>
    <w:p w14:paraId="183FCDF5" w14:textId="6A0A137F" w:rsidR="00C83164" w:rsidRPr="00C83164" w:rsidRDefault="00C83164" w:rsidP="00C83164">
      <w:r w:rsidRPr="00C83164">
        <w:rPr>
          <w:noProof/>
        </w:rPr>
        <w:drawing>
          <wp:inline distT="0" distB="0" distL="0" distR="0" wp14:anchorId="5836232E" wp14:editId="50445F55">
            <wp:extent cx="5943600" cy="2020570"/>
            <wp:effectExtent l="0" t="0" r="0" b="0"/>
            <wp:docPr id="1576806611" name="Picture 3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020570"/>
                    </a:xfrm>
                    <a:prstGeom prst="rect">
                      <a:avLst/>
                    </a:prstGeom>
                    <a:noFill/>
                    <a:ln>
                      <a:noFill/>
                    </a:ln>
                  </pic:spPr>
                </pic:pic>
              </a:graphicData>
            </a:graphic>
          </wp:inline>
        </w:drawing>
      </w:r>
    </w:p>
    <w:p w14:paraId="62CCE26E" w14:textId="31501A2F" w:rsidR="00C83164" w:rsidRPr="00C83164" w:rsidRDefault="00C83164" w:rsidP="00C83164">
      <w:r w:rsidRPr="00C83164">
        <w:rPr>
          <w:noProof/>
        </w:rPr>
        <w:drawing>
          <wp:inline distT="0" distB="0" distL="0" distR="0" wp14:anchorId="2FF0880F" wp14:editId="3043BA55">
            <wp:extent cx="2857500" cy="1609725"/>
            <wp:effectExtent l="0" t="0" r="0" b="9525"/>
            <wp:docPr id="290516318" name="Picture 3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Imag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857500" cy="1609725"/>
                    </a:xfrm>
                    <a:prstGeom prst="rect">
                      <a:avLst/>
                    </a:prstGeom>
                    <a:noFill/>
                    <a:ln>
                      <a:noFill/>
                    </a:ln>
                  </pic:spPr>
                </pic:pic>
              </a:graphicData>
            </a:graphic>
          </wp:inline>
        </w:drawing>
      </w:r>
    </w:p>
    <w:p w14:paraId="6917792A" w14:textId="62434D14" w:rsidR="00C83164" w:rsidRPr="00C83164" w:rsidRDefault="00C83164" w:rsidP="00C83164">
      <w:r w:rsidRPr="00C83164">
        <w:rPr>
          <w:noProof/>
        </w:rPr>
        <w:drawing>
          <wp:inline distT="0" distB="0" distL="0" distR="0" wp14:anchorId="39A073F4" wp14:editId="7F9DC2B3">
            <wp:extent cx="5943600" cy="3341370"/>
            <wp:effectExtent l="0" t="0" r="0" b="0"/>
            <wp:docPr id="83096956" name="Picture 2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Image"/>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44902CFB" w14:textId="6BABC603" w:rsidR="00C83164" w:rsidRPr="00C83164" w:rsidRDefault="00C83164" w:rsidP="00C83164">
      <w:r w:rsidRPr="00C83164">
        <w:rPr>
          <w:noProof/>
        </w:rPr>
        <w:lastRenderedPageBreak/>
        <w:drawing>
          <wp:inline distT="0" distB="0" distL="0" distR="0" wp14:anchorId="5B8D1C93" wp14:editId="6A6DB171">
            <wp:extent cx="5943600" cy="4311015"/>
            <wp:effectExtent l="0" t="0" r="0" b="0"/>
            <wp:docPr id="156750479" name="Picture 2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Image"/>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943600" cy="4311015"/>
                    </a:xfrm>
                    <a:prstGeom prst="rect">
                      <a:avLst/>
                    </a:prstGeom>
                    <a:noFill/>
                    <a:ln>
                      <a:noFill/>
                    </a:ln>
                  </pic:spPr>
                </pic:pic>
              </a:graphicData>
            </a:graphic>
          </wp:inline>
        </w:drawing>
      </w:r>
    </w:p>
    <w:p w14:paraId="6A1A6229" w14:textId="77777777" w:rsidR="00C83164" w:rsidRPr="00C83164" w:rsidRDefault="00C83164" w:rsidP="00C83164">
      <w:r w:rsidRPr="00C83164">
        <w:rPr>
          <w:b/>
          <w:bCs/>
        </w:rPr>
        <w:t>Pharming (Form 6</w:t>
      </w:r>
      <w:r w:rsidRPr="00C83164">
        <w:rPr>
          <w:b/>
          <w:bCs/>
        </w:rPr>
        <w:noBreakHyphen/>
        <w:t>K; early Feb 2026)</w:t>
      </w:r>
      <w:r w:rsidRPr="00C83164">
        <w:br/>
        <w:t xml:space="preserve">• The FDA issued a </w:t>
      </w:r>
      <w:r w:rsidRPr="00C83164">
        <w:rPr>
          <w:b/>
          <w:bCs/>
        </w:rPr>
        <w:t>Complete Response Letter (CRL)</w:t>
      </w:r>
      <w:r w:rsidRPr="00C83164">
        <w:t xml:space="preserve"> on Pharming’s pediatric supplemental NDA for </w:t>
      </w:r>
      <w:r w:rsidRPr="00C83164">
        <w:rPr>
          <w:b/>
          <w:bCs/>
        </w:rPr>
        <w:t>Joenja</w:t>
      </w:r>
      <w:r w:rsidRPr="00C83164">
        <w:t xml:space="preserve"> (leniolisib).</w:t>
      </w:r>
      <w:r w:rsidRPr="00C83164">
        <w:br/>
        <w:t xml:space="preserve">• In that CRL, the agency </w:t>
      </w:r>
      <w:r w:rsidRPr="00C83164">
        <w:rPr>
          <w:i/>
          <w:iCs/>
        </w:rPr>
        <w:t>specifically flagged an analytical method used in production batch testing</w:t>
      </w:r>
      <w:r w:rsidRPr="00C83164">
        <w:t xml:space="preserve"> and </w:t>
      </w:r>
      <w:r w:rsidRPr="00C83164">
        <w:rPr>
          <w:b/>
          <w:bCs/>
        </w:rPr>
        <w:t>requested additional data/clarification</w:t>
      </w:r>
      <w:r w:rsidRPr="00C83164">
        <w:t xml:space="preserve"> tied to that analytical method — a direct </w:t>
      </w:r>
      <w:r w:rsidRPr="00C83164">
        <w:rPr>
          <w:b/>
          <w:bCs/>
        </w:rPr>
        <w:t>process/quality system signal</w:t>
      </w:r>
      <w:r w:rsidRPr="00C83164">
        <w:t>, not just a clinical datapoint.</w:t>
      </w:r>
      <w:r w:rsidRPr="00C83164">
        <w:br/>
        <w:t>• Market reaction included a significant share drop, and the Company said it believes these method issues can be addressed in collaboration with the agency. (</w:t>
      </w:r>
      <w:hyperlink r:id="rId77" w:tooltip="Pharming Group receives Complete Response Letter ..." w:history="1">
        <w:r w:rsidRPr="00C83164">
          <w:rPr>
            <w:rStyle w:val="Hyperlink"/>
          </w:rPr>
          <w:t>Fidelity</w:t>
        </w:r>
      </w:hyperlink>
      <w:r w:rsidRPr="00C83164">
        <w:t>)</w:t>
      </w:r>
    </w:p>
    <w:p w14:paraId="1134BBF4" w14:textId="77777777" w:rsidR="00C83164" w:rsidRPr="00C83164" w:rsidRDefault="00C83164" w:rsidP="00C83164">
      <w:r w:rsidRPr="00C83164">
        <w:rPr>
          <w:b/>
          <w:bCs/>
        </w:rPr>
        <w:t>Aquestive (Form 8</w:t>
      </w:r>
      <w:r w:rsidRPr="00C83164">
        <w:rPr>
          <w:b/>
          <w:bCs/>
        </w:rPr>
        <w:noBreakHyphen/>
        <w:t>K; early Feb 2026)</w:t>
      </w:r>
      <w:r w:rsidRPr="00C83164">
        <w:br/>
        <w:t xml:space="preserve">• The FDA issued a </w:t>
      </w:r>
      <w:r w:rsidRPr="00C83164">
        <w:rPr>
          <w:b/>
          <w:bCs/>
        </w:rPr>
        <w:t>CRL for Anaphylm’s NDA</w:t>
      </w:r>
      <w:r w:rsidRPr="00C83164">
        <w:t xml:space="preserve">, but the </w:t>
      </w:r>
      <w:r w:rsidRPr="00C83164">
        <w:rPr>
          <w:b/>
          <w:bCs/>
        </w:rPr>
        <w:t>deficiencies were limited to packaging and human</w:t>
      </w:r>
      <w:r w:rsidRPr="00C83164">
        <w:rPr>
          <w:b/>
          <w:bCs/>
        </w:rPr>
        <w:noBreakHyphen/>
        <w:t>factors/administration issues</w:t>
      </w:r>
      <w:r w:rsidRPr="00C83164">
        <w:t xml:space="preserve"> rather than chemistry, manufacturing or core CMC.</w:t>
      </w:r>
      <w:r w:rsidRPr="00C83164">
        <w:br/>
        <w:t xml:space="preserve">• Specifically, the regulator pointed to </w:t>
      </w:r>
      <w:r w:rsidRPr="00C83164">
        <w:rPr>
          <w:b/>
          <w:bCs/>
        </w:rPr>
        <w:t>difficulties opening the pouch and film placement errors in use</w:t>
      </w:r>
      <w:r w:rsidRPr="00C83164">
        <w:t>, which can have safety implications in emergency settings, and also requested a supportive PK study after packaging changes.</w:t>
      </w:r>
      <w:r w:rsidRPr="00C83164">
        <w:br/>
        <w:t xml:space="preserve">• Aquestive believes the issues can be </w:t>
      </w:r>
      <w:r w:rsidRPr="00C83164">
        <w:rPr>
          <w:b/>
          <w:bCs/>
        </w:rPr>
        <w:t>addressed relatively rapidly</w:t>
      </w:r>
      <w:r w:rsidRPr="00C83164">
        <w:t xml:space="preserve"> and plans to resubmit as soon as </w:t>
      </w:r>
      <w:r w:rsidRPr="00C83164">
        <w:rPr>
          <w:b/>
          <w:bCs/>
        </w:rPr>
        <w:t>Q3 2026</w:t>
      </w:r>
      <w:r w:rsidRPr="00C83164">
        <w:t>, while noting no CMC issues were raised. (</w:t>
      </w:r>
      <w:hyperlink r:id="rId78" w:tooltip="Aquestive Therapeutics Announces FDA Issuance of ..." w:history="1">
        <w:r w:rsidRPr="00C83164">
          <w:rPr>
            <w:rStyle w:val="Hyperlink"/>
          </w:rPr>
          <w:t>GlobeNewswire</w:t>
        </w:r>
      </w:hyperlink>
      <w:r w:rsidRPr="00C83164">
        <w:t>)</w:t>
      </w:r>
    </w:p>
    <w:p w14:paraId="2F1B3930" w14:textId="77777777" w:rsidR="00C83164" w:rsidRPr="00C83164" w:rsidRDefault="00C83164" w:rsidP="00C83164">
      <w:r w:rsidRPr="00C83164">
        <w:lastRenderedPageBreak/>
        <w:t xml:space="preserve">In regulatory risk mapping, a </w:t>
      </w:r>
      <w:r w:rsidRPr="00C83164">
        <w:rPr>
          <w:b/>
          <w:bCs/>
        </w:rPr>
        <w:t>method/analytical control issue</w:t>
      </w:r>
      <w:r w:rsidRPr="00C83164">
        <w:t xml:space="preserve"> like Pharming’s usually signals deeper quality system work and can extend timelines unpredictably, whereas a </w:t>
      </w:r>
      <w:r w:rsidRPr="00C83164">
        <w:rPr>
          <w:b/>
          <w:bCs/>
        </w:rPr>
        <w:t>human</w:t>
      </w:r>
      <w:r w:rsidRPr="00C83164">
        <w:rPr>
          <w:b/>
          <w:bCs/>
        </w:rPr>
        <w:noBreakHyphen/>
        <w:t>factors/packaging CRL</w:t>
      </w:r>
      <w:r w:rsidRPr="00C83164">
        <w:t xml:space="preserve"> like Aquestive’s — even if it delays launch — is often a more </w:t>
      </w:r>
      <w:r w:rsidRPr="00C83164">
        <w:rPr>
          <w:i/>
          <w:iCs/>
        </w:rPr>
        <w:t>discrete, bounded remediation task</w:t>
      </w:r>
      <w:r w:rsidRPr="00C83164">
        <w:t>, with clearer next steps and timelines. (</w:t>
      </w:r>
      <w:hyperlink r:id="rId79" w:tooltip="Allergy rescue film setback: FDA flags Anaphylm packaging, eyed for Q3 2026" w:history="1">
        <w:r w:rsidRPr="00C83164">
          <w:rPr>
            <w:rStyle w:val="Hyperlink"/>
          </w:rPr>
          <w:t>stocktitan.net</w:t>
        </w:r>
      </w:hyperlink>
      <w:r w:rsidRPr="00C83164">
        <w:t>)</w:t>
      </w:r>
    </w:p>
    <w:p w14:paraId="2F28CC60" w14:textId="77777777" w:rsidR="00AC6AED" w:rsidRPr="00AC6AED" w:rsidRDefault="00AC6AED" w:rsidP="00AC6AED">
      <w:r w:rsidRPr="00AC6AED">
        <w:t xml:space="preserve">I searched extensively across academic publications, working papers, and indexed research for </w:t>
      </w:r>
      <w:r w:rsidRPr="00AC6AED">
        <w:rPr>
          <w:b/>
          <w:bCs/>
        </w:rPr>
        <w:t xml:space="preserve">quantitative studies, datasets, and event studies that specifically measure equity performance and momentum in the </w:t>
      </w:r>
      <w:r w:rsidRPr="00AC6AED">
        <w:rPr>
          <w:b/>
          <w:bCs/>
          <w:i/>
          <w:iCs/>
        </w:rPr>
        <w:t>45 trading days leading up to FDA PDUFA decisions</w:t>
      </w:r>
      <w:r w:rsidRPr="00AC6AED">
        <w:t xml:space="preserve"> — but did </w:t>
      </w:r>
      <w:r w:rsidRPr="00AC6AED">
        <w:rPr>
          <w:b/>
          <w:bCs/>
        </w:rPr>
        <w:t xml:space="preserve">not find any published research that directly reports the detailed statistics you requested (average/median returns, realized volatility, trading volume, implied volatility changes, or predictive momentum effects) in a fixed </w:t>
      </w:r>
      <w:r w:rsidRPr="00AC6AED">
        <w:rPr>
          <w:b/>
          <w:bCs/>
          <w:i/>
          <w:iCs/>
        </w:rPr>
        <w:t>T</w:t>
      </w:r>
      <w:r w:rsidRPr="00AC6AED">
        <w:rPr>
          <w:b/>
          <w:bCs/>
          <w:i/>
          <w:iCs/>
        </w:rPr>
        <w:noBreakHyphen/>
        <w:t>45 → T</w:t>
      </w:r>
      <w:r w:rsidRPr="00AC6AED">
        <w:rPr>
          <w:b/>
          <w:bCs/>
          <w:i/>
          <w:iCs/>
        </w:rPr>
        <w:noBreakHyphen/>
        <w:t>1</w:t>
      </w:r>
      <w:r w:rsidRPr="00AC6AED">
        <w:rPr>
          <w:b/>
          <w:bCs/>
        </w:rPr>
        <w:t xml:space="preserve"> window around scheduled FDA decision dates.</w:t>
      </w:r>
    </w:p>
    <w:p w14:paraId="4B355D82" w14:textId="77777777" w:rsidR="00AC6AED" w:rsidRPr="00AC6AED" w:rsidRDefault="00AC6AED" w:rsidP="00AC6AED">
      <w:r w:rsidRPr="00AC6AED">
        <w:t xml:space="preserve">Here’s a </w:t>
      </w:r>
      <w:r w:rsidRPr="00AC6AED">
        <w:rPr>
          <w:b/>
          <w:bCs/>
        </w:rPr>
        <w:t>summary of the closest available evidence, methods used, and key caveats in the existing literature</w:t>
      </w:r>
      <w:r w:rsidRPr="00AC6AED">
        <w:t>, along with citations:</w:t>
      </w:r>
    </w:p>
    <w:p w14:paraId="59512DE0" w14:textId="77777777" w:rsidR="00AC6AED" w:rsidRPr="00AC6AED" w:rsidRDefault="00AC6AED" w:rsidP="00AC6AED">
      <w:r w:rsidRPr="00AC6AED">
        <w:pict w14:anchorId="10825D52">
          <v:rect id="_x0000_i1029" style="width:0;height:1.5pt" o:hralign="center" o:hrstd="t" o:hr="t" fillcolor="#a0a0a0" stroked="f"/>
        </w:pict>
      </w:r>
    </w:p>
    <w:p w14:paraId="1A59C890" w14:textId="77777777" w:rsidR="00AC6AED" w:rsidRPr="00AC6AED" w:rsidRDefault="00AC6AED" w:rsidP="00AC6AED">
      <w:pPr>
        <w:rPr>
          <w:b/>
          <w:bCs/>
        </w:rPr>
      </w:pPr>
      <w:r w:rsidRPr="00AC6AED">
        <w:rPr>
          <w:rFonts w:ascii="Segoe UI Emoji" w:hAnsi="Segoe UI Emoji" w:cs="Segoe UI Emoji"/>
          <w:b/>
          <w:bCs/>
        </w:rPr>
        <w:t>🔍</w:t>
      </w:r>
      <w:r w:rsidRPr="00AC6AED">
        <w:rPr>
          <w:b/>
          <w:bCs/>
        </w:rPr>
        <w:t xml:space="preserve"> 1. Direct Studies on Pre</w:t>
      </w:r>
      <w:r w:rsidRPr="00AC6AED">
        <w:rPr>
          <w:b/>
          <w:bCs/>
        </w:rPr>
        <w:noBreakHyphen/>
        <w:t>PDUFA Momentum: None Found</w:t>
      </w:r>
    </w:p>
    <w:p w14:paraId="016FFC28" w14:textId="77777777" w:rsidR="00AC6AED" w:rsidRPr="00AC6AED" w:rsidRDefault="00AC6AED" w:rsidP="00AC6AED">
      <w:pPr>
        <w:numPr>
          <w:ilvl w:val="0"/>
          <w:numId w:val="13"/>
        </w:numPr>
      </w:pPr>
      <w:r w:rsidRPr="00AC6AED">
        <w:t xml:space="preserve">Despite the importance of PDUFA dates as catalysts for biotech stocks, </w:t>
      </w:r>
      <w:r w:rsidRPr="00AC6AED">
        <w:rPr>
          <w:b/>
          <w:bCs/>
        </w:rPr>
        <w:t>no academic study or publicly available dataset has been published that calculates or reports equity return, volatility, volume, implied volatility (IV), or momentum metrics in a fixed T</w:t>
      </w:r>
      <w:r w:rsidRPr="00AC6AED">
        <w:rPr>
          <w:b/>
          <w:bCs/>
        </w:rPr>
        <w:noBreakHyphen/>
        <w:t>45 to T</w:t>
      </w:r>
      <w:r w:rsidRPr="00AC6AED">
        <w:rPr>
          <w:b/>
          <w:bCs/>
        </w:rPr>
        <w:noBreakHyphen/>
        <w:t>1 pre</w:t>
      </w:r>
      <w:r w:rsidRPr="00AC6AED">
        <w:rPr>
          <w:b/>
          <w:bCs/>
        </w:rPr>
        <w:noBreakHyphen/>
        <w:t>decision window around FDA PDUFA announcement dates</w:t>
      </w:r>
      <w:r w:rsidRPr="00AC6AED">
        <w:t xml:space="preserve"> in biotech.</w:t>
      </w:r>
    </w:p>
    <w:p w14:paraId="402934B7" w14:textId="77777777" w:rsidR="00AC6AED" w:rsidRPr="00AC6AED" w:rsidRDefault="00AC6AED" w:rsidP="00AC6AED">
      <w:pPr>
        <w:numPr>
          <w:ilvl w:val="0"/>
          <w:numId w:val="13"/>
        </w:numPr>
      </w:pPr>
      <w:r w:rsidRPr="00AC6AED">
        <w:t xml:space="preserve">PDUFA dates are tracked in industry resources because they are known catalysts for stock price movement, but these resources do </w:t>
      </w:r>
      <w:r w:rsidRPr="00AC6AED">
        <w:rPr>
          <w:i/>
          <w:iCs/>
        </w:rPr>
        <w:t>not</w:t>
      </w:r>
      <w:r w:rsidRPr="00AC6AED">
        <w:t xml:space="preserve"> provide empirical statistical analyses of pre</w:t>
      </w:r>
      <w:r w:rsidRPr="00AC6AED">
        <w:noBreakHyphen/>
        <w:t>event equity performance in the 45 trading days before decisions. (</w:t>
      </w:r>
      <w:hyperlink r:id="rId80" w:tooltip="FDA Calendar, FDA Drug Approval, PDUFA Calendar - RTTNews" w:history="1">
        <w:r w:rsidRPr="00AC6AED">
          <w:rPr>
            <w:rStyle w:val="Hyperlink"/>
          </w:rPr>
          <w:t>RTTNews</w:t>
        </w:r>
      </w:hyperlink>
      <w:r w:rsidRPr="00AC6AED">
        <w:t>)</w:t>
      </w:r>
    </w:p>
    <w:p w14:paraId="07D83471" w14:textId="77777777" w:rsidR="00AC6AED" w:rsidRPr="00AC6AED" w:rsidRDefault="00AC6AED" w:rsidP="00AC6AED">
      <w:r w:rsidRPr="00AC6AED">
        <w:pict w14:anchorId="7442CB0F">
          <v:rect id="_x0000_i1030" style="width:0;height:1.5pt" o:hralign="center" o:hrstd="t" o:hr="t" fillcolor="#a0a0a0" stroked="f"/>
        </w:pict>
      </w:r>
    </w:p>
    <w:p w14:paraId="0C607778" w14:textId="77777777" w:rsidR="00AC6AED" w:rsidRPr="00AC6AED" w:rsidRDefault="00AC6AED" w:rsidP="00AC6AED">
      <w:pPr>
        <w:rPr>
          <w:b/>
          <w:bCs/>
        </w:rPr>
      </w:pPr>
      <w:r w:rsidRPr="00AC6AED">
        <w:rPr>
          <w:rFonts w:ascii="Segoe UI Emoji" w:hAnsi="Segoe UI Emoji" w:cs="Segoe UI Emoji"/>
          <w:b/>
          <w:bCs/>
        </w:rPr>
        <w:t>📈</w:t>
      </w:r>
      <w:r w:rsidRPr="00AC6AED">
        <w:rPr>
          <w:b/>
          <w:bCs/>
        </w:rPr>
        <w:t xml:space="preserve"> 2. Related Evidence on Clinical and Regulatory Events</w:t>
      </w:r>
    </w:p>
    <w:p w14:paraId="6BD3F4B5" w14:textId="77777777" w:rsidR="00AC6AED" w:rsidRPr="00AC6AED" w:rsidRDefault="00AC6AED" w:rsidP="00AC6AED">
      <w:pPr>
        <w:rPr>
          <w:b/>
          <w:bCs/>
        </w:rPr>
      </w:pPr>
      <w:r w:rsidRPr="00AC6AED">
        <w:rPr>
          <w:b/>
          <w:bCs/>
        </w:rPr>
        <w:t>A. Pre</w:t>
      </w:r>
      <w:r w:rsidRPr="00AC6AED">
        <w:rPr>
          <w:b/>
          <w:bCs/>
        </w:rPr>
        <w:noBreakHyphen/>
        <w:t>Announcement Stock Movements Around Clinical / Panel Results</w:t>
      </w:r>
    </w:p>
    <w:p w14:paraId="3D5FB3D9" w14:textId="77777777" w:rsidR="00AC6AED" w:rsidRPr="00AC6AED" w:rsidRDefault="00AC6AED" w:rsidP="00AC6AED">
      <w:pPr>
        <w:numPr>
          <w:ilvl w:val="0"/>
          <w:numId w:val="14"/>
        </w:numPr>
      </w:pPr>
      <w:r w:rsidRPr="00AC6AED">
        <w:rPr>
          <w:i/>
          <w:iCs/>
        </w:rPr>
        <w:t>Overgaard et al. (2000)</w:t>
      </w:r>
      <w:r w:rsidRPr="00AC6AED">
        <w:t xml:space="preserve"> examined biotech stock prices 120 trading days before </w:t>
      </w:r>
      <w:r w:rsidRPr="00AC6AED">
        <w:rPr>
          <w:b/>
          <w:bCs/>
        </w:rPr>
        <w:t>Phase III clinical trial results and FDA Advisory Panel events</w:t>
      </w:r>
      <w:r w:rsidRPr="00AC6AED">
        <w:t>. “Winners” had ~27% average price increases from 120 to 3 days pre</w:t>
      </w:r>
      <w:r w:rsidRPr="00AC6AED">
        <w:noBreakHyphen/>
        <w:t>event versus losers.</w:t>
      </w:r>
    </w:p>
    <w:p w14:paraId="1B835B7C" w14:textId="77777777" w:rsidR="00AC6AED" w:rsidRPr="00AC6AED" w:rsidRDefault="00AC6AED" w:rsidP="00AC6AED">
      <w:pPr>
        <w:numPr>
          <w:ilvl w:val="0"/>
          <w:numId w:val="14"/>
        </w:numPr>
      </w:pPr>
      <w:r w:rsidRPr="00AC6AED">
        <w:lastRenderedPageBreak/>
        <w:t xml:space="preserve">However, this study does </w:t>
      </w:r>
      <w:r w:rsidRPr="00AC6AED">
        <w:rPr>
          <w:b/>
          <w:bCs/>
        </w:rPr>
        <w:t>not isolate scheduled PDUFA dates</w:t>
      </w:r>
      <w:r w:rsidRPr="00AC6AED">
        <w:t xml:space="preserve"> and does not report 45</w:t>
      </w:r>
      <w:r w:rsidRPr="00AC6AED">
        <w:noBreakHyphen/>
        <w:t>day window statistics, volatility, volume, or implied volatility. (</w:t>
      </w:r>
      <w:hyperlink r:id="rId81" w:tooltip="Biotechnology stock prices before public announcements" w:history="1">
        <w:r w:rsidRPr="00AC6AED">
          <w:rPr>
            <w:rStyle w:val="Hyperlink"/>
          </w:rPr>
          <w:t>PubMed</w:t>
        </w:r>
      </w:hyperlink>
      <w:r w:rsidRPr="00AC6AED">
        <w:t>)</w:t>
      </w:r>
    </w:p>
    <w:p w14:paraId="19595ABF" w14:textId="77777777" w:rsidR="00AC6AED" w:rsidRPr="00AC6AED" w:rsidRDefault="00AC6AED" w:rsidP="00AC6AED">
      <w:pPr>
        <w:rPr>
          <w:b/>
          <w:bCs/>
        </w:rPr>
      </w:pPr>
      <w:r w:rsidRPr="00AC6AED">
        <w:rPr>
          <w:b/>
          <w:bCs/>
        </w:rPr>
        <w:t>B. 120</w:t>
      </w:r>
      <w:r w:rsidRPr="00AC6AED">
        <w:rPr>
          <w:b/>
          <w:bCs/>
        </w:rPr>
        <w:noBreakHyphen/>
        <w:t>Day Pre</w:t>
      </w:r>
      <w:r w:rsidRPr="00AC6AED">
        <w:rPr>
          <w:b/>
          <w:bCs/>
        </w:rPr>
        <w:noBreakHyphen/>
        <w:t>Event Stock Price Trends</w:t>
      </w:r>
    </w:p>
    <w:p w14:paraId="13FB1BCB" w14:textId="77777777" w:rsidR="00AC6AED" w:rsidRPr="00AC6AED" w:rsidRDefault="00AC6AED" w:rsidP="00AC6AED">
      <w:pPr>
        <w:numPr>
          <w:ilvl w:val="0"/>
          <w:numId w:val="15"/>
        </w:numPr>
      </w:pPr>
      <w:r w:rsidRPr="00AC6AED">
        <w:rPr>
          <w:i/>
          <w:iCs/>
        </w:rPr>
        <w:t>Rothenstein et al. (2011)</w:t>
      </w:r>
      <w:r w:rsidRPr="00AC6AED">
        <w:t xml:space="preserve"> documented stock price trends prior to clinical results and regulatory decisions over </w:t>
      </w:r>
      <w:r w:rsidRPr="00AC6AED">
        <w:rPr>
          <w:b/>
          <w:bCs/>
        </w:rPr>
        <w:t>120 trading days</w:t>
      </w:r>
      <w:r w:rsidRPr="00AC6AED">
        <w:t>.</w:t>
      </w:r>
    </w:p>
    <w:p w14:paraId="2365FC63" w14:textId="77777777" w:rsidR="00AC6AED" w:rsidRPr="00AC6AED" w:rsidRDefault="00AC6AED" w:rsidP="00AC6AED">
      <w:pPr>
        <w:numPr>
          <w:ilvl w:val="0"/>
          <w:numId w:val="15"/>
        </w:numPr>
      </w:pPr>
      <w:r w:rsidRPr="00AC6AED">
        <w:t>They found differences in pre</w:t>
      </w:r>
      <w:r w:rsidRPr="00AC6AED">
        <w:noBreakHyphen/>
        <w:t xml:space="preserve">announcement trends for positive vs. negative clinical outcomes, but </w:t>
      </w:r>
      <w:r w:rsidRPr="00AC6AED">
        <w:rPr>
          <w:b/>
          <w:bCs/>
        </w:rPr>
        <w:t>no statistically significant trend before FDA regulatory decisions</w:t>
      </w:r>
      <w:r w:rsidRPr="00AC6AED">
        <w:t>, and no volatility or volume reporting. (</w:t>
      </w:r>
      <w:hyperlink r:id="rId82" w:tooltip="Company Stock Prices Before and After Public ..." w:history="1">
        <w:r w:rsidRPr="00AC6AED">
          <w:rPr>
            <w:rStyle w:val="Hyperlink"/>
          </w:rPr>
          <w:t>PubMed</w:t>
        </w:r>
      </w:hyperlink>
      <w:r w:rsidRPr="00AC6AED">
        <w:t>)</w:t>
      </w:r>
    </w:p>
    <w:p w14:paraId="1A9019F0" w14:textId="77777777" w:rsidR="00AC6AED" w:rsidRPr="00AC6AED" w:rsidRDefault="00AC6AED" w:rsidP="00AC6AED">
      <w:r w:rsidRPr="00AC6AED">
        <w:pict w14:anchorId="4174E819">
          <v:rect id="_x0000_i1031" style="width:0;height:1.5pt" o:hralign="center" o:hrstd="t" o:hr="t" fillcolor="#a0a0a0" stroked="f"/>
        </w:pict>
      </w:r>
    </w:p>
    <w:p w14:paraId="253FD9F7" w14:textId="77777777" w:rsidR="00AC6AED" w:rsidRPr="00AC6AED" w:rsidRDefault="00AC6AED" w:rsidP="00AC6AED">
      <w:pPr>
        <w:rPr>
          <w:b/>
          <w:bCs/>
        </w:rPr>
      </w:pPr>
      <w:r w:rsidRPr="00AC6AED">
        <w:rPr>
          <w:rFonts w:ascii="Segoe UI Emoji" w:hAnsi="Segoe UI Emoji" w:cs="Segoe UI Emoji"/>
          <w:b/>
          <w:bCs/>
        </w:rPr>
        <w:t>📊</w:t>
      </w:r>
      <w:r w:rsidRPr="00AC6AED">
        <w:rPr>
          <w:b/>
          <w:bCs/>
        </w:rPr>
        <w:t xml:space="preserve"> 3. Event Study Evidence on Related Regulatory Impacts</w:t>
      </w:r>
    </w:p>
    <w:p w14:paraId="1D99A10A" w14:textId="77777777" w:rsidR="00AC6AED" w:rsidRPr="00AC6AED" w:rsidRDefault="00AC6AED" w:rsidP="00AC6AED">
      <w:pPr>
        <w:rPr>
          <w:b/>
          <w:bCs/>
        </w:rPr>
      </w:pPr>
      <w:r w:rsidRPr="00AC6AED">
        <w:rPr>
          <w:b/>
          <w:bCs/>
        </w:rPr>
        <w:t>CRL Event Study (Incomplete Response Letters)</w:t>
      </w:r>
    </w:p>
    <w:p w14:paraId="29C3BAFA" w14:textId="77777777" w:rsidR="00AC6AED" w:rsidRPr="00AC6AED" w:rsidRDefault="00AC6AED" w:rsidP="00AC6AED">
      <w:pPr>
        <w:numPr>
          <w:ilvl w:val="0"/>
          <w:numId w:val="16"/>
        </w:numPr>
      </w:pPr>
      <w:r w:rsidRPr="00AC6AED">
        <w:rPr>
          <w:i/>
          <w:iCs/>
        </w:rPr>
        <w:t>Muralitharan &amp; Banerjee (2026)</w:t>
      </w:r>
      <w:r w:rsidRPr="00AC6AED">
        <w:t xml:space="preserve"> analyzed </w:t>
      </w:r>
      <w:r w:rsidRPr="00AC6AED">
        <w:rPr>
          <w:b/>
          <w:bCs/>
        </w:rPr>
        <w:t>stock market reactions to FDA Complete Response Letters (CRLs)</w:t>
      </w:r>
      <w:r w:rsidRPr="00AC6AED">
        <w:t xml:space="preserve"> for 222 events (2010–2025).</w:t>
      </w:r>
    </w:p>
    <w:p w14:paraId="54E8C117" w14:textId="77777777" w:rsidR="00AC6AED" w:rsidRPr="00AC6AED" w:rsidRDefault="00AC6AED" w:rsidP="00AC6AED">
      <w:pPr>
        <w:numPr>
          <w:ilvl w:val="0"/>
          <w:numId w:val="16"/>
        </w:numPr>
      </w:pPr>
      <w:r w:rsidRPr="00AC6AED">
        <w:t xml:space="preserve">They reported </w:t>
      </w:r>
      <w:r w:rsidRPr="00AC6AED">
        <w:rPr>
          <w:b/>
          <w:bCs/>
        </w:rPr>
        <w:t>negative abnormal returns around CRL dates</w:t>
      </w:r>
      <w:r w:rsidRPr="00AC6AED">
        <w:t xml:space="preserve"> (mean three</w:t>
      </w:r>
      <w:r w:rsidRPr="00AC6AED">
        <w:noBreakHyphen/>
        <w:t xml:space="preserve">day CAR ≈ </w:t>
      </w:r>
      <w:r w:rsidRPr="00AC6AED">
        <w:noBreakHyphen/>
        <w:t>4.34%). They also found cross</w:t>
      </w:r>
      <w:r w:rsidRPr="00AC6AED">
        <w:noBreakHyphen/>
        <w:t>sectional effects: higher pre</w:t>
      </w:r>
      <w:r w:rsidRPr="00AC6AED">
        <w:noBreakHyphen/>
        <w:t>event stock volatility correlated with more negative returns, and firm size related to tail risk.</w:t>
      </w:r>
    </w:p>
    <w:p w14:paraId="00447902" w14:textId="77777777" w:rsidR="00AC6AED" w:rsidRPr="00AC6AED" w:rsidRDefault="00AC6AED" w:rsidP="00AC6AED">
      <w:pPr>
        <w:numPr>
          <w:ilvl w:val="0"/>
          <w:numId w:val="16"/>
        </w:numPr>
      </w:pPr>
      <w:r w:rsidRPr="00AC6AED">
        <w:t xml:space="preserve">While this examines regulatory </w:t>
      </w:r>
      <w:r w:rsidRPr="00AC6AED">
        <w:rPr>
          <w:i/>
          <w:iCs/>
        </w:rPr>
        <w:t>non</w:t>
      </w:r>
      <w:r w:rsidRPr="00AC6AED">
        <w:rPr>
          <w:i/>
          <w:iCs/>
        </w:rPr>
        <w:noBreakHyphen/>
        <w:t>approvals</w:t>
      </w:r>
      <w:r w:rsidRPr="00AC6AED">
        <w:t xml:space="preserve">, it does </w:t>
      </w:r>
      <w:r w:rsidRPr="00AC6AED">
        <w:rPr>
          <w:b/>
          <w:bCs/>
        </w:rPr>
        <w:t>not provide pre</w:t>
      </w:r>
      <w:r w:rsidRPr="00AC6AED">
        <w:rPr>
          <w:b/>
          <w:bCs/>
        </w:rPr>
        <w:noBreakHyphen/>
        <w:t>event T</w:t>
      </w:r>
      <w:r w:rsidRPr="00AC6AED">
        <w:rPr>
          <w:b/>
          <w:bCs/>
        </w:rPr>
        <w:noBreakHyphen/>
        <w:t>45 statistics for PDUFA decisions</w:t>
      </w:r>
      <w:r w:rsidRPr="00AC6AED">
        <w:t xml:space="preserve"> and focuses on post</w:t>
      </w:r>
      <w:r w:rsidRPr="00AC6AED">
        <w:noBreakHyphen/>
        <w:t>event abnormal returns. (</w:t>
      </w:r>
      <w:hyperlink r:id="rId83" w:tooltip="Stock Market Reactions to FDA Complete Response Letter ..." w:history="1">
        <w:r w:rsidRPr="00AC6AED">
          <w:rPr>
            <w:rStyle w:val="Hyperlink"/>
          </w:rPr>
          <w:t>SSRN</w:t>
        </w:r>
      </w:hyperlink>
      <w:r w:rsidRPr="00AC6AED">
        <w:t>)</w:t>
      </w:r>
    </w:p>
    <w:p w14:paraId="5DE2F98C" w14:textId="77777777" w:rsidR="00AC6AED" w:rsidRPr="00AC6AED" w:rsidRDefault="00AC6AED" w:rsidP="00AC6AED">
      <w:r w:rsidRPr="00AC6AED">
        <w:pict w14:anchorId="3CF8E56B">
          <v:rect id="_x0000_i1032" style="width:0;height:1.5pt" o:hralign="center" o:hrstd="t" o:hr="t" fillcolor="#a0a0a0" stroked="f"/>
        </w:pict>
      </w:r>
    </w:p>
    <w:p w14:paraId="678C5610" w14:textId="77777777" w:rsidR="00AC6AED" w:rsidRPr="00AC6AED" w:rsidRDefault="00AC6AED" w:rsidP="00AC6AED">
      <w:pPr>
        <w:rPr>
          <w:b/>
          <w:bCs/>
        </w:rPr>
      </w:pPr>
      <w:r w:rsidRPr="00AC6AED">
        <w:rPr>
          <w:rFonts w:ascii="Segoe UI Emoji" w:hAnsi="Segoe UI Emoji" w:cs="Segoe UI Emoji"/>
          <w:b/>
          <w:bCs/>
        </w:rPr>
        <w:t>🧠</w:t>
      </w:r>
      <w:r w:rsidRPr="00AC6AED">
        <w:rPr>
          <w:b/>
          <w:bCs/>
        </w:rPr>
        <w:t xml:space="preserve"> 4. Other Relevant Research / Methods (Not Specific to PDUFA T</w:t>
      </w:r>
      <w:r w:rsidRPr="00AC6AED">
        <w:rPr>
          <w:b/>
          <w:bCs/>
        </w:rPr>
        <w:noBreakHyphen/>
        <w:t>45)</w:t>
      </w:r>
    </w:p>
    <w:p w14:paraId="0DCE82C0" w14:textId="77777777" w:rsidR="00AC6AED" w:rsidRPr="00AC6AED" w:rsidRDefault="00AC6AED" w:rsidP="00AC6AED">
      <w:pPr>
        <w:rPr>
          <w:b/>
          <w:bCs/>
        </w:rPr>
      </w:pPr>
      <w:r w:rsidRPr="00AC6AED">
        <w:rPr>
          <w:b/>
          <w:bCs/>
        </w:rPr>
        <w:t>A. Implied Volatility &amp; Predictive Signals</w:t>
      </w:r>
    </w:p>
    <w:p w14:paraId="467AB88C" w14:textId="77777777" w:rsidR="00AC6AED" w:rsidRPr="00AC6AED" w:rsidRDefault="00AC6AED" w:rsidP="00AC6AED">
      <w:pPr>
        <w:numPr>
          <w:ilvl w:val="0"/>
          <w:numId w:val="17"/>
        </w:numPr>
      </w:pPr>
      <w:r w:rsidRPr="00AC6AED">
        <w:t xml:space="preserve">Bohmann &amp; Patel (2022) found that </w:t>
      </w:r>
      <w:r w:rsidRPr="00AC6AED">
        <w:rPr>
          <w:b/>
          <w:bCs/>
        </w:rPr>
        <w:t>pre</w:t>
      </w:r>
      <w:r w:rsidRPr="00AC6AED">
        <w:rPr>
          <w:b/>
          <w:bCs/>
        </w:rPr>
        <w:noBreakHyphen/>
        <w:t>announcement implied volatility spreads and options trading activity are elevated and can predict FDA announcement</w:t>
      </w:r>
      <w:r w:rsidRPr="00AC6AED">
        <w:rPr>
          <w:b/>
          <w:bCs/>
        </w:rPr>
        <w:noBreakHyphen/>
        <w:t>day returns</w:t>
      </w:r>
      <w:r w:rsidRPr="00AC6AED">
        <w:t xml:space="preserve">, suggesting information leakage. They use options data and regression models but do </w:t>
      </w:r>
      <w:r w:rsidRPr="00AC6AED">
        <w:rPr>
          <w:b/>
          <w:bCs/>
        </w:rPr>
        <w:t>not quantify average/median returns or volatility in fixed 45</w:t>
      </w:r>
      <w:r w:rsidRPr="00AC6AED">
        <w:rPr>
          <w:b/>
          <w:bCs/>
        </w:rPr>
        <w:noBreakHyphen/>
        <w:t>day windows</w:t>
      </w:r>
      <w:r w:rsidRPr="00AC6AED">
        <w:t>. (</w:t>
      </w:r>
      <w:hyperlink r:id="rId84" w:tooltip="Informed options trading prior to FDA announcements*" w:history="1">
        <w:r w:rsidRPr="00AC6AED">
          <w:rPr>
            <w:rStyle w:val="Hyperlink"/>
          </w:rPr>
          <w:t>SSRN</w:t>
        </w:r>
      </w:hyperlink>
      <w:r w:rsidRPr="00AC6AED">
        <w:t>)</w:t>
      </w:r>
    </w:p>
    <w:p w14:paraId="6D06A08F" w14:textId="77777777" w:rsidR="00AC6AED" w:rsidRPr="00AC6AED" w:rsidRDefault="00AC6AED" w:rsidP="00AC6AED">
      <w:pPr>
        <w:rPr>
          <w:b/>
          <w:bCs/>
        </w:rPr>
      </w:pPr>
      <w:r w:rsidRPr="00AC6AED">
        <w:rPr>
          <w:b/>
          <w:bCs/>
        </w:rPr>
        <w:t>B. News and Biopharma Price Responses</w:t>
      </w:r>
    </w:p>
    <w:p w14:paraId="324A75A7" w14:textId="77777777" w:rsidR="00AC6AED" w:rsidRPr="00AC6AED" w:rsidRDefault="00AC6AED" w:rsidP="00AC6AED">
      <w:pPr>
        <w:numPr>
          <w:ilvl w:val="0"/>
          <w:numId w:val="18"/>
        </w:numPr>
      </w:pPr>
      <w:r w:rsidRPr="00AC6AED">
        <w:t xml:space="preserve">Cho et al. (2024) performed a broad event study on the impact of news releases on biotech stock returns, but this is </w:t>
      </w:r>
      <w:r w:rsidRPr="00AC6AED">
        <w:rPr>
          <w:i/>
          <w:iCs/>
        </w:rPr>
        <w:t>not focused on scheduled regulatory decisions</w:t>
      </w:r>
      <w:r w:rsidRPr="00AC6AED">
        <w:t xml:space="preserve"> and does not examine fixed pre</w:t>
      </w:r>
      <w:r w:rsidRPr="00AC6AED">
        <w:noBreakHyphen/>
        <w:t>event windows. (</w:t>
      </w:r>
      <w:hyperlink r:id="rId85" w:tooltip="How does news affect biopharma stock prices?: An event ..." w:history="1">
        <w:r w:rsidRPr="00AC6AED">
          <w:rPr>
            <w:rStyle w:val="Hyperlink"/>
          </w:rPr>
          <w:t>PMC</w:t>
        </w:r>
      </w:hyperlink>
      <w:r w:rsidRPr="00AC6AED">
        <w:t>)</w:t>
      </w:r>
    </w:p>
    <w:p w14:paraId="6D904A20" w14:textId="77777777" w:rsidR="00AC6AED" w:rsidRPr="00AC6AED" w:rsidRDefault="00AC6AED" w:rsidP="00AC6AED">
      <w:pPr>
        <w:rPr>
          <w:b/>
          <w:bCs/>
        </w:rPr>
      </w:pPr>
      <w:r w:rsidRPr="00AC6AED">
        <w:rPr>
          <w:b/>
          <w:bCs/>
        </w:rPr>
        <w:lastRenderedPageBreak/>
        <w:t>C. Short</w:t>
      </w:r>
      <w:r w:rsidRPr="00AC6AED">
        <w:rPr>
          <w:b/>
          <w:bCs/>
        </w:rPr>
        <w:noBreakHyphen/>
        <w:t>Window Event Studies</w:t>
      </w:r>
    </w:p>
    <w:p w14:paraId="5378B23F" w14:textId="77777777" w:rsidR="00AC6AED" w:rsidRPr="00AC6AED" w:rsidRDefault="00AC6AED" w:rsidP="00AC6AED">
      <w:pPr>
        <w:numPr>
          <w:ilvl w:val="0"/>
          <w:numId w:val="19"/>
        </w:numPr>
      </w:pPr>
      <w:r w:rsidRPr="00AC6AED">
        <w:t>Multiple studies (e.g., Hwang 2013) use event</w:t>
      </w:r>
      <w:r w:rsidRPr="00AC6AED">
        <w:noBreakHyphen/>
        <w:t>study methodology to show abnormal returns concentrated in short windows around clinical or regulatory announcements (e.g., ±1 to ±5 days), but not long pre</w:t>
      </w:r>
      <w:r w:rsidRPr="00AC6AED">
        <w:noBreakHyphen/>
        <w:t>PDUFA windows. (</w:t>
      </w:r>
      <w:hyperlink r:id="rId86" w:tooltip="Stock Market Returns and Clinical Trial Results of ..." w:history="1">
        <w:r w:rsidRPr="00AC6AED">
          <w:rPr>
            <w:rStyle w:val="Hyperlink"/>
          </w:rPr>
          <w:t>PLOS</w:t>
        </w:r>
      </w:hyperlink>
      <w:r w:rsidRPr="00AC6AED">
        <w:t>)</w:t>
      </w:r>
    </w:p>
    <w:p w14:paraId="585B0835" w14:textId="77777777" w:rsidR="00AC6AED" w:rsidRPr="00AC6AED" w:rsidRDefault="00AC6AED" w:rsidP="00AC6AED">
      <w:r w:rsidRPr="00AC6AED">
        <w:pict w14:anchorId="338607A6">
          <v:rect id="_x0000_i1033" style="width:0;height:1.5pt" o:hralign="center" o:hrstd="t" o:hr="t" fillcolor="#a0a0a0" stroked="f"/>
        </w:pict>
      </w:r>
    </w:p>
    <w:p w14:paraId="3756B39E" w14:textId="77777777" w:rsidR="00AC6AED" w:rsidRPr="00AC6AED" w:rsidRDefault="00AC6AED" w:rsidP="00AC6AED">
      <w:pPr>
        <w:rPr>
          <w:b/>
          <w:bCs/>
        </w:rPr>
      </w:pPr>
      <w:r w:rsidRPr="00AC6AED">
        <w:rPr>
          <w:rFonts w:ascii="Segoe UI Emoji" w:hAnsi="Segoe UI Emoji" w:cs="Segoe UI Emoji"/>
          <w:b/>
          <w:bCs/>
        </w:rPr>
        <w:t>⚠️</w:t>
      </w:r>
      <w:r w:rsidRPr="00AC6AED">
        <w:rPr>
          <w:b/>
          <w:bCs/>
        </w:rPr>
        <w:t xml:space="preserve"> 5. Key Methodological Caveats in the Literature</w:t>
      </w:r>
    </w:p>
    <w:p w14:paraId="1435907D" w14:textId="77777777" w:rsidR="00AC6AED" w:rsidRPr="00AC6AED" w:rsidRDefault="00AC6AED" w:rsidP="00AC6AED">
      <w:r w:rsidRPr="00AC6AED">
        <w:t xml:space="preserve">Even in areas indirectly related to regulatory events, several </w:t>
      </w:r>
      <w:r w:rsidRPr="00AC6AED">
        <w:rPr>
          <w:b/>
          <w:bCs/>
        </w:rPr>
        <w:t>caveats</w:t>
      </w:r>
      <w:r w:rsidRPr="00AC6AED">
        <w:t xml:space="preserve"> apply:</w:t>
      </w:r>
    </w:p>
    <w:p w14:paraId="65F4C7F3" w14:textId="77777777" w:rsidR="00AC6AED" w:rsidRPr="00AC6AED" w:rsidRDefault="00AC6AED" w:rsidP="00AC6AED">
      <w:r w:rsidRPr="00AC6AED">
        <w:rPr>
          <w:b/>
          <w:bCs/>
        </w:rPr>
        <w:t>Survivorship and Selection Bias</w:t>
      </w:r>
    </w:p>
    <w:p w14:paraId="7AA7AC7C" w14:textId="77777777" w:rsidR="00AC6AED" w:rsidRPr="00AC6AED" w:rsidRDefault="00AC6AED" w:rsidP="00AC6AED">
      <w:pPr>
        <w:numPr>
          <w:ilvl w:val="0"/>
          <w:numId w:val="20"/>
        </w:numPr>
      </w:pPr>
      <w:r w:rsidRPr="00AC6AED">
        <w:t>Long</w:t>
      </w:r>
      <w:r w:rsidRPr="00AC6AED">
        <w:noBreakHyphen/>
        <w:t>horizon pre</w:t>
      </w:r>
      <w:r w:rsidRPr="00AC6AED">
        <w:noBreakHyphen/>
        <w:t>announcement studies (e.g., 120+ day windows) may suffer from survivorship bias if they exclude companies that fail or delist prior to decisions.</w:t>
      </w:r>
    </w:p>
    <w:p w14:paraId="0D9110E1" w14:textId="77777777" w:rsidR="00AC6AED" w:rsidRPr="00AC6AED" w:rsidRDefault="00AC6AED" w:rsidP="00AC6AED">
      <w:r w:rsidRPr="00AC6AED">
        <w:rPr>
          <w:b/>
          <w:bCs/>
        </w:rPr>
        <w:t>Confounding Information Noise</w:t>
      </w:r>
    </w:p>
    <w:p w14:paraId="114136B9" w14:textId="77777777" w:rsidR="00AC6AED" w:rsidRPr="00AC6AED" w:rsidRDefault="00AC6AED" w:rsidP="00AC6AED">
      <w:pPr>
        <w:numPr>
          <w:ilvl w:val="0"/>
          <w:numId w:val="21"/>
        </w:numPr>
      </w:pPr>
      <w:r w:rsidRPr="00AC6AED">
        <w:t>Extended pre</w:t>
      </w:r>
      <w:r w:rsidRPr="00AC6AED">
        <w:noBreakHyphen/>
        <w:t>event windows include many unrelated announcements, making attribution to an upcoming regulatory decision ambiguous.</w:t>
      </w:r>
    </w:p>
    <w:p w14:paraId="0DDD066A" w14:textId="77777777" w:rsidR="00AC6AED" w:rsidRPr="00AC6AED" w:rsidRDefault="00AC6AED" w:rsidP="00AC6AED">
      <w:r w:rsidRPr="00AC6AED">
        <w:rPr>
          <w:b/>
          <w:bCs/>
        </w:rPr>
        <w:t>Short</w:t>
      </w:r>
      <w:r w:rsidRPr="00AC6AED">
        <w:rPr>
          <w:b/>
          <w:bCs/>
        </w:rPr>
        <w:noBreakHyphen/>
        <w:t>Window Focus in Event Studies</w:t>
      </w:r>
    </w:p>
    <w:p w14:paraId="734BD49D" w14:textId="77777777" w:rsidR="00AC6AED" w:rsidRPr="00AC6AED" w:rsidRDefault="00AC6AED" w:rsidP="00AC6AED">
      <w:pPr>
        <w:numPr>
          <w:ilvl w:val="0"/>
          <w:numId w:val="22"/>
        </w:numPr>
      </w:pPr>
      <w:r w:rsidRPr="00AC6AED">
        <w:t>Standard event study methodology prioritizes short windows around announcements due to lower noise but consequently does not capture anticipatory drift over 45 trading days.</w:t>
      </w:r>
    </w:p>
    <w:p w14:paraId="3F288F82" w14:textId="77777777" w:rsidR="00AC6AED" w:rsidRPr="00AC6AED" w:rsidRDefault="00AC6AED" w:rsidP="00AC6AED">
      <w:r w:rsidRPr="00AC6AED">
        <w:pict w14:anchorId="37E0339C">
          <v:rect id="_x0000_i1034" style="width:0;height:1.5pt" o:hralign="center" o:hrstd="t" o:hr="t" fillcolor="#a0a0a0" stroked="f"/>
        </w:pict>
      </w:r>
    </w:p>
    <w:p w14:paraId="12164D77" w14:textId="77777777" w:rsidR="00AC6AED" w:rsidRPr="00AC6AED" w:rsidRDefault="00AC6AED" w:rsidP="00AC6AED">
      <w:pPr>
        <w:rPr>
          <w:b/>
          <w:bCs/>
        </w:rPr>
      </w:pPr>
      <w:r w:rsidRPr="00AC6AED">
        <w:rPr>
          <w:rFonts w:ascii="Segoe UI Emoji" w:hAnsi="Segoe UI Emoji" w:cs="Segoe UI Emoji"/>
          <w:b/>
          <w:bCs/>
        </w:rPr>
        <w:t>📌</w:t>
      </w:r>
      <w:r w:rsidRPr="00AC6AED">
        <w:rPr>
          <w:b/>
          <w:bCs/>
        </w:rPr>
        <w:t xml:space="preserve"> Summary</w:t>
      </w:r>
    </w:p>
    <w:p w14:paraId="7CA67C88" w14:textId="77777777" w:rsidR="00AC6AED" w:rsidRPr="00AC6AED" w:rsidRDefault="00AC6AED" w:rsidP="00AC6AED">
      <w:r w:rsidRPr="00AC6AED">
        <w:rPr>
          <w:b/>
          <w:bCs/>
        </w:rPr>
        <w:t>There is currently no published research, dataset, or peer</w:t>
      </w:r>
      <w:r w:rsidRPr="00AC6AED">
        <w:rPr>
          <w:b/>
          <w:bCs/>
        </w:rPr>
        <w:noBreakHyphen/>
        <w:t xml:space="preserve">reviewed event study that quantifies the stock price performance or momentum (returns, volatility, volume, implied volatility, or predictive signals) specifically in the </w:t>
      </w:r>
      <w:r w:rsidRPr="00AC6AED">
        <w:rPr>
          <w:b/>
          <w:bCs/>
          <w:i/>
          <w:iCs/>
        </w:rPr>
        <w:t>45 trading days</w:t>
      </w:r>
      <w:r w:rsidRPr="00AC6AED">
        <w:rPr>
          <w:b/>
          <w:bCs/>
        </w:rPr>
        <w:t xml:space="preserve"> leading up to </w:t>
      </w:r>
      <w:r w:rsidRPr="00AC6AED">
        <w:rPr>
          <w:b/>
          <w:bCs/>
          <w:i/>
          <w:iCs/>
        </w:rPr>
        <w:t>FDA PDUFA decisions</w:t>
      </w:r>
      <w:r w:rsidRPr="00AC6AED">
        <w:rPr>
          <w:b/>
          <w:bCs/>
        </w:rPr>
        <w:t xml:space="preserve"> for biotech firms.</w:t>
      </w:r>
      <w:r w:rsidRPr="00AC6AED">
        <w:t xml:space="preserve"> The academic literature focuses on:</w:t>
      </w:r>
    </w:p>
    <w:p w14:paraId="1A04775A" w14:textId="77777777" w:rsidR="00AC6AED" w:rsidRPr="00AC6AED" w:rsidRDefault="00AC6AED" w:rsidP="00AC6AED">
      <w:pPr>
        <w:numPr>
          <w:ilvl w:val="0"/>
          <w:numId w:val="23"/>
        </w:numPr>
      </w:pPr>
      <w:r w:rsidRPr="00AC6AED">
        <w:t>Short event windows around announcements,</w:t>
      </w:r>
    </w:p>
    <w:p w14:paraId="38637A9B" w14:textId="77777777" w:rsidR="00AC6AED" w:rsidRPr="00AC6AED" w:rsidRDefault="00AC6AED" w:rsidP="00AC6AED">
      <w:pPr>
        <w:numPr>
          <w:ilvl w:val="0"/>
          <w:numId w:val="23"/>
        </w:numPr>
      </w:pPr>
      <w:r w:rsidRPr="00AC6AED">
        <w:t>Clinical trial outcome effects,</w:t>
      </w:r>
    </w:p>
    <w:p w14:paraId="5B636E04" w14:textId="77777777" w:rsidR="00AC6AED" w:rsidRPr="00AC6AED" w:rsidRDefault="00AC6AED" w:rsidP="00AC6AED">
      <w:pPr>
        <w:numPr>
          <w:ilvl w:val="0"/>
          <w:numId w:val="23"/>
        </w:numPr>
      </w:pPr>
      <w:r w:rsidRPr="00AC6AED">
        <w:t>Regulatory non</w:t>
      </w:r>
      <w:r w:rsidRPr="00AC6AED">
        <w:noBreakHyphen/>
        <w:t>approval (CRL) impacts, and</w:t>
      </w:r>
    </w:p>
    <w:p w14:paraId="108063E7" w14:textId="77777777" w:rsidR="00AC6AED" w:rsidRPr="00AC6AED" w:rsidRDefault="00AC6AED" w:rsidP="00AC6AED">
      <w:pPr>
        <w:numPr>
          <w:ilvl w:val="0"/>
          <w:numId w:val="23"/>
        </w:numPr>
      </w:pPr>
      <w:r w:rsidRPr="00AC6AED">
        <w:t>Predictive activity in options markets.</w:t>
      </w:r>
    </w:p>
    <w:p w14:paraId="28853D3B" w14:textId="77777777" w:rsidR="00AC6AED" w:rsidRPr="00AC6AED" w:rsidRDefault="00AC6AED" w:rsidP="00AC6AED">
      <w:r w:rsidRPr="00AC6AED">
        <w:t>None of these provide the fixed T</w:t>
      </w:r>
      <w:r w:rsidRPr="00AC6AED">
        <w:noBreakHyphen/>
        <w:t>45→T</w:t>
      </w:r>
      <w:r w:rsidRPr="00AC6AED">
        <w:noBreakHyphen/>
        <w:t>1 statistics or the detailed cross</w:t>
      </w:r>
      <w:r w:rsidRPr="00AC6AED">
        <w:noBreakHyphen/>
        <w:t xml:space="preserve">sectional breakdowns by market cap, indication, prior CRL, Advisory Committee involvement, or </w:t>
      </w:r>
      <w:r w:rsidRPr="00AC6AED">
        <w:lastRenderedPageBreak/>
        <w:t>CMC risk proxies you requested. Future research appears to be needed to fill this specific gap.</w:t>
      </w:r>
    </w:p>
    <w:p w14:paraId="41520C08" w14:textId="77777777" w:rsidR="00AC6AED" w:rsidRPr="00AC6AED" w:rsidRDefault="00AC6AED" w:rsidP="00AC6AED">
      <w:r w:rsidRPr="00AC6AED">
        <w:t xml:space="preserve">Here’s an </w:t>
      </w:r>
      <w:r w:rsidRPr="00AC6AED">
        <w:rPr>
          <w:b/>
          <w:bCs/>
        </w:rPr>
        <w:t>up</w:t>
      </w:r>
      <w:r w:rsidRPr="00AC6AED">
        <w:rPr>
          <w:b/>
          <w:bCs/>
        </w:rPr>
        <w:noBreakHyphen/>
        <w:t>to</w:t>
      </w:r>
      <w:r w:rsidRPr="00AC6AED">
        <w:rPr>
          <w:b/>
          <w:bCs/>
        </w:rPr>
        <w:noBreakHyphen/>
        <w:t>date, web</w:t>
      </w:r>
      <w:r w:rsidRPr="00AC6AED">
        <w:rPr>
          <w:b/>
          <w:bCs/>
        </w:rPr>
        <w:noBreakHyphen/>
        <w:t xml:space="preserve">verified summary of </w:t>
      </w:r>
      <w:r w:rsidRPr="00AC6AED">
        <w:rPr>
          <w:b/>
          <w:bCs/>
          <w:i/>
          <w:iCs/>
        </w:rPr>
        <w:t>research, preprints, practitioner write</w:t>
      </w:r>
      <w:r w:rsidRPr="00AC6AED">
        <w:rPr>
          <w:b/>
          <w:bCs/>
          <w:i/>
          <w:iCs/>
        </w:rPr>
        <w:noBreakHyphen/>
        <w:t>ups, and explainers</w:t>
      </w:r>
      <w:r w:rsidRPr="00AC6AED">
        <w:t xml:space="preserve"> relevant to </w:t>
      </w:r>
      <w:r w:rsidRPr="00AC6AED">
        <w:rPr>
          <w:b/>
          <w:bCs/>
        </w:rPr>
        <w:t>predictive market microstructure signals</w:t>
      </w:r>
      <w:r w:rsidRPr="00AC6AED">
        <w:t xml:space="preserve"> (especially </w:t>
      </w:r>
      <w:r w:rsidRPr="00AC6AED">
        <w:rPr>
          <w:i/>
          <w:iCs/>
        </w:rPr>
        <w:t>options flow, order book/LOB structure, dark pools/ATS, short interest/borrow, intraday patterns, and hedging/gamma</w:t>
      </w:r>
      <w:r w:rsidRPr="00AC6AED">
        <w:rPr>
          <w:i/>
          <w:iCs/>
        </w:rPr>
        <w:noBreakHyphen/>
        <w:t>related effects</w:t>
      </w:r>
      <w:r w:rsidRPr="00AC6AED">
        <w:t xml:space="preserve">) </w:t>
      </w:r>
      <w:r w:rsidRPr="00AC6AED">
        <w:rPr>
          <w:b/>
          <w:bCs/>
        </w:rPr>
        <w:t>with emphasis on features that can be measured with public/retail</w:t>
      </w:r>
      <w:r w:rsidRPr="00AC6AED">
        <w:rPr>
          <w:b/>
          <w:bCs/>
        </w:rPr>
        <w:noBreakHyphen/>
        <w:t>accessible data</w:t>
      </w:r>
      <w:r w:rsidRPr="00AC6AED">
        <w:t xml:space="preserve"> and </w:t>
      </w:r>
      <w:r w:rsidRPr="00AC6AED">
        <w:rPr>
          <w:b/>
          <w:bCs/>
        </w:rPr>
        <w:t>sources cited</w:t>
      </w:r>
      <w:r w:rsidRPr="00AC6AED">
        <w:t>:</w:t>
      </w:r>
    </w:p>
    <w:p w14:paraId="03A465FA" w14:textId="77777777" w:rsidR="00AC6AED" w:rsidRPr="00AC6AED" w:rsidRDefault="00AC6AED" w:rsidP="00AC6AED">
      <w:r w:rsidRPr="00AC6AED">
        <w:pict w14:anchorId="14F372B4">
          <v:rect id="_x0000_i1035" style="width:0;height:1.5pt" o:hralign="center" o:hrstd="t" o:hr="t" fillcolor="#a0a0a0" stroked="f"/>
        </w:pict>
      </w:r>
    </w:p>
    <w:p w14:paraId="54E8DDD8" w14:textId="77777777" w:rsidR="00AC6AED" w:rsidRPr="00AC6AED" w:rsidRDefault="00AC6AED" w:rsidP="00AC6AED">
      <w:pPr>
        <w:rPr>
          <w:b/>
          <w:bCs/>
        </w:rPr>
      </w:pPr>
      <w:r w:rsidRPr="00AC6AED">
        <w:rPr>
          <w:rFonts w:ascii="Segoe UI Emoji" w:hAnsi="Segoe UI Emoji" w:cs="Segoe UI Emoji"/>
          <w:b/>
          <w:bCs/>
        </w:rPr>
        <w:t>📘</w:t>
      </w:r>
      <w:r w:rsidRPr="00AC6AED">
        <w:rPr>
          <w:b/>
          <w:bCs/>
        </w:rPr>
        <w:t xml:space="preserve"> 1) Order Flow / Limit Order Book (LOB) Features</w:t>
      </w:r>
    </w:p>
    <w:p w14:paraId="04937FE3" w14:textId="77777777" w:rsidR="00AC6AED" w:rsidRPr="00AC6AED" w:rsidRDefault="00AC6AED" w:rsidP="00AC6AED">
      <w:pPr>
        <w:rPr>
          <w:b/>
          <w:bCs/>
        </w:rPr>
      </w:pPr>
      <w:r w:rsidRPr="00AC6AED">
        <w:rPr>
          <w:rFonts w:ascii="Segoe UI Emoji" w:hAnsi="Segoe UI Emoji" w:cs="Segoe UI Emoji"/>
          <w:b/>
          <w:bCs/>
        </w:rPr>
        <w:t>🔹</w:t>
      </w:r>
      <w:r w:rsidRPr="00AC6AED">
        <w:rPr>
          <w:b/>
          <w:bCs/>
        </w:rPr>
        <w:t xml:space="preserve"> </w:t>
      </w:r>
      <w:r w:rsidRPr="00AC6AED">
        <w:rPr>
          <w:b/>
          <w:bCs/>
          <w:i/>
          <w:iCs/>
        </w:rPr>
        <w:t>Optimal Signal Extraction from Order Flow</w:t>
      </w:r>
      <w:r w:rsidRPr="00AC6AED">
        <w:rPr>
          <w:b/>
          <w:bCs/>
        </w:rPr>
        <w:t xml:space="preserve"> (Dec</w:t>
      </w:r>
      <w:r w:rsidRPr="00AC6AED">
        <w:rPr>
          <w:rFonts w:ascii="Arial" w:hAnsi="Arial" w:cs="Arial"/>
          <w:b/>
          <w:bCs/>
        </w:rPr>
        <w:t> </w:t>
      </w:r>
      <w:r w:rsidRPr="00AC6AED">
        <w:rPr>
          <w:b/>
          <w:bCs/>
        </w:rPr>
        <w:t>2025 arXiv)</w:t>
      </w:r>
    </w:p>
    <w:p w14:paraId="299DE7D4" w14:textId="77777777" w:rsidR="00AC6AED" w:rsidRPr="00AC6AED" w:rsidRDefault="00AC6AED" w:rsidP="00AC6AED">
      <w:r w:rsidRPr="00AC6AED">
        <w:rPr>
          <w:b/>
          <w:bCs/>
        </w:rPr>
        <w:t>What it is:</w:t>
      </w:r>
      <w:r w:rsidRPr="00AC6AED">
        <w:t xml:space="preserve"> A </w:t>
      </w:r>
      <w:r w:rsidRPr="00AC6AED">
        <w:rPr>
          <w:i/>
          <w:iCs/>
        </w:rPr>
        <w:t>new preprint</w:t>
      </w:r>
      <w:r w:rsidRPr="00AC6AED">
        <w:t xml:space="preserve"> showing that how you </w:t>
      </w:r>
      <w:r w:rsidRPr="00AC6AED">
        <w:rPr>
          <w:b/>
          <w:bCs/>
        </w:rPr>
        <w:t>normalize order flow matters for extracting predictive signals</w:t>
      </w:r>
      <w:r w:rsidRPr="00AC6AED">
        <w:t xml:space="preserve"> — specifically, normalizing by market capitalization rather than volume preserves informative signals that correlate better with future returns. (</w:t>
      </w:r>
      <w:hyperlink r:id="rId87" w:tooltip="Optimal Signal Extraction from Order Flow: A Matched Filter Perspective on Normalization and Market Microstructure" w:history="1">
        <w:r w:rsidRPr="00AC6AED">
          <w:rPr>
            <w:rStyle w:val="Hyperlink"/>
          </w:rPr>
          <w:t>arXiv</w:t>
        </w:r>
      </w:hyperlink>
      <w:r w:rsidRPr="00AC6AED">
        <w:t>)</w:t>
      </w:r>
    </w:p>
    <w:p w14:paraId="29D38AFB" w14:textId="77777777" w:rsidR="00AC6AED" w:rsidRPr="00AC6AED" w:rsidRDefault="00AC6AED" w:rsidP="00AC6AED">
      <w:r w:rsidRPr="00AC6AED">
        <w:rPr>
          <w:b/>
          <w:bCs/>
        </w:rPr>
        <w:t>Actionable Feature</w:t>
      </w:r>
    </w:p>
    <w:p w14:paraId="3387864B" w14:textId="77777777" w:rsidR="00AC6AED" w:rsidRPr="00AC6AED" w:rsidRDefault="00AC6AED" w:rsidP="00AC6AED">
      <w:pPr>
        <w:numPr>
          <w:ilvl w:val="0"/>
          <w:numId w:val="24"/>
        </w:numPr>
      </w:pPr>
      <w:r w:rsidRPr="00AC6AED">
        <w:rPr>
          <w:b/>
          <w:bCs/>
        </w:rPr>
        <w:t>Normalized Signed Order Flow:</w:t>
      </w:r>
      <w:r w:rsidRPr="00AC6AED">
        <w:t xml:space="preserve"> Net buy</w:t>
      </w:r>
      <w:r w:rsidRPr="00AC6AED">
        <w:noBreakHyphen/>
        <w:t>minus</w:t>
      </w:r>
      <w:r w:rsidRPr="00AC6AED">
        <w:noBreakHyphen/>
        <w:t>sell volume over short windows (e.g., 1–5</w:t>
      </w:r>
      <w:r w:rsidRPr="00AC6AED">
        <w:rPr>
          <w:rFonts w:ascii="Arial" w:hAnsi="Arial" w:cs="Arial"/>
        </w:rPr>
        <w:t> </w:t>
      </w:r>
      <w:r w:rsidRPr="00AC6AED">
        <w:t xml:space="preserve">min) divided by </w:t>
      </w:r>
      <w:r w:rsidRPr="00AC6AED">
        <w:rPr>
          <w:i/>
          <w:iCs/>
        </w:rPr>
        <w:t>market cap</w:t>
      </w:r>
      <w:r w:rsidRPr="00AC6AED">
        <w:t xml:space="preserve"> — yields stronger signals of informed activity.</w:t>
      </w:r>
    </w:p>
    <w:p w14:paraId="7137AD2E" w14:textId="77777777" w:rsidR="00AC6AED" w:rsidRPr="00AC6AED" w:rsidRDefault="00AC6AED" w:rsidP="00AC6AED">
      <w:r w:rsidRPr="00AC6AED">
        <w:rPr>
          <w:b/>
          <w:bCs/>
        </w:rPr>
        <w:t>Retail Measurement</w:t>
      </w:r>
    </w:p>
    <w:p w14:paraId="7FFBB7EA" w14:textId="77777777" w:rsidR="00AC6AED" w:rsidRPr="00AC6AED" w:rsidRDefault="00AC6AED" w:rsidP="00AC6AED">
      <w:pPr>
        <w:numPr>
          <w:ilvl w:val="0"/>
          <w:numId w:val="25"/>
        </w:numPr>
      </w:pPr>
      <w:r w:rsidRPr="00AC6AED">
        <w:t xml:space="preserve">Use </w:t>
      </w:r>
      <w:r w:rsidRPr="00AC6AED">
        <w:rPr>
          <w:i/>
          <w:iCs/>
        </w:rPr>
        <w:t>trade prints</w:t>
      </w:r>
      <w:r w:rsidRPr="00AC6AED">
        <w:t xml:space="preserve"> (tick</w:t>
      </w:r>
      <w:r w:rsidRPr="00AC6AED">
        <w:noBreakHyphen/>
        <w:t>by</w:t>
      </w:r>
      <w:r w:rsidRPr="00AC6AED">
        <w:noBreakHyphen/>
        <w:t>tick), classify buys/sells by price relative to bid/ask, then normalize by current stock market cap (public data via Yahoo/AlphaVantage/your API).</w:t>
      </w:r>
    </w:p>
    <w:p w14:paraId="76CB9619" w14:textId="77777777" w:rsidR="00AC6AED" w:rsidRPr="00AC6AED" w:rsidRDefault="00AC6AED" w:rsidP="00AC6AED">
      <w:r w:rsidRPr="00AC6AED">
        <w:pict w14:anchorId="5A842F24">
          <v:rect id="_x0000_i1036" style="width:0;height:1.5pt" o:hralign="center" o:hrstd="t" o:hr="t" fillcolor="#a0a0a0" stroked="f"/>
        </w:pict>
      </w:r>
    </w:p>
    <w:p w14:paraId="7B4A344A" w14:textId="77777777" w:rsidR="00AC6AED" w:rsidRPr="00AC6AED" w:rsidRDefault="00AC6AED" w:rsidP="00AC6AED">
      <w:pPr>
        <w:rPr>
          <w:b/>
          <w:bCs/>
        </w:rPr>
      </w:pPr>
      <w:r w:rsidRPr="00AC6AED">
        <w:rPr>
          <w:rFonts w:ascii="Segoe UI Emoji" w:hAnsi="Segoe UI Emoji" w:cs="Segoe UI Emoji"/>
          <w:b/>
          <w:bCs/>
        </w:rPr>
        <w:t>🔹</w:t>
      </w:r>
      <w:r w:rsidRPr="00AC6AED">
        <w:rPr>
          <w:b/>
          <w:bCs/>
        </w:rPr>
        <w:t xml:space="preserve"> LOB / MBO Deep Models (Academic Landscape)</w:t>
      </w:r>
    </w:p>
    <w:p w14:paraId="68C4FAC9" w14:textId="77777777" w:rsidR="00AC6AED" w:rsidRPr="00AC6AED" w:rsidRDefault="00AC6AED" w:rsidP="00AC6AED">
      <w:r w:rsidRPr="00AC6AED">
        <w:t xml:space="preserve">While older, </w:t>
      </w:r>
      <w:r w:rsidRPr="00AC6AED">
        <w:rPr>
          <w:b/>
          <w:bCs/>
        </w:rPr>
        <w:t>deep neural network models like DeepLOB or MBO forecasting</w:t>
      </w:r>
      <w:r w:rsidRPr="00AC6AED">
        <w:t xml:space="preserve"> demonstrate that </w:t>
      </w:r>
      <w:r w:rsidRPr="00AC6AED">
        <w:rPr>
          <w:i/>
          <w:iCs/>
        </w:rPr>
        <w:t>spatial LOB patterns and detailed order events</w:t>
      </w:r>
      <w:r w:rsidRPr="00AC6AED">
        <w:t xml:space="preserve"> contain predictive structure for short</w:t>
      </w:r>
      <w:r w:rsidRPr="00AC6AED">
        <w:noBreakHyphen/>
        <w:t xml:space="preserve">horizon price moves — indicating features like </w:t>
      </w:r>
      <w:r w:rsidRPr="00AC6AED">
        <w:rPr>
          <w:b/>
          <w:bCs/>
        </w:rPr>
        <w:t>depth imbalance</w:t>
      </w:r>
      <w:r w:rsidRPr="00AC6AED">
        <w:t xml:space="preserve"> and </w:t>
      </w:r>
      <w:r w:rsidRPr="00AC6AED">
        <w:rPr>
          <w:b/>
          <w:bCs/>
        </w:rPr>
        <w:t>book shape evolution</w:t>
      </w:r>
      <w:r w:rsidRPr="00AC6AED">
        <w:t xml:space="preserve"> are informative. (</w:t>
      </w:r>
      <w:hyperlink r:id="rId88" w:tooltip="DeepLOB: Deep Convolutional Neural Networks for Limit Order Books" w:history="1">
        <w:r w:rsidRPr="00AC6AED">
          <w:rPr>
            <w:rStyle w:val="Hyperlink"/>
          </w:rPr>
          <w:t>arXiv</w:t>
        </w:r>
      </w:hyperlink>
      <w:r w:rsidRPr="00AC6AED">
        <w:t>)</w:t>
      </w:r>
    </w:p>
    <w:p w14:paraId="67D5CD41" w14:textId="77777777" w:rsidR="00AC6AED" w:rsidRPr="00AC6AED" w:rsidRDefault="00AC6AED" w:rsidP="00AC6AED">
      <w:r w:rsidRPr="00AC6AED">
        <w:rPr>
          <w:b/>
          <w:bCs/>
        </w:rPr>
        <w:t>Actionable Features</w:t>
      </w:r>
    </w:p>
    <w:p w14:paraId="10302775" w14:textId="77777777" w:rsidR="00AC6AED" w:rsidRPr="00AC6AED" w:rsidRDefault="00AC6AED" w:rsidP="00AC6AED">
      <w:pPr>
        <w:numPr>
          <w:ilvl w:val="0"/>
          <w:numId w:val="26"/>
        </w:numPr>
      </w:pPr>
      <w:r w:rsidRPr="00AC6AED">
        <w:rPr>
          <w:b/>
          <w:bCs/>
        </w:rPr>
        <w:t>Bid/Ask Depth Imbalance:</w:t>
      </w:r>
      <w:r w:rsidRPr="00AC6AED">
        <w:t xml:space="preserve"> (Bid depth − Ask depth) / (Bid + Ask) at multiple levels.</w:t>
      </w:r>
    </w:p>
    <w:p w14:paraId="22667C1D" w14:textId="77777777" w:rsidR="00AC6AED" w:rsidRPr="00AC6AED" w:rsidRDefault="00AC6AED" w:rsidP="00AC6AED">
      <w:pPr>
        <w:numPr>
          <w:ilvl w:val="0"/>
          <w:numId w:val="26"/>
        </w:numPr>
      </w:pPr>
      <w:r w:rsidRPr="00AC6AED">
        <w:rPr>
          <w:b/>
          <w:bCs/>
        </w:rPr>
        <w:t>Order Arrival/Cancellation Rates:</w:t>
      </w:r>
      <w:r w:rsidRPr="00AC6AED">
        <w:t xml:space="preserve"> Changes in rates at different price levels.</w:t>
      </w:r>
    </w:p>
    <w:p w14:paraId="50B41863" w14:textId="77777777" w:rsidR="00AC6AED" w:rsidRPr="00AC6AED" w:rsidRDefault="00AC6AED" w:rsidP="00AC6AED">
      <w:r w:rsidRPr="00AC6AED">
        <w:rPr>
          <w:b/>
          <w:bCs/>
        </w:rPr>
        <w:t>Retail Measurement</w:t>
      </w:r>
    </w:p>
    <w:p w14:paraId="28185C1E" w14:textId="77777777" w:rsidR="00AC6AED" w:rsidRPr="00AC6AED" w:rsidRDefault="00AC6AED" w:rsidP="00AC6AED">
      <w:pPr>
        <w:numPr>
          <w:ilvl w:val="0"/>
          <w:numId w:val="27"/>
        </w:numPr>
      </w:pPr>
      <w:r w:rsidRPr="00AC6AED">
        <w:lastRenderedPageBreak/>
        <w:t xml:space="preserve">Retail </w:t>
      </w:r>
      <w:r w:rsidRPr="00AC6AED">
        <w:rPr>
          <w:i/>
          <w:iCs/>
        </w:rPr>
        <w:t>Level</w:t>
      </w:r>
      <w:r w:rsidRPr="00AC6AED">
        <w:rPr>
          <w:i/>
          <w:iCs/>
        </w:rPr>
        <w:noBreakHyphen/>
        <w:t>2 quote feeds</w:t>
      </w:r>
      <w:r w:rsidRPr="00AC6AED">
        <w:t xml:space="preserve"> provide observable depth; compute imbalance and rate features every minute or tick.</w:t>
      </w:r>
    </w:p>
    <w:p w14:paraId="4992AFAF" w14:textId="77777777" w:rsidR="00AC6AED" w:rsidRPr="00AC6AED" w:rsidRDefault="00AC6AED" w:rsidP="00AC6AED">
      <w:r w:rsidRPr="00AC6AED">
        <w:pict w14:anchorId="1C116A6C">
          <v:rect id="_x0000_i1037" style="width:0;height:1.5pt" o:hralign="center" o:hrstd="t" o:hr="t" fillcolor="#a0a0a0" stroked="f"/>
        </w:pict>
      </w:r>
    </w:p>
    <w:p w14:paraId="1B6A9CAD" w14:textId="77777777" w:rsidR="00AC6AED" w:rsidRPr="00AC6AED" w:rsidRDefault="00AC6AED" w:rsidP="00AC6AED">
      <w:pPr>
        <w:rPr>
          <w:b/>
          <w:bCs/>
        </w:rPr>
      </w:pPr>
      <w:r w:rsidRPr="00AC6AED">
        <w:rPr>
          <w:rFonts w:ascii="Segoe UI Emoji" w:hAnsi="Segoe UI Emoji" w:cs="Segoe UI Emoji"/>
          <w:b/>
          <w:bCs/>
        </w:rPr>
        <w:t>📊</w:t>
      </w:r>
      <w:r w:rsidRPr="00AC6AED">
        <w:rPr>
          <w:b/>
          <w:bCs/>
        </w:rPr>
        <w:t xml:space="preserve"> 2) Dark Pools &amp; ATS / Hidden Flow</w:t>
      </w:r>
    </w:p>
    <w:p w14:paraId="640952FD" w14:textId="77777777" w:rsidR="00AC6AED" w:rsidRPr="00AC6AED" w:rsidRDefault="00AC6AED" w:rsidP="00AC6AED">
      <w:pPr>
        <w:rPr>
          <w:b/>
          <w:bCs/>
        </w:rPr>
      </w:pPr>
      <w:r w:rsidRPr="00AC6AED">
        <w:rPr>
          <w:rFonts w:ascii="Segoe UI Emoji" w:hAnsi="Segoe UI Emoji" w:cs="Segoe UI Emoji"/>
          <w:b/>
          <w:bCs/>
        </w:rPr>
        <w:t>🔹</w:t>
      </w:r>
      <w:r w:rsidRPr="00AC6AED">
        <w:rPr>
          <w:b/>
          <w:bCs/>
        </w:rPr>
        <w:t xml:space="preserve"> </w:t>
      </w:r>
      <w:r w:rsidRPr="00AC6AED">
        <w:rPr>
          <w:b/>
          <w:bCs/>
          <w:i/>
          <w:iCs/>
        </w:rPr>
        <w:t>Detecting Information Asymmetry in Dark Pool Trading</w:t>
      </w:r>
      <w:r w:rsidRPr="00AC6AED">
        <w:rPr>
          <w:b/>
          <w:bCs/>
        </w:rPr>
        <w:t xml:space="preserve"> (Jul</w:t>
      </w:r>
      <w:r w:rsidRPr="00AC6AED">
        <w:rPr>
          <w:rFonts w:ascii="Arial" w:hAnsi="Arial" w:cs="Arial"/>
          <w:b/>
          <w:bCs/>
        </w:rPr>
        <w:t> </w:t>
      </w:r>
      <w:r w:rsidRPr="00AC6AED">
        <w:rPr>
          <w:b/>
          <w:bCs/>
        </w:rPr>
        <w:t>2024)</w:t>
      </w:r>
    </w:p>
    <w:p w14:paraId="54C1B250" w14:textId="77777777" w:rsidR="00AC6AED" w:rsidRPr="00AC6AED" w:rsidRDefault="00AC6AED" w:rsidP="00AC6AED">
      <w:r w:rsidRPr="00AC6AED">
        <w:rPr>
          <w:b/>
          <w:bCs/>
        </w:rPr>
        <w:t>What it is:</w:t>
      </w:r>
      <w:r w:rsidRPr="00AC6AED">
        <w:t xml:space="preserve"> Research applying </w:t>
      </w:r>
      <w:r w:rsidRPr="00AC6AED">
        <w:rPr>
          <w:i/>
          <w:iCs/>
        </w:rPr>
        <w:t>temporal microstructure analysis to dark pool executions</w:t>
      </w:r>
      <w:r w:rsidRPr="00AC6AED">
        <w:t xml:space="preserve">, showing that </w:t>
      </w:r>
      <w:r w:rsidRPr="00AC6AED">
        <w:rPr>
          <w:b/>
          <w:bCs/>
        </w:rPr>
        <w:t>trade clustering, inter</w:t>
      </w:r>
      <w:r w:rsidRPr="00AC6AED">
        <w:rPr>
          <w:b/>
          <w:bCs/>
        </w:rPr>
        <w:noBreakHyphen/>
        <w:t>trade intervals, and size distributions</w:t>
      </w:r>
      <w:r w:rsidRPr="00AC6AED">
        <w:t xml:space="preserve"> in dark pools correlate with asymmetric information and subsequent price discovery. (</w:t>
      </w:r>
      <w:hyperlink r:id="rId89" w:tooltip="Detecting Information Asymmetry in Dark Pool Trading ..." w:history="1">
        <w:r w:rsidRPr="00AC6AED">
          <w:rPr>
            <w:rStyle w:val="Hyperlink"/>
          </w:rPr>
          <w:t>ResearchGate</w:t>
        </w:r>
      </w:hyperlink>
      <w:r w:rsidRPr="00AC6AED">
        <w:t>)</w:t>
      </w:r>
    </w:p>
    <w:p w14:paraId="25E29150" w14:textId="77777777" w:rsidR="00AC6AED" w:rsidRPr="00AC6AED" w:rsidRDefault="00AC6AED" w:rsidP="00AC6AED">
      <w:r w:rsidRPr="00AC6AED">
        <w:rPr>
          <w:b/>
          <w:bCs/>
        </w:rPr>
        <w:t>Actionable Features</w:t>
      </w:r>
    </w:p>
    <w:p w14:paraId="7FED7344" w14:textId="77777777" w:rsidR="00AC6AED" w:rsidRPr="00AC6AED" w:rsidRDefault="00AC6AED" w:rsidP="00AC6AED">
      <w:pPr>
        <w:numPr>
          <w:ilvl w:val="0"/>
          <w:numId w:val="28"/>
        </w:numPr>
      </w:pPr>
      <w:r w:rsidRPr="00AC6AED">
        <w:rPr>
          <w:b/>
          <w:bCs/>
        </w:rPr>
        <w:t>Dark Trade Clustering:</w:t>
      </w:r>
      <w:r w:rsidRPr="00AC6AED">
        <w:t xml:space="preserve"> Frequency/auto</w:t>
      </w:r>
      <w:r w:rsidRPr="00AC6AED">
        <w:noBreakHyphen/>
        <w:t>correlation of successive dark prints.</w:t>
      </w:r>
    </w:p>
    <w:p w14:paraId="536BE34D" w14:textId="77777777" w:rsidR="00AC6AED" w:rsidRPr="00AC6AED" w:rsidRDefault="00AC6AED" w:rsidP="00AC6AED">
      <w:pPr>
        <w:numPr>
          <w:ilvl w:val="0"/>
          <w:numId w:val="28"/>
        </w:numPr>
      </w:pPr>
      <w:r w:rsidRPr="00AC6AED">
        <w:rPr>
          <w:b/>
          <w:bCs/>
        </w:rPr>
        <w:t>Execution Timing Patterns:</w:t>
      </w:r>
      <w:r w:rsidRPr="00AC6AED">
        <w:t xml:space="preserve"> Inter</w:t>
      </w:r>
      <w:r w:rsidRPr="00AC6AED">
        <w:noBreakHyphen/>
        <w:t>trade durations in dark venues relative to lit markets.</w:t>
      </w:r>
    </w:p>
    <w:p w14:paraId="6CFBD484" w14:textId="77777777" w:rsidR="00AC6AED" w:rsidRPr="00AC6AED" w:rsidRDefault="00AC6AED" w:rsidP="00AC6AED">
      <w:r w:rsidRPr="00AC6AED">
        <w:rPr>
          <w:b/>
          <w:bCs/>
        </w:rPr>
        <w:t>Retail Measurement</w:t>
      </w:r>
    </w:p>
    <w:p w14:paraId="1414BA1A" w14:textId="77777777" w:rsidR="00AC6AED" w:rsidRPr="00AC6AED" w:rsidRDefault="00AC6AED" w:rsidP="00AC6AED">
      <w:pPr>
        <w:numPr>
          <w:ilvl w:val="0"/>
          <w:numId w:val="29"/>
        </w:numPr>
      </w:pPr>
      <w:r w:rsidRPr="00AC6AED">
        <w:t xml:space="preserve">Many consolidated tape feeds tag </w:t>
      </w:r>
      <w:r w:rsidRPr="00AC6AED">
        <w:rPr>
          <w:i/>
          <w:iCs/>
        </w:rPr>
        <w:t>off</w:t>
      </w:r>
      <w:r w:rsidRPr="00AC6AED">
        <w:rPr>
          <w:i/>
          <w:iCs/>
        </w:rPr>
        <w:noBreakHyphen/>
        <w:t>exchange trades</w:t>
      </w:r>
      <w:r w:rsidRPr="00AC6AED">
        <w:t>; count and cluster them by time/size.</w:t>
      </w:r>
    </w:p>
    <w:p w14:paraId="7A342B84" w14:textId="77777777" w:rsidR="00AC6AED" w:rsidRPr="00AC6AED" w:rsidRDefault="00AC6AED" w:rsidP="00AC6AED">
      <w:r w:rsidRPr="00AC6AED">
        <w:pict w14:anchorId="632C6BC0">
          <v:rect id="_x0000_i1038" style="width:0;height:1.5pt" o:hralign="center" o:hrstd="t" o:hr="t" fillcolor="#a0a0a0" stroked="f"/>
        </w:pict>
      </w:r>
    </w:p>
    <w:p w14:paraId="3E76705F" w14:textId="77777777" w:rsidR="00AC6AED" w:rsidRPr="00AC6AED" w:rsidRDefault="00AC6AED" w:rsidP="00AC6AED">
      <w:pPr>
        <w:rPr>
          <w:b/>
          <w:bCs/>
        </w:rPr>
      </w:pPr>
      <w:r w:rsidRPr="00AC6AED">
        <w:rPr>
          <w:rFonts w:ascii="Segoe UI Emoji" w:hAnsi="Segoe UI Emoji" w:cs="Segoe UI Emoji"/>
          <w:b/>
          <w:bCs/>
        </w:rPr>
        <w:t>🔹</w:t>
      </w:r>
      <w:r w:rsidRPr="00AC6AED">
        <w:rPr>
          <w:b/>
          <w:bCs/>
        </w:rPr>
        <w:t xml:space="preserve"> Dark Pool Trading Liquidity Guide (TradersPost, 2025)</w:t>
      </w:r>
    </w:p>
    <w:p w14:paraId="60C1CB72" w14:textId="77777777" w:rsidR="00AC6AED" w:rsidRPr="00AC6AED" w:rsidRDefault="00AC6AED" w:rsidP="00AC6AED">
      <w:r w:rsidRPr="00AC6AED">
        <w:t xml:space="preserve">This practitioner overview explains how </w:t>
      </w:r>
      <w:r w:rsidRPr="00AC6AED">
        <w:rPr>
          <w:b/>
          <w:bCs/>
        </w:rPr>
        <w:t>institutional activity in dark/ATS venues impacts liquidity and price action</w:t>
      </w:r>
      <w:r w:rsidRPr="00AC6AED">
        <w:t xml:space="preserve">, which can show up as </w:t>
      </w:r>
      <w:r w:rsidRPr="00AC6AED">
        <w:rPr>
          <w:i/>
          <w:iCs/>
        </w:rPr>
        <w:t>post</w:t>
      </w:r>
      <w:r w:rsidRPr="00AC6AED">
        <w:rPr>
          <w:i/>
          <w:iCs/>
        </w:rPr>
        <w:noBreakHyphen/>
        <w:t>trade hits on the public tape</w:t>
      </w:r>
      <w:r w:rsidRPr="00AC6AED">
        <w:t>. (</w:t>
      </w:r>
      <w:hyperlink r:id="rId90" w:tooltip="Dark Pool Trading Liquidity Guide" w:history="1">
        <w:r w:rsidRPr="00AC6AED">
          <w:rPr>
            <w:rStyle w:val="Hyperlink"/>
          </w:rPr>
          <w:t>TradersPost</w:t>
        </w:r>
      </w:hyperlink>
      <w:r w:rsidRPr="00AC6AED">
        <w:t>)</w:t>
      </w:r>
    </w:p>
    <w:p w14:paraId="05A6B394" w14:textId="77777777" w:rsidR="00AC6AED" w:rsidRPr="00AC6AED" w:rsidRDefault="00AC6AED" w:rsidP="00AC6AED">
      <w:r w:rsidRPr="00AC6AED">
        <w:rPr>
          <w:b/>
          <w:bCs/>
        </w:rPr>
        <w:t>Actionable Features</w:t>
      </w:r>
    </w:p>
    <w:p w14:paraId="6743DC1A" w14:textId="77777777" w:rsidR="00AC6AED" w:rsidRPr="00AC6AED" w:rsidRDefault="00AC6AED" w:rsidP="00AC6AED">
      <w:pPr>
        <w:numPr>
          <w:ilvl w:val="0"/>
          <w:numId w:val="30"/>
        </w:numPr>
      </w:pPr>
      <w:r w:rsidRPr="00AC6AED">
        <w:rPr>
          <w:b/>
          <w:bCs/>
        </w:rPr>
        <w:t>Dark Pool Volume Profile:</w:t>
      </w:r>
      <w:r w:rsidRPr="00AC6AED">
        <w:t xml:space="preserve"> Volume and count of off</w:t>
      </w:r>
      <w:r w:rsidRPr="00AC6AED">
        <w:noBreakHyphen/>
        <w:t>exchange prints over intervals.</w:t>
      </w:r>
    </w:p>
    <w:p w14:paraId="315FB926" w14:textId="77777777" w:rsidR="00AC6AED" w:rsidRPr="00AC6AED" w:rsidRDefault="00AC6AED" w:rsidP="00AC6AED">
      <w:pPr>
        <w:numPr>
          <w:ilvl w:val="0"/>
          <w:numId w:val="30"/>
        </w:numPr>
      </w:pPr>
      <w:r w:rsidRPr="00AC6AED">
        <w:rPr>
          <w:b/>
          <w:bCs/>
        </w:rPr>
        <w:t>Execution</w:t>
      </w:r>
      <w:r w:rsidRPr="00AC6AED">
        <w:rPr>
          <w:b/>
          <w:bCs/>
        </w:rPr>
        <w:noBreakHyphen/>
        <w:t>Price Clustering:</w:t>
      </w:r>
      <w:r w:rsidRPr="00AC6AED">
        <w:t xml:space="preserve"> Price points where dark prints concentrate.</w:t>
      </w:r>
    </w:p>
    <w:p w14:paraId="404EA944" w14:textId="77777777" w:rsidR="00AC6AED" w:rsidRPr="00AC6AED" w:rsidRDefault="00AC6AED" w:rsidP="00AC6AED">
      <w:r w:rsidRPr="00AC6AED">
        <w:rPr>
          <w:b/>
          <w:bCs/>
        </w:rPr>
        <w:t>Retail Measurement</w:t>
      </w:r>
    </w:p>
    <w:p w14:paraId="24C073F7" w14:textId="77777777" w:rsidR="00AC6AED" w:rsidRPr="00AC6AED" w:rsidRDefault="00AC6AED" w:rsidP="00AC6AED">
      <w:pPr>
        <w:numPr>
          <w:ilvl w:val="0"/>
          <w:numId w:val="31"/>
        </w:numPr>
      </w:pPr>
      <w:r w:rsidRPr="00AC6AED">
        <w:t>Consolidated tape tags combined with price/time filters to identify clusters.</w:t>
      </w:r>
    </w:p>
    <w:p w14:paraId="062D918B" w14:textId="77777777" w:rsidR="00AC6AED" w:rsidRPr="00AC6AED" w:rsidRDefault="00AC6AED" w:rsidP="00AC6AED">
      <w:r w:rsidRPr="00AC6AED">
        <w:pict w14:anchorId="3A2E9FA2">
          <v:rect id="_x0000_i1039" style="width:0;height:1.5pt" o:hralign="center" o:hrstd="t" o:hr="t" fillcolor="#a0a0a0" stroked="f"/>
        </w:pict>
      </w:r>
    </w:p>
    <w:p w14:paraId="1D352790" w14:textId="77777777" w:rsidR="00AC6AED" w:rsidRPr="00AC6AED" w:rsidRDefault="00AC6AED" w:rsidP="00AC6AED">
      <w:pPr>
        <w:rPr>
          <w:b/>
          <w:bCs/>
        </w:rPr>
      </w:pPr>
      <w:r w:rsidRPr="00AC6AED">
        <w:rPr>
          <w:rFonts w:ascii="Segoe UI Emoji" w:hAnsi="Segoe UI Emoji" w:cs="Segoe UI Emoji"/>
          <w:b/>
          <w:bCs/>
        </w:rPr>
        <w:t>📈</w:t>
      </w:r>
      <w:r w:rsidRPr="00AC6AED">
        <w:rPr>
          <w:b/>
          <w:bCs/>
        </w:rPr>
        <w:t xml:space="preserve"> 3) Short Interest &amp; Structural Positioning</w:t>
      </w:r>
    </w:p>
    <w:p w14:paraId="1B3B7D48" w14:textId="77777777" w:rsidR="00AC6AED" w:rsidRPr="00AC6AED" w:rsidRDefault="00AC6AED" w:rsidP="00AC6AED">
      <w:pPr>
        <w:rPr>
          <w:b/>
          <w:bCs/>
        </w:rPr>
      </w:pPr>
      <w:r w:rsidRPr="00AC6AED">
        <w:rPr>
          <w:rFonts w:ascii="Segoe UI Emoji" w:hAnsi="Segoe UI Emoji" w:cs="Segoe UI Emoji"/>
          <w:b/>
          <w:bCs/>
        </w:rPr>
        <w:t>🔹</w:t>
      </w:r>
      <w:r w:rsidRPr="00AC6AED">
        <w:rPr>
          <w:b/>
          <w:bCs/>
        </w:rPr>
        <w:t xml:space="preserve"> Retail Indicator Sets (Proprietary Insights)</w:t>
      </w:r>
    </w:p>
    <w:p w14:paraId="5441EEF3" w14:textId="77777777" w:rsidR="00AC6AED" w:rsidRPr="00AC6AED" w:rsidRDefault="00AC6AED" w:rsidP="00AC6AED">
      <w:r w:rsidRPr="00AC6AED">
        <w:lastRenderedPageBreak/>
        <w:t xml:space="preserve">Sources like BlackBoxStocks highlight </w:t>
      </w:r>
      <w:r w:rsidRPr="00AC6AED">
        <w:rPr>
          <w:b/>
          <w:bCs/>
        </w:rPr>
        <w:t>FINRA short interest, gamma exposure, net options delta, and options money/dollar flows</w:t>
      </w:r>
      <w:r w:rsidRPr="00AC6AED">
        <w:t xml:space="preserve"> as signals tied to sentiment and structural positioning. (</w:t>
      </w:r>
      <w:hyperlink r:id="rId91" w:tooltip="Our Proprietary Indicators: BlackBoxStocks Exclusive" w:history="1">
        <w:r w:rsidRPr="00AC6AED">
          <w:rPr>
            <w:rStyle w:val="Hyperlink"/>
          </w:rPr>
          <w:t>BlackBoxDocs</w:t>
        </w:r>
      </w:hyperlink>
      <w:r w:rsidRPr="00AC6AED">
        <w:t>)</w:t>
      </w:r>
    </w:p>
    <w:p w14:paraId="0078B82C" w14:textId="77777777" w:rsidR="00AC6AED" w:rsidRPr="00AC6AED" w:rsidRDefault="00AC6AED" w:rsidP="00AC6AED">
      <w:r w:rsidRPr="00AC6AED">
        <w:rPr>
          <w:b/>
          <w:bCs/>
        </w:rPr>
        <w:t>Actionable Features</w:t>
      </w:r>
    </w:p>
    <w:p w14:paraId="323E25EF" w14:textId="77777777" w:rsidR="00AC6AED" w:rsidRPr="00AC6AED" w:rsidRDefault="00AC6AED" w:rsidP="00AC6AED">
      <w:pPr>
        <w:numPr>
          <w:ilvl w:val="0"/>
          <w:numId w:val="32"/>
        </w:numPr>
      </w:pPr>
      <w:r w:rsidRPr="00AC6AED">
        <w:rPr>
          <w:b/>
          <w:bCs/>
        </w:rPr>
        <w:t>FINRA Short Interest Ratio:</w:t>
      </w:r>
      <w:r w:rsidRPr="00AC6AED">
        <w:t xml:space="preserve"> Short interest / shares outstanding.</w:t>
      </w:r>
    </w:p>
    <w:p w14:paraId="15421346" w14:textId="77777777" w:rsidR="00AC6AED" w:rsidRPr="00AC6AED" w:rsidRDefault="00AC6AED" w:rsidP="00AC6AED">
      <w:pPr>
        <w:numPr>
          <w:ilvl w:val="0"/>
          <w:numId w:val="32"/>
        </w:numPr>
      </w:pPr>
      <w:r w:rsidRPr="00AC6AED">
        <w:rPr>
          <w:b/>
          <w:bCs/>
        </w:rPr>
        <w:t>Net Options Delta:</w:t>
      </w:r>
      <w:r w:rsidRPr="00AC6AED">
        <w:t xml:space="preserve"> ∑(open interest × delta) across strikes/expiries.</w:t>
      </w:r>
    </w:p>
    <w:p w14:paraId="22EA346B" w14:textId="77777777" w:rsidR="00AC6AED" w:rsidRPr="00AC6AED" w:rsidRDefault="00AC6AED" w:rsidP="00AC6AED">
      <w:pPr>
        <w:numPr>
          <w:ilvl w:val="0"/>
          <w:numId w:val="32"/>
        </w:numPr>
      </w:pPr>
      <w:r w:rsidRPr="00AC6AED">
        <w:rPr>
          <w:b/>
          <w:bCs/>
        </w:rPr>
        <w:t>Options Dollar Flow:</w:t>
      </w:r>
      <w:r w:rsidRPr="00AC6AED">
        <w:t xml:space="preserve"> Premium volume.</w:t>
      </w:r>
    </w:p>
    <w:p w14:paraId="0DE9AFBF" w14:textId="77777777" w:rsidR="00AC6AED" w:rsidRPr="00AC6AED" w:rsidRDefault="00AC6AED" w:rsidP="00AC6AED">
      <w:r w:rsidRPr="00AC6AED">
        <w:rPr>
          <w:b/>
          <w:bCs/>
        </w:rPr>
        <w:t>Retail Measurement</w:t>
      </w:r>
    </w:p>
    <w:p w14:paraId="5907FD6D" w14:textId="77777777" w:rsidR="00AC6AED" w:rsidRPr="00AC6AED" w:rsidRDefault="00AC6AED" w:rsidP="00AC6AED">
      <w:pPr>
        <w:numPr>
          <w:ilvl w:val="0"/>
          <w:numId w:val="33"/>
        </w:numPr>
      </w:pPr>
      <w:r w:rsidRPr="00AC6AED">
        <w:t>Public short interest releases; option chain greeks and open interest.</w:t>
      </w:r>
    </w:p>
    <w:p w14:paraId="22922849" w14:textId="77777777" w:rsidR="00AC6AED" w:rsidRPr="00AC6AED" w:rsidRDefault="00AC6AED" w:rsidP="00AC6AED">
      <w:r w:rsidRPr="00AC6AED">
        <w:pict w14:anchorId="29AEDF7F">
          <v:rect id="_x0000_i1040" style="width:0;height:1.5pt" o:hralign="center" o:hrstd="t" o:hr="t" fillcolor="#a0a0a0" stroked="f"/>
        </w:pict>
      </w:r>
    </w:p>
    <w:p w14:paraId="5C20470B" w14:textId="77777777" w:rsidR="00AC6AED" w:rsidRPr="00AC6AED" w:rsidRDefault="00AC6AED" w:rsidP="00AC6AED">
      <w:pPr>
        <w:rPr>
          <w:b/>
          <w:bCs/>
        </w:rPr>
      </w:pPr>
      <w:r w:rsidRPr="00AC6AED">
        <w:rPr>
          <w:rFonts w:ascii="Segoe UI Emoji" w:hAnsi="Segoe UI Emoji" w:cs="Segoe UI Emoji"/>
          <w:b/>
          <w:bCs/>
        </w:rPr>
        <w:t>📌</w:t>
      </w:r>
      <w:r w:rsidRPr="00AC6AED">
        <w:rPr>
          <w:b/>
          <w:bCs/>
        </w:rPr>
        <w:t xml:space="preserve"> 4) Intraday Volume / Volatility Patterns</w:t>
      </w:r>
    </w:p>
    <w:p w14:paraId="5D52589F" w14:textId="77777777" w:rsidR="00AC6AED" w:rsidRPr="00AC6AED" w:rsidRDefault="00AC6AED" w:rsidP="00AC6AED">
      <w:r w:rsidRPr="00AC6AED">
        <w:t xml:space="preserve">There aren’t </w:t>
      </w:r>
      <w:r w:rsidRPr="00AC6AED">
        <w:rPr>
          <w:i/>
          <w:iCs/>
        </w:rPr>
        <w:t>new academic papers specifically isolating intraday volume/volatility as predictive signals tied to biotech catalysts</w:t>
      </w:r>
      <w:r w:rsidRPr="00AC6AED">
        <w:t xml:space="preserve"> on the current web results, but </w:t>
      </w:r>
      <w:r w:rsidRPr="00AC6AED">
        <w:rPr>
          <w:b/>
          <w:bCs/>
        </w:rPr>
        <w:t>market microstructure theory</w:t>
      </w:r>
      <w:r w:rsidRPr="00AC6AED">
        <w:t xml:space="preserve"> supports features like:</w:t>
      </w:r>
    </w:p>
    <w:p w14:paraId="3B1EAD9E" w14:textId="77777777" w:rsidR="00AC6AED" w:rsidRPr="00AC6AED" w:rsidRDefault="00AC6AED" w:rsidP="00AC6AED">
      <w:r w:rsidRPr="00AC6AED">
        <w:rPr>
          <w:b/>
          <w:bCs/>
        </w:rPr>
        <w:t>Actionable Features</w:t>
      </w:r>
    </w:p>
    <w:p w14:paraId="22F768C8" w14:textId="77777777" w:rsidR="00AC6AED" w:rsidRPr="00AC6AED" w:rsidRDefault="00AC6AED" w:rsidP="00AC6AED">
      <w:pPr>
        <w:numPr>
          <w:ilvl w:val="0"/>
          <w:numId w:val="34"/>
        </w:numPr>
      </w:pPr>
      <w:r w:rsidRPr="00AC6AED">
        <w:rPr>
          <w:b/>
          <w:bCs/>
        </w:rPr>
        <w:t>Volume Spikes:</w:t>
      </w:r>
      <w:r w:rsidRPr="00AC6AED">
        <w:t xml:space="preserve"> Deviations from intraday volume norms (e.g., z</w:t>
      </w:r>
      <w:r w:rsidRPr="00AC6AED">
        <w:noBreakHyphen/>
        <w:t>score thresholds).</w:t>
      </w:r>
    </w:p>
    <w:p w14:paraId="087B8718" w14:textId="77777777" w:rsidR="00AC6AED" w:rsidRPr="00AC6AED" w:rsidRDefault="00AC6AED" w:rsidP="00AC6AED">
      <w:pPr>
        <w:numPr>
          <w:ilvl w:val="0"/>
          <w:numId w:val="34"/>
        </w:numPr>
      </w:pPr>
      <w:r w:rsidRPr="00AC6AED">
        <w:rPr>
          <w:b/>
          <w:bCs/>
        </w:rPr>
        <w:t>Spread Widening/Contraction:</w:t>
      </w:r>
      <w:r w:rsidRPr="00AC6AED">
        <w:t xml:space="preserve"> Bid</w:t>
      </w:r>
      <w:r w:rsidRPr="00AC6AED">
        <w:noBreakHyphen/>
        <w:t>ask spread dynamics as liquidity regimes shift.</w:t>
      </w:r>
    </w:p>
    <w:p w14:paraId="05FA4D4F" w14:textId="77777777" w:rsidR="00AC6AED" w:rsidRPr="00AC6AED" w:rsidRDefault="00AC6AED" w:rsidP="00AC6AED">
      <w:pPr>
        <w:numPr>
          <w:ilvl w:val="0"/>
          <w:numId w:val="34"/>
        </w:numPr>
      </w:pPr>
      <w:r w:rsidRPr="00AC6AED">
        <w:rPr>
          <w:b/>
          <w:bCs/>
        </w:rPr>
        <w:t>Volatility Clustering:</w:t>
      </w:r>
      <w:r w:rsidRPr="00AC6AED">
        <w:t xml:space="preserve"> Intraday realized volatility measures.</w:t>
      </w:r>
    </w:p>
    <w:p w14:paraId="6E747BE8" w14:textId="77777777" w:rsidR="00AC6AED" w:rsidRPr="00AC6AED" w:rsidRDefault="00AC6AED" w:rsidP="00AC6AED">
      <w:r w:rsidRPr="00AC6AED">
        <w:rPr>
          <w:b/>
          <w:bCs/>
        </w:rPr>
        <w:t>Retail Measurement</w:t>
      </w:r>
    </w:p>
    <w:p w14:paraId="05C25391" w14:textId="77777777" w:rsidR="00AC6AED" w:rsidRPr="00AC6AED" w:rsidRDefault="00AC6AED" w:rsidP="00AC6AED">
      <w:pPr>
        <w:numPr>
          <w:ilvl w:val="0"/>
          <w:numId w:val="35"/>
        </w:numPr>
      </w:pPr>
      <w:r w:rsidRPr="00AC6AED">
        <w:t>Trade and quote feeds to compute volume and spread statistics per minute.</w:t>
      </w:r>
    </w:p>
    <w:p w14:paraId="0B0CA4E4" w14:textId="77777777" w:rsidR="00AC6AED" w:rsidRPr="00AC6AED" w:rsidRDefault="00AC6AED" w:rsidP="00AC6AED">
      <w:r w:rsidRPr="00AC6AED">
        <w:pict w14:anchorId="34C0D637">
          <v:rect id="_x0000_i1041" style="width:0;height:1.5pt" o:hralign="center" o:hrstd="t" o:hr="t" fillcolor="#a0a0a0" stroked="f"/>
        </w:pict>
      </w:r>
    </w:p>
    <w:p w14:paraId="7F1E6FAE" w14:textId="77777777" w:rsidR="00AC6AED" w:rsidRPr="00AC6AED" w:rsidRDefault="00AC6AED" w:rsidP="00AC6AED">
      <w:pPr>
        <w:rPr>
          <w:b/>
          <w:bCs/>
        </w:rPr>
      </w:pPr>
      <w:r w:rsidRPr="00AC6AED">
        <w:rPr>
          <w:rFonts w:ascii="Segoe UI Emoji" w:hAnsi="Segoe UI Emoji" w:cs="Segoe UI Emoji"/>
          <w:b/>
          <w:bCs/>
        </w:rPr>
        <w:t>🧠</w:t>
      </w:r>
      <w:r w:rsidRPr="00AC6AED">
        <w:rPr>
          <w:b/>
          <w:bCs/>
        </w:rPr>
        <w:t xml:space="preserve"> 5) Event</w:t>
      </w:r>
      <w:r w:rsidRPr="00AC6AED">
        <w:rPr>
          <w:b/>
          <w:bCs/>
        </w:rPr>
        <w:noBreakHyphen/>
        <w:t>Study &amp; Catalysts</w:t>
      </w:r>
    </w:p>
    <w:p w14:paraId="4DAF5089" w14:textId="77777777" w:rsidR="00AC6AED" w:rsidRPr="00AC6AED" w:rsidRDefault="00AC6AED" w:rsidP="00AC6AED">
      <w:r w:rsidRPr="00AC6AED">
        <w:t xml:space="preserve">There’s </w:t>
      </w:r>
      <w:r w:rsidRPr="00AC6AED">
        <w:rPr>
          <w:b/>
          <w:bCs/>
        </w:rPr>
        <w:t>no dedicated peer</w:t>
      </w:r>
      <w:r w:rsidRPr="00AC6AED">
        <w:rPr>
          <w:b/>
          <w:bCs/>
        </w:rPr>
        <w:noBreakHyphen/>
        <w:t>reviewed research directly linking microstructure signals to biotech catalysts in the new results</w:t>
      </w:r>
      <w:r w:rsidRPr="00AC6AED">
        <w:t xml:space="preserve">, but </w:t>
      </w:r>
      <w:r w:rsidRPr="00AC6AED">
        <w:rPr>
          <w:i/>
          <w:iCs/>
        </w:rPr>
        <w:t>biotech catalyst tracking tools</w:t>
      </w:r>
      <w:r w:rsidRPr="00AC6AED">
        <w:t xml:space="preserve"> (MarketChameleon) compile event dates and implied market responses which can be used to align microstructure features. (</w:t>
      </w:r>
      <w:hyperlink r:id="rId92" w:tooltip="Biotech Stock Catalyst Report for Options Trading" w:history="1">
        <w:r w:rsidRPr="00AC6AED">
          <w:rPr>
            <w:rStyle w:val="Hyperlink"/>
          </w:rPr>
          <w:t>Market Chameleon</w:t>
        </w:r>
      </w:hyperlink>
      <w:r w:rsidRPr="00AC6AED">
        <w:t>)</w:t>
      </w:r>
    </w:p>
    <w:p w14:paraId="59B16804" w14:textId="77777777" w:rsidR="00AC6AED" w:rsidRPr="00AC6AED" w:rsidRDefault="00AC6AED" w:rsidP="00AC6AED">
      <w:r w:rsidRPr="00AC6AED">
        <w:rPr>
          <w:b/>
          <w:bCs/>
        </w:rPr>
        <w:t>Actionable Features for Event Windows</w:t>
      </w:r>
    </w:p>
    <w:p w14:paraId="05F04FE7" w14:textId="77777777" w:rsidR="00AC6AED" w:rsidRPr="00AC6AED" w:rsidRDefault="00AC6AED" w:rsidP="00AC6AED">
      <w:pPr>
        <w:numPr>
          <w:ilvl w:val="0"/>
          <w:numId w:val="36"/>
        </w:numPr>
      </w:pPr>
      <w:r w:rsidRPr="00AC6AED">
        <w:rPr>
          <w:i/>
          <w:iCs/>
        </w:rPr>
        <w:t>Pre</w:t>
      </w:r>
      <w:r w:rsidRPr="00AC6AED">
        <w:rPr>
          <w:i/>
          <w:iCs/>
        </w:rPr>
        <w:noBreakHyphen/>
        <w:t>event flow imbalance</w:t>
      </w:r>
      <w:r w:rsidRPr="00AC6AED">
        <w:t xml:space="preserve"> (signed volume).</w:t>
      </w:r>
    </w:p>
    <w:p w14:paraId="6F35FA5A" w14:textId="77777777" w:rsidR="00AC6AED" w:rsidRPr="00AC6AED" w:rsidRDefault="00AC6AED" w:rsidP="00AC6AED">
      <w:pPr>
        <w:numPr>
          <w:ilvl w:val="0"/>
          <w:numId w:val="36"/>
        </w:numPr>
      </w:pPr>
      <w:r w:rsidRPr="00AC6AED">
        <w:rPr>
          <w:i/>
          <w:iCs/>
        </w:rPr>
        <w:lastRenderedPageBreak/>
        <w:t>Implied move vs realized volatility</w:t>
      </w:r>
      <w:r w:rsidRPr="00AC6AED">
        <w:t xml:space="preserve"> from options.</w:t>
      </w:r>
    </w:p>
    <w:p w14:paraId="04D239B2" w14:textId="77777777" w:rsidR="00AC6AED" w:rsidRPr="00AC6AED" w:rsidRDefault="00AC6AED" w:rsidP="00AC6AED">
      <w:pPr>
        <w:numPr>
          <w:ilvl w:val="0"/>
          <w:numId w:val="36"/>
        </w:numPr>
      </w:pPr>
      <w:r w:rsidRPr="00AC6AED">
        <w:rPr>
          <w:i/>
          <w:iCs/>
        </w:rPr>
        <w:t>Dark prints or short cover flow increases around the event</w:t>
      </w:r>
      <w:r w:rsidRPr="00AC6AED">
        <w:t>.</w:t>
      </w:r>
    </w:p>
    <w:p w14:paraId="0FFC23D4" w14:textId="77777777" w:rsidR="00AC6AED" w:rsidRPr="00AC6AED" w:rsidRDefault="00AC6AED" w:rsidP="00AC6AED">
      <w:r w:rsidRPr="00AC6AED">
        <w:rPr>
          <w:b/>
          <w:bCs/>
        </w:rPr>
        <w:t>Retail Strategy</w:t>
      </w:r>
    </w:p>
    <w:p w14:paraId="56F73E67" w14:textId="77777777" w:rsidR="00AC6AED" w:rsidRPr="00AC6AED" w:rsidRDefault="00AC6AED" w:rsidP="00AC6AED">
      <w:pPr>
        <w:numPr>
          <w:ilvl w:val="0"/>
          <w:numId w:val="37"/>
        </w:numPr>
      </w:pPr>
      <w:r w:rsidRPr="00AC6AED">
        <w:t>Define windows (e.g., 1 day pre → 1 day post catalyst), compute microstructure metrics and compare to recent baseline.</w:t>
      </w:r>
    </w:p>
    <w:p w14:paraId="6621CCB5" w14:textId="77777777" w:rsidR="00AC6AED" w:rsidRPr="00AC6AED" w:rsidRDefault="00AC6AED" w:rsidP="00AC6AED">
      <w:r w:rsidRPr="00AC6AED">
        <w:pict w14:anchorId="64E6D5F8">
          <v:rect id="_x0000_i1042" style="width:0;height:1.5pt" o:hralign="center" o:hrstd="t" o:hr="t" fillcolor="#a0a0a0" stroked="f"/>
        </w:pict>
      </w:r>
    </w:p>
    <w:p w14:paraId="39B72D0C" w14:textId="77777777" w:rsidR="00AC6AED" w:rsidRPr="00AC6AED" w:rsidRDefault="00AC6AED" w:rsidP="00AC6AED">
      <w:pPr>
        <w:rPr>
          <w:b/>
          <w:bCs/>
        </w:rPr>
      </w:pPr>
      <w:r w:rsidRPr="00AC6AED">
        <w:rPr>
          <w:rFonts w:ascii="Segoe UI Emoji" w:hAnsi="Segoe UI Emoji" w:cs="Segoe UI Emoji"/>
          <w:b/>
          <w:bCs/>
        </w:rPr>
        <w:t>📌</w:t>
      </w:r>
      <w:r w:rsidRPr="00AC6AED">
        <w:rPr>
          <w:b/>
          <w:bCs/>
        </w:rPr>
        <w:t xml:space="preserve"> Suggested List of Public/Retail</w:t>
      </w:r>
      <w:r w:rsidRPr="00AC6AED">
        <w:rPr>
          <w:b/>
          <w:bCs/>
        </w:rPr>
        <w:noBreakHyphen/>
        <w:t>Accessible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2"/>
        <w:gridCol w:w="2710"/>
        <w:gridCol w:w="4708"/>
      </w:tblGrid>
      <w:tr w:rsidR="00AC6AED" w:rsidRPr="00AC6AED" w14:paraId="42246A4A" w14:textId="77777777">
        <w:trPr>
          <w:tblHeader/>
          <w:tblCellSpacing w:w="15" w:type="dxa"/>
        </w:trPr>
        <w:tc>
          <w:tcPr>
            <w:tcW w:w="0" w:type="auto"/>
            <w:vAlign w:val="center"/>
            <w:hideMark/>
          </w:tcPr>
          <w:p w14:paraId="4347F169" w14:textId="77777777" w:rsidR="00AC6AED" w:rsidRPr="00AC6AED" w:rsidRDefault="00AC6AED" w:rsidP="00AC6AED">
            <w:pPr>
              <w:rPr>
                <w:b/>
                <w:bCs/>
              </w:rPr>
            </w:pPr>
            <w:r w:rsidRPr="00AC6AED">
              <w:rPr>
                <w:b/>
                <w:bCs/>
              </w:rPr>
              <w:t>Signal Area</w:t>
            </w:r>
          </w:p>
        </w:tc>
        <w:tc>
          <w:tcPr>
            <w:tcW w:w="0" w:type="auto"/>
            <w:vAlign w:val="center"/>
            <w:hideMark/>
          </w:tcPr>
          <w:p w14:paraId="3A0530FF" w14:textId="77777777" w:rsidR="00AC6AED" w:rsidRPr="00AC6AED" w:rsidRDefault="00AC6AED" w:rsidP="00AC6AED">
            <w:pPr>
              <w:rPr>
                <w:b/>
                <w:bCs/>
              </w:rPr>
            </w:pPr>
            <w:r w:rsidRPr="00AC6AED">
              <w:rPr>
                <w:b/>
                <w:bCs/>
              </w:rPr>
              <w:t>Actionable Feature</w:t>
            </w:r>
          </w:p>
        </w:tc>
        <w:tc>
          <w:tcPr>
            <w:tcW w:w="0" w:type="auto"/>
            <w:vAlign w:val="center"/>
            <w:hideMark/>
          </w:tcPr>
          <w:p w14:paraId="74357708" w14:textId="77777777" w:rsidR="00AC6AED" w:rsidRPr="00AC6AED" w:rsidRDefault="00AC6AED" w:rsidP="00AC6AED">
            <w:pPr>
              <w:rPr>
                <w:b/>
                <w:bCs/>
              </w:rPr>
            </w:pPr>
            <w:r w:rsidRPr="00AC6AED">
              <w:rPr>
                <w:b/>
                <w:bCs/>
              </w:rPr>
              <w:t>How to Measure Publicly</w:t>
            </w:r>
          </w:p>
        </w:tc>
      </w:tr>
      <w:tr w:rsidR="00AC6AED" w:rsidRPr="00AC6AED" w14:paraId="67D48FBC" w14:textId="77777777">
        <w:trPr>
          <w:tblCellSpacing w:w="15" w:type="dxa"/>
        </w:trPr>
        <w:tc>
          <w:tcPr>
            <w:tcW w:w="0" w:type="auto"/>
            <w:vAlign w:val="center"/>
            <w:hideMark/>
          </w:tcPr>
          <w:p w14:paraId="0A0E6071" w14:textId="77777777" w:rsidR="00AC6AED" w:rsidRPr="00AC6AED" w:rsidRDefault="00AC6AED" w:rsidP="00AC6AED">
            <w:r w:rsidRPr="00AC6AED">
              <w:rPr>
                <w:i/>
                <w:iCs/>
              </w:rPr>
              <w:t>Order Flow / LOB</w:t>
            </w:r>
          </w:p>
        </w:tc>
        <w:tc>
          <w:tcPr>
            <w:tcW w:w="0" w:type="auto"/>
            <w:vAlign w:val="center"/>
            <w:hideMark/>
          </w:tcPr>
          <w:p w14:paraId="6496946F" w14:textId="77777777" w:rsidR="00AC6AED" w:rsidRPr="00AC6AED" w:rsidRDefault="00AC6AED" w:rsidP="00AC6AED">
            <w:r w:rsidRPr="00AC6AED">
              <w:t>Normalized signed order flow</w:t>
            </w:r>
          </w:p>
        </w:tc>
        <w:tc>
          <w:tcPr>
            <w:tcW w:w="0" w:type="auto"/>
            <w:vAlign w:val="center"/>
            <w:hideMark/>
          </w:tcPr>
          <w:p w14:paraId="7FC947CD" w14:textId="77777777" w:rsidR="00AC6AED" w:rsidRPr="00AC6AED" w:rsidRDefault="00AC6AED" w:rsidP="00AC6AED">
            <w:r w:rsidRPr="00AC6AED">
              <w:t>Tick data + market cap normalization (from public quotes, trade prints)</w:t>
            </w:r>
          </w:p>
        </w:tc>
      </w:tr>
      <w:tr w:rsidR="00AC6AED" w:rsidRPr="00AC6AED" w14:paraId="1515DC59" w14:textId="77777777">
        <w:trPr>
          <w:tblCellSpacing w:w="15" w:type="dxa"/>
        </w:trPr>
        <w:tc>
          <w:tcPr>
            <w:tcW w:w="0" w:type="auto"/>
            <w:vAlign w:val="center"/>
            <w:hideMark/>
          </w:tcPr>
          <w:p w14:paraId="609B20B2" w14:textId="77777777" w:rsidR="00AC6AED" w:rsidRPr="00AC6AED" w:rsidRDefault="00AC6AED" w:rsidP="00AC6AED"/>
        </w:tc>
        <w:tc>
          <w:tcPr>
            <w:tcW w:w="0" w:type="auto"/>
            <w:vAlign w:val="center"/>
            <w:hideMark/>
          </w:tcPr>
          <w:p w14:paraId="3A42411A" w14:textId="77777777" w:rsidR="00AC6AED" w:rsidRPr="00AC6AED" w:rsidRDefault="00AC6AED" w:rsidP="00AC6AED">
            <w:r w:rsidRPr="00AC6AED">
              <w:t>Depth imbalance across levels</w:t>
            </w:r>
          </w:p>
        </w:tc>
        <w:tc>
          <w:tcPr>
            <w:tcW w:w="0" w:type="auto"/>
            <w:vAlign w:val="center"/>
            <w:hideMark/>
          </w:tcPr>
          <w:p w14:paraId="1AC866A1" w14:textId="77777777" w:rsidR="00AC6AED" w:rsidRPr="00AC6AED" w:rsidRDefault="00AC6AED" w:rsidP="00AC6AED">
            <w:r w:rsidRPr="00AC6AED">
              <w:t>Level</w:t>
            </w:r>
            <w:r w:rsidRPr="00AC6AED">
              <w:noBreakHyphen/>
              <w:t>2 quotes</w:t>
            </w:r>
          </w:p>
        </w:tc>
      </w:tr>
      <w:tr w:rsidR="00AC6AED" w:rsidRPr="00AC6AED" w14:paraId="165D28AE" w14:textId="77777777">
        <w:trPr>
          <w:tblCellSpacing w:w="15" w:type="dxa"/>
        </w:trPr>
        <w:tc>
          <w:tcPr>
            <w:tcW w:w="0" w:type="auto"/>
            <w:vAlign w:val="center"/>
            <w:hideMark/>
          </w:tcPr>
          <w:p w14:paraId="02B2FC1B" w14:textId="77777777" w:rsidR="00AC6AED" w:rsidRPr="00AC6AED" w:rsidRDefault="00AC6AED" w:rsidP="00AC6AED">
            <w:r w:rsidRPr="00AC6AED">
              <w:rPr>
                <w:i/>
                <w:iCs/>
              </w:rPr>
              <w:t>Dark Pools/ATS</w:t>
            </w:r>
          </w:p>
        </w:tc>
        <w:tc>
          <w:tcPr>
            <w:tcW w:w="0" w:type="auto"/>
            <w:vAlign w:val="center"/>
            <w:hideMark/>
          </w:tcPr>
          <w:p w14:paraId="277E4D02" w14:textId="77777777" w:rsidR="00AC6AED" w:rsidRPr="00AC6AED" w:rsidRDefault="00AC6AED" w:rsidP="00AC6AED">
            <w:r w:rsidRPr="00AC6AED">
              <w:t>Dark print counts/cluster patterns</w:t>
            </w:r>
          </w:p>
        </w:tc>
        <w:tc>
          <w:tcPr>
            <w:tcW w:w="0" w:type="auto"/>
            <w:vAlign w:val="center"/>
            <w:hideMark/>
          </w:tcPr>
          <w:p w14:paraId="335D1E38" w14:textId="77777777" w:rsidR="00AC6AED" w:rsidRPr="00AC6AED" w:rsidRDefault="00AC6AED" w:rsidP="00AC6AED">
            <w:r w:rsidRPr="00AC6AED">
              <w:t>Consolidated tape with off</w:t>
            </w:r>
            <w:r w:rsidRPr="00AC6AED">
              <w:noBreakHyphen/>
              <w:t>exchange tags</w:t>
            </w:r>
          </w:p>
        </w:tc>
      </w:tr>
      <w:tr w:rsidR="00AC6AED" w:rsidRPr="00AC6AED" w14:paraId="6F003C35" w14:textId="77777777">
        <w:trPr>
          <w:tblCellSpacing w:w="15" w:type="dxa"/>
        </w:trPr>
        <w:tc>
          <w:tcPr>
            <w:tcW w:w="0" w:type="auto"/>
            <w:vAlign w:val="center"/>
            <w:hideMark/>
          </w:tcPr>
          <w:p w14:paraId="0EEE68FD" w14:textId="77777777" w:rsidR="00AC6AED" w:rsidRPr="00AC6AED" w:rsidRDefault="00AC6AED" w:rsidP="00AC6AED">
            <w:r w:rsidRPr="00AC6AED">
              <w:rPr>
                <w:i/>
                <w:iCs/>
              </w:rPr>
              <w:t>Short Interest</w:t>
            </w:r>
          </w:p>
        </w:tc>
        <w:tc>
          <w:tcPr>
            <w:tcW w:w="0" w:type="auto"/>
            <w:vAlign w:val="center"/>
            <w:hideMark/>
          </w:tcPr>
          <w:p w14:paraId="6B3E7A37" w14:textId="77777777" w:rsidR="00AC6AED" w:rsidRPr="00AC6AED" w:rsidRDefault="00AC6AED" w:rsidP="00AC6AED">
            <w:r w:rsidRPr="00AC6AED">
              <w:t xml:space="preserve">SI ratio / days to cover </w:t>
            </w:r>
            <w:r w:rsidRPr="00AC6AED">
              <w:rPr>
                <w:rFonts w:ascii="Segoe UI Emoji" w:hAnsi="Segoe UI Emoji" w:cs="Segoe UI Emoji"/>
              </w:rPr>
              <w:t>📉</w:t>
            </w:r>
          </w:p>
        </w:tc>
        <w:tc>
          <w:tcPr>
            <w:tcW w:w="0" w:type="auto"/>
            <w:vAlign w:val="center"/>
            <w:hideMark/>
          </w:tcPr>
          <w:p w14:paraId="56E374AF" w14:textId="77777777" w:rsidR="00AC6AED" w:rsidRPr="00AC6AED" w:rsidRDefault="00AC6AED" w:rsidP="00AC6AED">
            <w:r w:rsidRPr="00AC6AED">
              <w:t>FINRA/Exchange short interest releases</w:t>
            </w:r>
          </w:p>
        </w:tc>
      </w:tr>
      <w:tr w:rsidR="00AC6AED" w:rsidRPr="00AC6AED" w14:paraId="6CD2BD81" w14:textId="77777777">
        <w:trPr>
          <w:tblCellSpacing w:w="15" w:type="dxa"/>
        </w:trPr>
        <w:tc>
          <w:tcPr>
            <w:tcW w:w="0" w:type="auto"/>
            <w:vAlign w:val="center"/>
            <w:hideMark/>
          </w:tcPr>
          <w:p w14:paraId="7712A6E6" w14:textId="77777777" w:rsidR="00AC6AED" w:rsidRPr="00AC6AED" w:rsidRDefault="00AC6AED" w:rsidP="00AC6AED">
            <w:r w:rsidRPr="00AC6AED">
              <w:rPr>
                <w:i/>
                <w:iCs/>
              </w:rPr>
              <w:t>Options Flow/Gamma</w:t>
            </w:r>
          </w:p>
        </w:tc>
        <w:tc>
          <w:tcPr>
            <w:tcW w:w="0" w:type="auto"/>
            <w:vAlign w:val="center"/>
            <w:hideMark/>
          </w:tcPr>
          <w:p w14:paraId="2199CA41" w14:textId="77777777" w:rsidR="00AC6AED" w:rsidRPr="00AC6AED" w:rsidRDefault="00AC6AED" w:rsidP="00AC6AED">
            <w:r w:rsidRPr="00AC6AED">
              <w:t>Net options delta, gamma exposure</w:t>
            </w:r>
          </w:p>
        </w:tc>
        <w:tc>
          <w:tcPr>
            <w:tcW w:w="0" w:type="auto"/>
            <w:vAlign w:val="center"/>
            <w:hideMark/>
          </w:tcPr>
          <w:p w14:paraId="23F0ED77" w14:textId="77777777" w:rsidR="00AC6AED" w:rsidRPr="00AC6AED" w:rsidRDefault="00AC6AED" w:rsidP="00AC6AED">
            <w:r w:rsidRPr="00AC6AED">
              <w:t>Option chain greeks × open interest</w:t>
            </w:r>
          </w:p>
        </w:tc>
      </w:tr>
      <w:tr w:rsidR="00AC6AED" w:rsidRPr="00AC6AED" w14:paraId="49DB8E20" w14:textId="77777777">
        <w:trPr>
          <w:tblCellSpacing w:w="15" w:type="dxa"/>
        </w:trPr>
        <w:tc>
          <w:tcPr>
            <w:tcW w:w="0" w:type="auto"/>
            <w:vAlign w:val="center"/>
            <w:hideMark/>
          </w:tcPr>
          <w:p w14:paraId="6BBCDE72" w14:textId="77777777" w:rsidR="00AC6AED" w:rsidRPr="00AC6AED" w:rsidRDefault="00AC6AED" w:rsidP="00AC6AED">
            <w:r w:rsidRPr="00AC6AED">
              <w:rPr>
                <w:i/>
                <w:iCs/>
              </w:rPr>
              <w:t>Intraday Volume/Vol</w:t>
            </w:r>
          </w:p>
        </w:tc>
        <w:tc>
          <w:tcPr>
            <w:tcW w:w="0" w:type="auto"/>
            <w:vAlign w:val="center"/>
            <w:hideMark/>
          </w:tcPr>
          <w:p w14:paraId="47AE9A7F" w14:textId="77777777" w:rsidR="00AC6AED" w:rsidRPr="00AC6AED" w:rsidRDefault="00AC6AED" w:rsidP="00AC6AED">
            <w:r w:rsidRPr="00AC6AED">
              <w:t>Volume spikes, realized vol</w:t>
            </w:r>
          </w:p>
        </w:tc>
        <w:tc>
          <w:tcPr>
            <w:tcW w:w="0" w:type="auto"/>
            <w:vAlign w:val="center"/>
            <w:hideMark/>
          </w:tcPr>
          <w:p w14:paraId="1069E74F" w14:textId="77777777" w:rsidR="00AC6AED" w:rsidRPr="00AC6AED" w:rsidRDefault="00AC6AED" w:rsidP="00AC6AED">
            <w:r w:rsidRPr="00AC6AED">
              <w:t>Trade price/time data</w:t>
            </w:r>
          </w:p>
        </w:tc>
      </w:tr>
    </w:tbl>
    <w:p w14:paraId="06E845F5" w14:textId="77777777" w:rsidR="00AC6AED" w:rsidRPr="00AC6AED" w:rsidRDefault="00AC6AED" w:rsidP="00AC6AED">
      <w:r w:rsidRPr="00AC6AED">
        <w:pict w14:anchorId="06AB6AB5">
          <v:rect id="_x0000_i1043" style="width:0;height:1.5pt" o:hralign="center" o:hrstd="t" o:hr="t" fillcolor="#a0a0a0" stroked="f"/>
        </w:pict>
      </w:r>
    </w:p>
    <w:p w14:paraId="17D083CD" w14:textId="77777777" w:rsidR="00AC6AED" w:rsidRPr="00AC6AED" w:rsidRDefault="00AC6AED" w:rsidP="00AC6AED">
      <w:pPr>
        <w:rPr>
          <w:b/>
          <w:bCs/>
        </w:rPr>
      </w:pPr>
      <w:r w:rsidRPr="00AC6AED">
        <w:rPr>
          <w:rFonts w:ascii="Segoe UI Emoji" w:hAnsi="Segoe UI Emoji" w:cs="Segoe UI Emoji"/>
          <w:b/>
          <w:bCs/>
        </w:rPr>
        <w:t>📚</w:t>
      </w:r>
      <w:r w:rsidRPr="00AC6AED">
        <w:rPr>
          <w:b/>
          <w:bCs/>
        </w:rPr>
        <w:t xml:space="preserve"> Core Concept Reference</w:t>
      </w:r>
    </w:p>
    <w:p w14:paraId="355D0100" w14:textId="77777777" w:rsidR="00AC6AED" w:rsidRPr="00AC6AED" w:rsidRDefault="00AC6AED" w:rsidP="00AC6AED">
      <w:pPr>
        <w:numPr>
          <w:ilvl w:val="0"/>
          <w:numId w:val="38"/>
        </w:numPr>
      </w:pPr>
      <w:r w:rsidRPr="00AC6AED">
        <w:rPr>
          <w:i/>
          <w:iCs/>
        </w:rPr>
        <w:t>Market Microstructure</w:t>
      </w:r>
      <w:r w:rsidRPr="00AC6AED">
        <w:t>: How trading rules and mechanics shape prices, liquidity, and transaction costs — foundation for these features. (</w:t>
      </w:r>
      <w:hyperlink r:id="rId93" w:tooltip="Market microstructure" w:history="1">
        <w:r w:rsidRPr="00AC6AED">
          <w:rPr>
            <w:rStyle w:val="Hyperlink"/>
          </w:rPr>
          <w:t>Wikipedia</w:t>
        </w:r>
      </w:hyperlink>
      <w:r w:rsidRPr="00AC6AED">
        <w:t>)</w:t>
      </w:r>
    </w:p>
    <w:p w14:paraId="4BFC3950" w14:textId="77777777" w:rsidR="00AC6AED" w:rsidRPr="00AC6AED" w:rsidRDefault="00AC6AED" w:rsidP="00AC6AED">
      <w:pPr>
        <w:numPr>
          <w:ilvl w:val="0"/>
          <w:numId w:val="38"/>
        </w:numPr>
      </w:pPr>
      <w:r w:rsidRPr="00AC6AED">
        <w:rPr>
          <w:i/>
          <w:iCs/>
        </w:rPr>
        <w:t>Dark Pools</w:t>
      </w:r>
      <w:r w:rsidRPr="00AC6AED">
        <w:t>: Hidden liquidity venues that influence price dynamics even though orders aren’t visible before execution. (</w:t>
      </w:r>
      <w:hyperlink r:id="rId94" w:tooltip="Dark pool" w:history="1">
        <w:r w:rsidRPr="00AC6AED">
          <w:rPr>
            <w:rStyle w:val="Hyperlink"/>
          </w:rPr>
          <w:t>Wikipedia</w:t>
        </w:r>
      </w:hyperlink>
      <w:r w:rsidRPr="00AC6AED">
        <w:t>)</w:t>
      </w:r>
    </w:p>
    <w:p w14:paraId="262F8383" w14:textId="77777777" w:rsidR="00AC6AED" w:rsidRPr="00AC6AED" w:rsidRDefault="00AC6AED" w:rsidP="00AC6AED">
      <w:r w:rsidRPr="00AC6AED">
        <w:pict w14:anchorId="79294C89">
          <v:rect id="_x0000_i1044" style="width:0;height:1.5pt" o:hralign="center" o:hrstd="t" o:hr="t" fillcolor="#a0a0a0" stroked="f"/>
        </w:pict>
      </w:r>
    </w:p>
    <w:p w14:paraId="07D4FD14" w14:textId="77777777" w:rsidR="00AC6AED" w:rsidRPr="00AC6AED" w:rsidRDefault="00AC6AED" w:rsidP="00AC6AED">
      <w:pPr>
        <w:rPr>
          <w:b/>
          <w:bCs/>
        </w:rPr>
      </w:pPr>
      <w:r w:rsidRPr="00AC6AED">
        <w:rPr>
          <w:rFonts w:ascii="Segoe UI Emoji" w:hAnsi="Segoe UI Emoji" w:cs="Segoe UI Emoji"/>
          <w:b/>
          <w:bCs/>
        </w:rPr>
        <w:t>📌</w:t>
      </w:r>
      <w:r w:rsidRPr="00AC6AED">
        <w:rPr>
          <w:b/>
          <w:bCs/>
        </w:rPr>
        <w:t xml:space="preserve"> Notes &amp; Limitations</w:t>
      </w:r>
    </w:p>
    <w:p w14:paraId="10FD9C7E" w14:textId="77777777" w:rsidR="00AC6AED" w:rsidRPr="00AC6AED" w:rsidRDefault="00AC6AED" w:rsidP="00AC6AED">
      <w:pPr>
        <w:numPr>
          <w:ilvl w:val="0"/>
          <w:numId w:val="39"/>
        </w:numPr>
      </w:pPr>
      <w:r w:rsidRPr="00AC6AED">
        <w:rPr>
          <w:b/>
          <w:bCs/>
        </w:rPr>
        <w:lastRenderedPageBreak/>
        <w:t>Biotech specificity:</w:t>
      </w:r>
      <w:r w:rsidRPr="00AC6AED">
        <w:t xml:space="preserve"> No brand</w:t>
      </w:r>
      <w:r w:rsidRPr="00AC6AED">
        <w:noBreakHyphen/>
        <w:t xml:space="preserve">new academic microstructure studies explicitly tied to biotech catalysts appeared in the web search; existing catalyst tracking tools (Market Chameleon) provide event frameworks to which you can </w:t>
      </w:r>
      <w:r w:rsidRPr="00AC6AED">
        <w:rPr>
          <w:i/>
          <w:iCs/>
        </w:rPr>
        <w:t>apply</w:t>
      </w:r>
      <w:r w:rsidRPr="00AC6AED">
        <w:t xml:space="preserve"> microstructure metrics. (</w:t>
      </w:r>
      <w:hyperlink r:id="rId95" w:tooltip="Biotech Stock Catalyst Report for Options Trading" w:history="1">
        <w:r w:rsidRPr="00AC6AED">
          <w:rPr>
            <w:rStyle w:val="Hyperlink"/>
          </w:rPr>
          <w:t>Market Chameleon</w:t>
        </w:r>
      </w:hyperlink>
      <w:r w:rsidRPr="00AC6AED">
        <w:t>)</w:t>
      </w:r>
    </w:p>
    <w:p w14:paraId="6C695866" w14:textId="77777777" w:rsidR="00AC6AED" w:rsidRPr="00AC6AED" w:rsidRDefault="00AC6AED" w:rsidP="00AC6AED">
      <w:pPr>
        <w:numPr>
          <w:ilvl w:val="0"/>
          <w:numId w:val="39"/>
        </w:numPr>
      </w:pPr>
      <w:r w:rsidRPr="00AC6AED">
        <w:rPr>
          <w:b/>
          <w:bCs/>
        </w:rPr>
        <w:t>Practical recording:</w:t>
      </w:r>
      <w:r w:rsidRPr="00AC6AED">
        <w:t xml:space="preserve"> For all features, use </w:t>
      </w:r>
      <w:r w:rsidRPr="00AC6AED">
        <w:rPr>
          <w:i/>
          <w:iCs/>
        </w:rPr>
        <w:t>public tick feeds, Level</w:t>
      </w:r>
      <w:r w:rsidRPr="00AC6AED">
        <w:rPr>
          <w:i/>
          <w:iCs/>
        </w:rPr>
        <w:noBreakHyphen/>
        <w:t>2 data, options API greeks/open interest, and consolidated tape prints</w:t>
      </w:r>
      <w:r w:rsidRPr="00AC6AED">
        <w:t xml:space="preserve"> available via common retail APIs.</w:t>
      </w:r>
    </w:p>
    <w:p w14:paraId="20713DF6" w14:textId="77777777" w:rsidR="00AC6AED" w:rsidRPr="00AC6AED" w:rsidRDefault="00AC6AED" w:rsidP="00AC6AED">
      <w:r w:rsidRPr="00AC6AED">
        <w:pict w14:anchorId="406A191C">
          <v:rect id="_x0000_i1045" style="width:0;height:1.5pt" o:hralign="center" o:hrstd="t" o:hr="t" fillcolor="#a0a0a0" stroked="f"/>
        </w:pict>
      </w:r>
    </w:p>
    <w:p w14:paraId="3362D86A" w14:textId="77777777" w:rsidR="00AC6AED" w:rsidRPr="00AC6AED" w:rsidRDefault="00AC6AED" w:rsidP="00AC6AED">
      <w:r w:rsidRPr="00AC6AED">
        <w:t xml:space="preserve">If you want, I can also list </w:t>
      </w:r>
      <w:r w:rsidRPr="00AC6AED">
        <w:rPr>
          <w:b/>
          <w:bCs/>
        </w:rPr>
        <w:t>specific APIs and code templates</w:t>
      </w:r>
      <w:r w:rsidRPr="00AC6AED">
        <w:t xml:space="preserve"> for computing these features from open data sources.</w:t>
      </w:r>
    </w:p>
    <w:p w14:paraId="54AF1C29" w14:textId="77777777" w:rsidR="00AC6AED" w:rsidRPr="00AC6AED" w:rsidRDefault="00AC6AED" w:rsidP="00AC6AED">
      <w:r w:rsidRPr="00AC6AED">
        <w:t>Here is an up</w:t>
      </w:r>
      <w:r w:rsidRPr="00AC6AED">
        <w:noBreakHyphen/>
        <w:t>to</w:t>
      </w:r>
      <w:r w:rsidRPr="00AC6AED">
        <w:noBreakHyphen/>
        <w:t xml:space="preserve">date </w:t>
      </w:r>
      <w:r w:rsidRPr="00AC6AED">
        <w:rPr>
          <w:b/>
          <w:bCs/>
        </w:rPr>
        <w:t>research</w:t>
      </w:r>
      <w:r w:rsidRPr="00AC6AED">
        <w:rPr>
          <w:b/>
          <w:bCs/>
        </w:rPr>
        <w:noBreakHyphen/>
        <w:t xml:space="preserve"> and dataset</w:t>
      </w:r>
      <w:r w:rsidRPr="00AC6AED">
        <w:rPr>
          <w:b/>
          <w:bCs/>
        </w:rPr>
        <w:noBreakHyphen/>
        <w:t>oriented summary</w:t>
      </w:r>
      <w:r w:rsidRPr="00AC6AED">
        <w:t xml:space="preserve"> of </w:t>
      </w:r>
      <w:r w:rsidRPr="00AC6AED">
        <w:rPr>
          <w:i/>
          <w:iCs/>
        </w:rPr>
        <w:t>new work in market microstructure</w:t>
      </w:r>
      <w:r w:rsidRPr="00AC6AED">
        <w:t xml:space="preserve"> relevant to </w:t>
      </w:r>
      <w:r w:rsidRPr="00AC6AED">
        <w:rPr>
          <w:b/>
          <w:bCs/>
        </w:rPr>
        <w:t>predictive signals around catalysts</w:t>
      </w:r>
      <w:r w:rsidRPr="00AC6AED">
        <w:t xml:space="preserve"> (including biotech events) covering </w:t>
      </w:r>
      <w:r w:rsidRPr="00AC6AED">
        <w:rPr>
          <w:b/>
          <w:bCs/>
        </w:rPr>
        <w:t>order flow, dealer gamma/hedging, liquidity shocks, short/borrow dynamics, auction imbalance, volatility term structure, and information leakage</w:t>
      </w:r>
      <w:r w:rsidRPr="00AC6AED">
        <w:t xml:space="preserve"> — with </w:t>
      </w:r>
      <w:r w:rsidRPr="00AC6AED">
        <w:rPr>
          <w:i/>
          <w:iCs/>
        </w:rPr>
        <w:t>actionable signals</w:t>
      </w:r>
      <w:r w:rsidRPr="00AC6AED">
        <w:t xml:space="preserve"> and citations.</w:t>
      </w:r>
    </w:p>
    <w:p w14:paraId="5CD836CC" w14:textId="77777777" w:rsidR="00AC6AED" w:rsidRPr="00AC6AED" w:rsidRDefault="00AC6AED" w:rsidP="00AC6AED">
      <w:r w:rsidRPr="00AC6AED">
        <w:pict w14:anchorId="6004D72F">
          <v:rect id="_x0000_i1046" style="width:0;height:1.5pt" o:hralign="center" o:hrstd="t" o:hr="t" fillcolor="#a0a0a0" stroked="f"/>
        </w:pict>
      </w:r>
    </w:p>
    <w:p w14:paraId="6DBB0B25" w14:textId="77777777" w:rsidR="00AC6AED" w:rsidRPr="00AC6AED" w:rsidRDefault="00AC6AED" w:rsidP="00AC6AED">
      <w:pPr>
        <w:rPr>
          <w:b/>
          <w:bCs/>
        </w:rPr>
      </w:pPr>
      <w:r w:rsidRPr="00AC6AED">
        <w:rPr>
          <w:rFonts w:ascii="Segoe UI Emoji" w:hAnsi="Segoe UI Emoji" w:cs="Segoe UI Emoji"/>
          <w:b/>
          <w:bCs/>
        </w:rPr>
        <w:t>📈</w:t>
      </w:r>
      <w:r w:rsidRPr="00AC6AED">
        <w:rPr>
          <w:b/>
          <w:bCs/>
        </w:rPr>
        <w:t xml:space="preserve"> 1) Order Flow &amp; Imbalance</w:t>
      </w:r>
      <w:r w:rsidRPr="00AC6AED">
        <w:rPr>
          <w:b/>
          <w:bCs/>
        </w:rPr>
        <w:noBreakHyphen/>
        <w:t>Driven Predictability</w:t>
      </w:r>
    </w:p>
    <w:p w14:paraId="3BA77EE1" w14:textId="77777777" w:rsidR="00AC6AED" w:rsidRPr="00AC6AED" w:rsidRDefault="00AC6AED" w:rsidP="00AC6AED">
      <w:pPr>
        <w:rPr>
          <w:b/>
          <w:bCs/>
        </w:rPr>
      </w:pPr>
      <w:r w:rsidRPr="00AC6AED">
        <w:rPr>
          <w:b/>
          <w:bCs/>
        </w:rPr>
        <w:t>Order Flow Imbalance (OFI) Framework</w:t>
      </w:r>
    </w:p>
    <w:p w14:paraId="23BB6212" w14:textId="77777777" w:rsidR="00AC6AED" w:rsidRPr="00AC6AED" w:rsidRDefault="00AC6AED" w:rsidP="00AC6AED">
      <w:r w:rsidRPr="00AC6AED">
        <w:t xml:space="preserve">A comprehensive microstructure metric, </w:t>
      </w:r>
      <w:r w:rsidRPr="00AC6AED">
        <w:rPr>
          <w:b/>
          <w:bCs/>
        </w:rPr>
        <w:t>Order Flow Imbalance (OFI)</w:t>
      </w:r>
      <w:r w:rsidRPr="00AC6AED">
        <w:t xml:space="preserve"> quantifies net buy/sell pressure on the limit order book by aggregating signed queue changes. Recent formulations and variants such as Multi</w:t>
      </w:r>
      <w:r w:rsidRPr="00AC6AED">
        <w:noBreakHyphen/>
        <w:t xml:space="preserve">Level OFI and generalized constructs offer </w:t>
      </w:r>
      <w:r w:rsidRPr="00AC6AED">
        <w:rPr>
          <w:i/>
          <w:iCs/>
        </w:rPr>
        <w:t>predictive power for short</w:t>
      </w:r>
      <w:r w:rsidRPr="00AC6AED">
        <w:rPr>
          <w:i/>
          <w:iCs/>
        </w:rPr>
        <w:noBreakHyphen/>
        <w:t>term price moves and volatility</w:t>
      </w:r>
      <w:r w:rsidRPr="00AC6AED">
        <w:t>. (</w:t>
      </w:r>
      <w:hyperlink r:id="rId96" w:tooltip="Order-Flow Imbalance (OFI)" w:history="1">
        <w:r w:rsidRPr="00AC6AED">
          <w:rPr>
            <w:rStyle w:val="Hyperlink"/>
          </w:rPr>
          <w:t>Emergent Mind</w:t>
        </w:r>
      </w:hyperlink>
      <w:r w:rsidRPr="00AC6AED">
        <w:t>)</w:t>
      </w:r>
    </w:p>
    <w:p w14:paraId="66AE0854" w14:textId="77777777" w:rsidR="00AC6AED" w:rsidRPr="00AC6AED" w:rsidRDefault="00AC6AED" w:rsidP="00AC6AED">
      <w:r w:rsidRPr="00AC6AED">
        <w:rPr>
          <w:b/>
          <w:bCs/>
        </w:rPr>
        <w:t>Actionable signals</w:t>
      </w:r>
    </w:p>
    <w:p w14:paraId="3D827CC5" w14:textId="77777777" w:rsidR="00AC6AED" w:rsidRPr="00AC6AED" w:rsidRDefault="00AC6AED" w:rsidP="00AC6AED">
      <w:pPr>
        <w:numPr>
          <w:ilvl w:val="0"/>
          <w:numId w:val="40"/>
        </w:numPr>
      </w:pPr>
      <w:r w:rsidRPr="00AC6AED">
        <w:rPr>
          <w:b/>
          <w:bCs/>
        </w:rPr>
        <w:t>Short</w:t>
      </w:r>
      <w:r w:rsidRPr="00AC6AED">
        <w:rPr>
          <w:b/>
          <w:bCs/>
        </w:rPr>
        <w:noBreakHyphen/>
        <w:t>interval OFI:</w:t>
      </w:r>
      <w:r w:rsidRPr="00AC6AED">
        <w:t xml:space="preserve"> rising positive OFI predicts short</w:t>
      </w:r>
      <w:r w:rsidRPr="00AC6AED">
        <w:noBreakHyphen/>
        <w:t>term upward price pressure; negative OFI forecasts downward pressure.</w:t>
      </w:r>
    </w:p>
    <w:p w14:paraId="51F96DE1" w14:textId="77777777" w:rsidR="00AC6AED" w:rsidRPr="00AC6AED" w:rsidRDefault="00AC6AED" w:rsidP="00AC6AED">
      <w:pPr>
        <w:numPr>
          <w:ilvl w:val="0"/>
          <w:numId w:val="40"/>
        </w:numPr>
      </w:pPr>
      <w:r w:rsidRPr="00AC6AED">
        <w:rPr>
          <w:b/>
          <w:bCs/>
        </w:rPr>
        <w:t>Multi</w:t>
      </w:r>
      <w:r w:rsidRPr="00AC6AED">
        <w:rPr>
          <w:b/>
          <w:bCs/>
        </w:rPr>
        <w:noBreakHyphen/>
        <w:t>level OFI or GOFI:</w:t>
      </w:r>
      <w:r w:rsidRPr="00AC6AED">
        <w:t xml:space="preserve"> consider deeper book levels for richer liquidity pressure signals.</w:t>
      </w:r>
    </w:p>
    <w:p w14:paraId="68F9222F" w14:textId="77777777" w:rsidR="00AC6AED" w:rsidRPr="00AC6AED" w:rsidRDefault="00AC6AED" w:rsidP="00AC6AED">
      <w:pPr>
        <w:numPr>
          <w:ilvl w:val="0"/>
          <w:numId w:val="40"/>
        </w:numPr>
      </w:pPr>
      <w:r w:rsidRPr="00AC6AED">
        <w:t>OFI and its variants are widely used in high</w:t>
      </w:r>
      <w:r w:rsidRPr="00AC6AED">
        <w:noBreakHyphen/>
        <w:t>frequency forecasting and execution models. (</w:t>
      </w:r>
      <w:hyperlink r:id="rId97" w:tooltip="Order-Flow Imbalance (OFI)" w:history="1">
        <w:r w:rsidRPr="00AC6AED">
          <w:rPr>
            <w:rStyle w:val="Hyperlink"/>
          </w:rPr>
          <w:t>Emergent Mind</w:t>
        </w:r>
      </w:hyperlink>
      <w:r w:rsidRPr="00AC6AED">
        <w:t>)</w:t>
      </w:r>
    </w:p>
    <w:p w14:paraId="38A14FEC" w14:textId="77777777" w:rsidR="00AC6AED" w:rsidRPr="00AC6AED" w:rsidRDefault="00AC6AED" w:rsidP="00AC6AED">
      <w:pPr>
        <w:rPr>
          <w:b/>
          <w:bCs/>
        </w:rPr>
      </w:pPr>
      <w:r w:rsidRPr="00AC6AED">
        <w:rPr>
          <w:b/>
          <w:bCs/>
        </w:rPr>
        <w:t>Unified Order Flow, Impact &amp; Volatility Theory</w:t>
      </w:r>
    </w:p>
    <w:p w14:paraId="1F83EB53" w14:textId="77777777" w:rsidR="00AC6AED" w:rsidRPr="00AC6AED" w:rsidRDefault="00AC6AED" w:rsidP="00AC6AED">
      <w:r w:rsidRPr="00AC6AED">
        <w:t xml:space="preserve">New theoretical frameworks are extending empirical integration of signed order flow, volume, price impact, and volatility into joint models that capture persistent signed order </w:t>
      </w:r>
      <w:r w:rsidRPr="00AC6AED">
        <w:lastRenderedPageBreak/>
        <w:t xml:space="preserve">flow and fractional volatility behaviors. These frameworks can improve </w:t>
      </w:r>
      <w:r w:rsidRPr="00AC6AED">
        <w:rPr>
          <w:i/>
          <w:iCs/>
        </w:rPr>
        <w:t>volatility and price impact forecasting</w:t>
      </w:r>
      <w:r w:rsidRPr="00AC6AED">
        <w:t xml:space="preserve"> when calibrated on high</w:t>
      </w:r>
      <w:r w:rsidRPr="00AC6AED">
        <w:noBreakHyphen/>
        <w:t>frequency data. (</w:t>
      </w:r>
      <w:hyperlink r:id="rId98" w:tooltip="A unified theory of order flow, market impact, and volatility 1" w:history="1">
        <w:r w:rsidRPr="00AC6AED">
          <w:rPr>
            <w:rStyle w:val="Hyperlink"/>
          </w:rPr>
          <w:t>arXiv</w:t>
        </w:r>
      </w:hyperlink>
      <w:r w:rsidRPr="00AC6AED">
        <w:t>)</w:t>
      </w:r>
    </w:p>
    <w:p w14:paraId="22E799C8" w14:textId="77777777" w:rsidR="00AC6AED" w:rsidRPr="00AC6AED" w:rsidRDefault="00AC6AED" w:rsidP="00AC6AED">
      <w:r w:rsidRPr="00AC6AED">
        <w:pict w14:anchorId="34C01B6A">
          <v:rect id="_x0000_i1047" style="width:0;height:1.5pt" o:hralign="center" o:hrstd="t" o:hr="t" fillcolor="#a0a0a0" stroked="f"/>
        </w:pict>
      </w:r>
    </w:p>
    <w:p w14:paraId="2A036433" w14:textId="77777777" w:rsidR="00AC6AED" w:rsidRPr="00AC6AED" w:rsidRDefault="00AC6AED" w:rsidP="00AC6AED">
      <w:pPr>
        <w:rPr>
          <w:b/>
          <w:bCs/>
        </w:rPr>
      </w:pPr>
      <w:r w:rsidRPr="00AC6AED">
        <w:rPr>
          <w:rFonts w:ascii="Segoe UI Emoji" w:hAnsi="Segoe UI Emoji" w:cs="Segoe UI Emoji"/>
          <w:b/>
          <w:bCs/>
        </w:rPr>
        <w:t>📉</w:t>
      </w:r>
      <w:r w:rsidRPr="00AC6AED">
        <w:rPr>
          <w:b/>
          <w:bCs/>
        </w:rPr>
        <w:t xml:space="preserve"> 2) Dealer Gamma / Hedging &amp; Options Flow</w:t>
      </w:r>
    </w:p>
    <w:p w14:paraId="5F27CA7F" w14:textId="77777777" w:rsidR="00AC6AED" w:rsidRPr="00AC6AED" w:rsidRDefault="00AC6AED" w:rsidP="00AC6AED">
      <w:pPr>
        <w:rPr>
          <w:b/>
          <w:bCs/>
        </w:rPr>
      </w:pPr>
      <w:r w:rsidRPr="00AC6AED">
        <w:rPr>
          <w:b/>
          <w:bCs/>
        </w:rPr>
        <w:t>Gamma, 0DTE Flow Effects</w:t>
      </w:r>
    </w:p>
    <w:p w14:paraId="14905F67" w14:textId="77777777" w:rsidR="00AC6AED" w:rsidRPr="00AC6AED" w:rsidRDefault="00AC6AED" w:rsidP="00AC6AED">
      <w:r w:rsidRPr="00AC6AED">
        <w:t xml:space="preserve">Recent practitioner analysis highlights how </w:t>
      </w:r>
      <w:r w:rsidRPr="00AC6AED">
        <w:rPr>
          <w:b/>
          <w:bCs/>
        </w:rPr>
        <w:t>zero</w:t>
      </w:r>
      <w:r w:rsidRPr="00AC6AED">
        <w:rPr>
          <w:b/>
          <w:bCs/>
        </w:rPr>
        <w:noBreakHyphen/>
        <w:t>days</w:t>
      </w:r>
      <w:r w:rsidRPr="00AC6AED">
        <w:rPr>
          <w:b/>
          <w:bCs/>
        </w:rPr>
        <w:noBreakHyphen/>
        <w:t>to</w:t>
      </w:r>
      <w:r w:rsidRPr="00AC6AED">
        <w:rPr>
          <w:b/>
          <w:bCs/>
        </w:rPr>
        <w:noBreakHyphen/>
        <w:t>expiration (0DTE) options</w:t>
      </w:r>
      <w:r w:rsidRPr="00AC6AED">
        <w:t xml:space="preserve"> shifts market structure — dealers’ gamma hedging around short expiries and concentrated strike open interest can induce </w:t>
      </w:r>
      <w:r w:rsidRPr="00AC6AED">
        <w:rPr>
          <w:i/>
          <w:iCs/>
        </w:rPr>
        <w:t>intraday volatility spikes, strike pinning, and amplified moves</w:t>
      </w:r>
      <w:r w:rsidRPr="00AC6AED">
        <w:t>, particularly around catalyst windows. (</w:t>
      </w:r>
      <w:hyperlink r:id="rId99" w:tooltip="0DTE Options: The Hidden Driver Of Market Volatility" w:history="1">
        <w:r w:rsidRPr="00AC6AED">
          <w:rPr>
            <w:rStyle w:val="Hyperlink"/>
          </w:rPr>
          <w:t>EBC Financial Group</w:t>
        </w:r>
      </w:hyperlink>
      <w:r w:rsidRPr="00AC6AED">
        <w:t>)</w:t>
      </w:r>
    </w:p>
    <w:p w14:paraId="01A8B02A" w14:textId="77777777" w:rsidR="00AC6AED" w:rsidRPr="00AC6AED" w:rsidRDefault="00AC6AED" w:rsidP="00AC6AED">
      <w:r w:rsidRPr="00AC6AED">
        <w:rPr>
          <w:b/>
          <w:bCs/>
        </w:rPr>
        <w:t>Actionable signals</w:t>
      </w:r>
    </w:p>
    <w:p w14:paraId="3F7AE225" w14:textId="77777777" w:rsidR="00AC6AED" w:rsidRPr="00AC6AED" w:rsidRDefault="00AC6AED" w:rsidP="00AC6AED">
      <w:pPr>
        <w:numPr>
          <w:ilvl w:val="0"/>
          <w:numId w:val="41"/>
        </w:numPr>
      </w:pPr>
      <w:r w:rsidRPr="00AC6AED">
        <w:rPr>
          <w:b/>
          <w:bCs/>
        </w:rPr>
        <w:t>Net gamma state (positive/negative):</w:t>
      </w:r>
      <w:r w:rsidRPr="00AC6AED">
        <w:t xml:space="preserve"> negative dealer gamma often correlates with </w:t>
      </w:r>
      <w:r w:rsidRPr="00AC6AED">
        <w:rPr>
          <w:i/>
          <w:iCs/>
        </w:rPr>
        <w:t>amplified intraday moves</w:t>
      </w:r>
      <w:r w:rsidRPr="00AC6AED">
        <w:t xml:space="preserve"> via procyclical hedging.</w:t>
      </w:r>
    </w:p>
    <w:p w14:paraId="684289B2" w14:textId="77777777" w:rsidR="00AC6AED" w:rsidRPr="00AC6AED" w:rsidRDefault="00AC6AED" w:rsidP="00AC6AED">
      <w:pPr>
        <w:numPr>
          <w:ilvl w:val="0"/>
          <w:numId w:val="41"/>
        </w:numPr>
      </w:pPr>
      <w:r w:rsidRPr="00AC6AED">
        <w:rPr>
          <w:b/>
          <w:bCs/>
        </w:rPr>
        <w:t>Spike in 0DTE volume:</w:t>
      </w:r>
      <w:r w:rsidRPr="00AC6AED">
        <w:t xml:space="preserve"> when concentrated at key strikes around news, may presage volatility feedback loops.</w:t>
      </w:r>
    </w:p>
    <w:p w14:paraId="5BA95851" w14:textId="77777777" w:rsidR="00AC6AED" w:rsidRPr="00AC6AED" w:rsidRDefault="00AC6AED" w:rsidP="00AC6AED">
      <w:pPr>
        <w:rPr>
          <w:b/>
          <w:bCs/>
        </w:rPr>
      </w:pPr>
      <w:r w:rsidRPr="00AC6AED">
        <w:rPr>
          <w:b/>
          <w:bCs/>
        </w:rPr>
        <w:t>Dealer Inventory Risk &amp; Options Liquidity</w:t>
      </w:r>
    </w:p>
    <w:p w14:paraId="0AADEF6D" w14:textId="77777777" w:rsidR="00AC6AED" w:rsidRPr="00AC6AED" w:rsidRDefault="00AC6AED" w:rsidP="00AC6AED">
      <w:r w:rsidRPr="00AC6AED">
        <w:t xml:space="preserve">Academic work shows that </w:t>
      </w:r>
      <w:r w:rsidRPr="00AC6AED">
        <w:rPr>
          <w:b/>
          <w:bCs/>
        </w:rPr>
        <w:t>dealer inventory risk is strongly negatively correlated with option liquidity</w:t>
      </w:r>
      <w:r w:rsidRPr="00AC6AED">
        <w:t xml:space="preserve"> — especially near</w:t>
      </w:r>
      <w:r w:rsidRPr="00AC6AED">
        <w:noBreakHyphen/>
        <w:t>the</w:t>
      </w:r>
      <w:r w:rsidRPr="00AC6AED">
        <w:noBreakHyphen/>
        <w:t xml:space="preserve">money — and liquidity deteriorates when dealers are net short, implying </w:t>
      </w:r>
      <w:r w:rsidRPr="00AC6AED">
        <w:rPr>
          <w:i/>
          <w:iCs/>
        </w:rPr>
        <w:t>liquidity stress and wider spreads</w:t>
      </w:r>
      <w:r w:rsidRPr="00AC6AED">
        <w:t xml:space="preserve"> in these conditions. (</w:t>
      </w:r>
      <w:hyperlink r:id="rId100" w:tooltip="Option Liquidity and Gamma Imbalances" w:history="1">
        <w:r w:rsidRPr="00AC6AED">
          <w:rPr>
            <w:rStyle w:val="Hyperlink"/>
          </w:rPr>
          <w:t>SSRN</w:t>
        </w:r>
      </w:hyperlink>
      <w:r w:rsidRPr="00AC6AED">
        <w:t>)</w:t>
      </w:r>
    </w:p>
    <w:p w14:paraId="4DC6CD76" w14:textId="77777777" w:rsidR="00AC6AED" w:rsidRPr="00AC6AED" w:rsidRDefault="00AC6AED" w:rsidP="00AC6AED">
      <w:r w:rsidRPr="00AC6AED">
        <w:rPr>
          <w:b/>
          <w:bCs/>
        </w:rPr>
        <w:t>Actionable signals</w:t>
      </w:r>
    </w:p>
    <w:p w14:paraId="5EC50FCB" w14:textId="77777777" w:rsidR="00AC6AED" w:rsidRPr="00AC6AED" w:rsidRDefault="00AC6AED" w:rsidP="00AC6AED">
      <w:pPr>
        <w:numPr>
          <w:ilvl w:val="0"/>
          <w:numId w:val="42"/>
        </w:numPr>
      </w:pPr>
      <w:r w:rsidRPr="00AC6AED">
        <w:rPr>
          <w:b/>
          <w:bCs/>
        </w:rPr>
        <w:t>Near</w:t>
      </w:r>
      <w:r w:rsidRPr="00AC6AED">
        <w:rPr>
          <w:b/>
          <w:bCs/>
        </w:rPr>
        <w:noBreakHyphen/>
        <w:t>the</w:t>
      </w:r>
      <w:r w:rsidRPr="00AC6AED">
        <w:rPr>
          <w:b/>
          <w:bCs/>
        </w:rPr>
        <w:noBreakHyphen/>
        <w:t>money spread widening + net short dealer exposure:</w:t>
      </w:r>
      <w:r w:rsidRPr="00AC6AED">
        <w:t xml:space="preserve"> indicative of impending liquidity stress and heightened volatility risk.</w:t>
      </w:r>
    </w:p>
    <w:p w14:paraId="48FBB61D" w14:textId="77777777" w:rsidR="00AC6AED" w:rsidRPr="00AC6AED" w:rsidRDefault="00AC6AED" w:rsidP="00AC6AED">
      <w:r w:rsidRPr="00AC6AED">
        <w:pict w14:anchorId="48E87638">
          <v:rect id="_x0000_i1048" style="width:0;height:1.5pt" o:hralign="center" o:hrstd="t" o:hr="t" fillcolor="#a0a0a0" stroked="f"/>
        </w:pict>
      </w:r>
    </w:p>
    <w:p w14:paraId="7B86486E" w14:textId="77777777" w:rsidR="00AC6AED" w:rsidRPr="00AC6AED" w:rsidRDefault="00AC6AED" w:rsidP="00AC6AED">
      <w:pPr>
        <w:rPr>
          <w:b/>
          <w:bCs/>
        </w:rPr>
      </w:pPr>
      <w:r w:rsidRPr="00AC6AED">
        <w:rPr>
          <w:rFonts w:ascii="Segoe UI Emoji" w:hAnsi="Segoe UI Emoji" w:cs="Segoe UI Emoji"/>
          <w:b/>
          <w:bCs/>
        </w:rPr>
        <w:t>🔍</w:t>
      </w:r>
      <w:r w:rsidRPr="00AC6AED">
        <w:rPr>
          <w:b/>
          <w:bCs/>
        </w:rPr>
        <w:t xml:space="preserve"> 3) Information Leakage &amp; Limit Order Book Dynamics</w:t>
      </w:r>
    </w:p>
    <w:p w14:paraId="69959241" w14:textId="77777777" w:rsidR="00AC6AED" w:rsidRPr="00AC6AED" w:rsidRDefault="00AC6AED" w:rsidP="00AC6AED">
      <w:pPr>
        <w:rPr>
          <w:b/>
          <w:bCs/>
        </w:rPr>
      </w:pPr>
      <w:r w:rsidRPr="00AC6AED">
        <w:rPr>
          <w:b/>
          <w:bCs/>
        </w:rPr>
        <w:t>Dark Pool Information Leakage Research</w:t>
      </w:r>
    </w:p>
    <w:p w14:paraId="2A18AFD7" w14:textId="77777777" w:rsidR="00AC6AED" w:rsidRPr="00AC6AED" w:rsidRDefault="00AC6AED" w:rsidP="00AC6AED">
      <w:r w:rsidRPr="00AC6AED">
        <w:t xml:space="preserve">Recent microstructure research finds that </w:t>
      </w:r>
      <w:r w:rsidRPr="00AC6AED">
        <w:rPr>
          <w:b/>
          <w:bCs/>
        </w:rPr>
        <w:t>dark pools with access restrictions</w:t>
      </w:r>
      <w:r w:rsidRPr="00AC6AED">
        <w:t xml:space="preserve"> have </w:t>
      </w:r>
      <w:r w:rsidRPr="00AC6AED">
        <w:rPr>
          <w:i/>
          <w:iCs/>
        </w:rPr>
        <w:t>less order flow information leakage and lower adverse selection</w:t>
      </w:r>
      <w:r w:rsidRPr="00AC6AED">
        <w:t xml:space="preserve"> than unrestricted pools — signaling that </w:t>
      </w:r>
      <w:r w:rsidRPr="00AC6AED">
        <w:rPr>
          <w:b/>
          <w:bCs/>
        </w:rPr>
        <w:t>venue choice and execution patterns</w:t>
      </w:r>
      <w:r w:rsidRPr="00AC6AED">
        <w:t xml:space="preserve"> can serve as a proxy for market participants’ intent and information risk. (</w:t>
      </w:r>
      <w:hyperlink r:id="rId101" w:tooltip="Differential access to dark markets and execution outcomes" w:history="1">
        <w:r w:rsidRPr="00AC6AED">
          <w:rPr>
            <w:rStyle w:val="Hyperlink"/>
          </w:rPr>
          <w:t>ScienceDirect</w:t>
        </w:r>
      </w:hyperlink>
      <w:r w:rsidRPr="00AC6AED">
        <w:t>)</w:t>
      </w:r>
    </w:p>
    <w:p w14:paraId="101E97FC" w14:textId="77777777" w:rsidR="00AC6AED" w:rsidRPr="00AC6AED" w:rsidRDefault="00AC6AED" w:rsidP="00AC6AED">
      <w:r w:rsidRPr="00AC6AED">
        <w:rPr>
          <w:b/>
          <w:bCs/>
        </w:rPr>
        <w:t>Actionable signals</w:t>
      </w:r>
    </w:p>
    <w:p w14:paraId="00B95FF7" w14:textId="77777777" w:rsidR="00AC6AED" w:rsidRPr="00AC6AED" w:rsidRDefault="00AC6AED" w:rsidP="00AC6AED">
      <w:pPr>
        <w:numPr>
          <w:ilvl w:val="0"/>
          <w:numId w:val="43"/>
        </w:numPr>
      </w:pPr>
      <w:r w:rsidRPr="00AC6AED">
        <w:rPr>
          <w:b/>
          <w:bCs/>
        </w:rPr>
        <w:lastRenderedPageBreak/>
        <w:t>Shift in dark pool execution volumes by venue type:</w:t>
      </w:r>
      <w:r w:rsidRPr="00AC6AED">
        <w:t xml:space="preserve"> may reflect changing information leakage risk and liquidity provision patterns ahead of events.</w:t>
      </w:r>
    </w:p>
    <w:p w14:paraId="62A329CC" w14:textId="77777777" w:rsidR="00AC6AED" w:rsidRPr="00AC6AED" w:rsidRDefault="00AC6AED" w:rsidP="00AC6AED">
      <w:pPr>
        <w:rPr>
          <w:b/>
          <w:bCs/>
        </w:rPr>
      </w:pPr>
      <w:r w:rsidRPr="00AC6AED">
        <w:rPr>
          <w:b/>
          <w:bCs/>
        </w:rPr>
        <w:t>Belief Consensus vs VPIN in Predicting Volatility</w:t>
      </w:r>
    </w:p>
    <w:p w14:paraId="28875140" w14:textId="77777777" w:rsidR="00AC6AED" w:rsidRPr="00AC6AED" w:rsidRDefault="00AC6AED" w:rsidP="00AC6AED">
      <w:r w:rsidRPr="00AC6AED">
        <w:t xml:space="preserve">New empirical evidence suggests that latent </w:t>
      </w:r>
      <w:r w:rsidRPr="00AC6AED">
        <w:rPr>
          <w:b/>
          <w:bCs/>
        </w:rPr>
        <w:t>order book consensus indicators (e.g., LOB SLOPE)</w:t>
      </w:r>
      <w:r w:rsidRPr="00AC6AED">
        <w:t xml:space="preserve"> can outperform traditional order flow toxicity measures (e.g., VPIN) in anticipating short</w:t>
      </w:r>
      <w:r w:rsidRPr="00AC6AED">
        <w:noBreakHyphen/>
        <w:t xml:space="preserve">term volatility — emphasizing the importance of </w:t>
      </w:r>
      <w:r w:rsidRPr="00AC6AED">
        <w:rPr>
          <w:i/>
          <w:iCs/>
        </w:rPr>
        <w:t>latent book dynamics over pure executed flow</w:t>
      </w:r>
      <w:r w:rsidRPr="00AC6AED">
        <w:t>. (</w:t>
      </w:r>
      <w:hyperlink r:id="rId102" w:tooltip="Informed trading, investor beliefs consensus and volatility" w:history="1">
        <w:r w:rsidRPr="00AC6AED">
          <w:rPr>
            <w:rStyle w:val="Hyperlink"/>
          </w:rPr>
          <w:t>ScienceDirect</w:t>
        </w:r>
      </w:hyperlink>
      <w:r w:rsidRPr="00AC6AED">
        <w:t>)</w:t>
      </w:r>
    </w:p>
    <w:p w14:paraId="6A44D6E5" w14:textId="77777777" w:rsidR="00AC6AED" w:rsidRPr="00AC6AED" w:rsidRDefault="00AC6AED" w:rsidP="00AC6AED">
      <w:r w:rsidRPr="00AC6AED">
        <w:rPr>
          <w:b/>
          <w:bCs/>
        </w:rPr>
        <w:t>Actionable signal</w:t>
      </w:r>
    </w:p>
    <w:p w14:paraId="6DF4F671" w14:textId="77777777" w:rsidR="00AC6AED" w:rsidRPr="00AC6AED" w:rsidRDefault="00AC6AED" w:rsidP="00AC6AED">
      <w:pPr>
        <w:numPr>
          <w:ilvl w:val="0"/>
          <w:numId w:val="44"/>
        </w:numPr>
      </w:pPr>
      <w:r w:rsidRPr="00AC6AED">
        <w:rPr>
          <w:b/>
          <w:bCs/>
        </w:rPr>
        <w:t>LOB structure consensus metrics:</w:t>
      </w:r>
      <w:r w:rsidRPr="00AC6AED">
        <w:t xml:space="preserve"> rising consensus or persistent book slope may signal rising short</w:t>
      </w:r>
      <w:r w:rsidRPr="00AC6AED">
        <w:noBreakHyphen/>
        <w:t>term volatility.</w:t>
      </w:r>
    </w:p>
    <w:p w14:paraId="699F326D" w14:textId="77777777" w:rsidR="00AC6AED" w:rsidRPr="00AC6AED" w:rsidRDefault="00AC6AED" w:rsidP="00AC6AED">
      <w:r w:rsidRPr="00AC6AED">
        <w:pict w14:anchorId="190C0B7A">
          <v:rect id="_x0000_i1049" style="width:0;height:1.5pt" o:hralign="center" o:hrstd="t" o:hr="t" fillcolor="#a0a0a0" stroked="f"/>
        </w:pict>
      </w:r>
    </w:p>
    <w:p w14:paraId="1B5E76A9" w14:textId="77777777" w:rsidR="00AC6AED" w:rsidRPr="00AC6AED" w:rsidRDefault="00AC6AED" w:rsidP="00AC6AED">
      <w:pPr>
        <w:rPr>
          <w:b/>
          <w:bCs/>
        </w:rPr>
      </w:pPr>
      <w:r w:rsidRPr="00AC6AED">
        <w:rPr>
          <w:rFonts w:ascii="Segoe UI Emoji" w:hAnsi="Segoe UI Emoji" w:cs="Segoe UI Emoji"/>
          <w:b/>
          <w:bCs/>
        </w:rPr>
        <w:t>📊</w:t>
      </w:r>
      <w:r w:rsidRPr="00AC6AED">
        <w:rPr>
          <w:b/>
          <w:bCs/>
        </w:rPr>
        <w:t xml:space="preserve"> 4) Auction Imbalance &amp; Market Impact Dynamics</w:t>
      </w:r>
    </w:p>
    <w:p w14:paraId="11FAFCED" w14:textId="77777777" w:rsidR="00AC6AED" w:rsidRPr="00AC6AED" w:rsidRDefault="00AC6AED" w:rsidP="00AC6AED">
      <w:r w:rsidRPr="00AC6AED">
        <w:t xml:space="preserve">Although specific </w:t>
      </w:r>
      <w:r w:rsidRPr="00AC6AED">
        <w:rPr>
          <w:i/>
          <w:iCs/>
        </w:rPr>
        <w:t>auction imbalance datasets</w:t>
      </w:r>
      <w:r w:rsidRPr="00AC6AED">
        <w:t xml:space="preserve"> (like BMLL or exchange pre</w:t>
      </w:r>
      <w:r w:rsidRPr="00AC6AED">
        <w:noBreakHyphen/>
        <w:t xml:space="preserve">open imbalances) did not surface in this search, the </w:t>
      </w:r>
      <w:r w:rsidRPr="00AC6AED">
        <w:rPr>
          <w:b/>
          <w:bCs/>
        </w:rPr>
        <w:t>order flow and imbalance theory</w:t>
      </w:r>
      <w:r w:rsidRPr="00AC6AED">
        <w:t xml:space="preserve"> extends naturally to auction contexts: measured imbalance ahead of a cross is a </w:t>
      </w:r>
      <w:r w:rsidRPr="00AC6AED">
        <w:rPr>
          <w:i/>
          <w:iCs/>
        </w:rPr>
        <w:t>proxy for execution price bias</w:t>
      </w:r>
      <w:r w:rsidRPr="00AC6AED">
        <w:t>.</w:t>
      </w:r>
    </w:p>
    <w:p w14:paraId="64C5C72B" w14:textId="77777777" w:rsidR="00AC6AED" w:rsidRPr="00AC6AED" w:rsidRDefault="00AC6AED" w:rsidP="00AC6AED">
      <w:r w:rsidRPr="00AC6AED">
        <w:rPr>
          <w:b/>
          <w:bCs/>
        </w:rPr>
        <w:t>Actionable signal</w:t>
      </w:r>
    </w:p>
    <w:p w14:paraId="1276A9DF" w14:textId="77777777" w:rsidR="00AC6AED" w:rsidRPr="00AC6AED" w:rsidRDefault="00AC6AED" w:rsidP="00AC6AED">
      <w:pPr>
        <w:numPr>
          <w:ilvl w:val="0"/>
          <w:numId w:val="45"/>
        </w:numPr>
      </w:pPr>
      <w:r w:rsidRPr="00AC6AED">
        <w:t xml:space="preserve">Aggregate </w:t>
      </w:r>
      <w:r w:rsidRPr="00AC6AED">
        <w:rPr>
          <w:i/>
          <w:iCs/>
        </w:rPr>
        <w:t>pre</w:t>
      </w:r>
      <w:r w:rsidRPr="00AC6AED">
        <w:rPr>
          <w:i/>
          <w:iCs/>
        </w:rPr>
        <w:noBreakHyphen/>
        <w:t>open/close imbalance</w:t>
      </w:r>
      <w:r w:rsidRPr="00AC6AED">
        <w:t xml:space="preserve"> to anticipate auction cross price pressure and liquidity movement.</w:t>
      </w:r>
    </w:p>
    <w:p w14:paraId="6D5F7D0B" w14:textId="77777777" w:rsidR="00AC6AED" w:rsidRPr="00AC6AED" w:rsidRDefault="00AC6AED" w:rsidP="00AC6AED">
      <w:r w:rsidRPr="00AC6AED">
        <w:t>(In practice, tick</w:t>
      </w:r>
      <w:r w:rsidRPr="00AC6AED">
        <w:noBreakHyphen/>
        <w:t>level data feeds such as auction imbalance or consolidated LOB event data are used to derive these signals, though specific new publicly documented datasets were not found in the current search.)</w:t>
      </w:r>
    </w:p>
    <w:p w14:paraId="034CEF35" w14:textId="77777777" w:rsidR="00AC6AED" w:rsidRPr="00AC6AED" w:rsidRDefault="00AC6AED" w:rsidP="00AC6AED">
      <w:r w:rsidRPr="00AC6AED">
        <w:pict w14:anchorId="7E210595">
          <v:rect id="_x0000_i1050" style="width:0;height:1.5pt" o:hralign="center" o:hrstd="t" o:hr="t" fillcolor="#a0a0a0" stroked="f"/>
        </w:pict>
      </w:r>
    </w:p>
    <w:p w14:paraId="3981806C" w14:textId="77777777" w:rsidR="00AC6AED" w:rsidRPr="00AC6AED" w:rsidRDefault="00AC6AED" w:rsidP="00AC6AED">
      <w:pPr>
        <w:rPr>
          <w:b/>
          <w:bCs/>
        </w:rPr>
      </w:pPr>
      <w:r w:rsidRPr="00AC6AED">
        <w:rPr>
          <w:rFonts w:ascii="Segoe UI Emoji" w:hAnsi="Segoe UI Emoji" w:cs="Segoe UI Emoji"/>
          <w:b/>
          <w:bCs/>
        </w:rPr>
        <w:t>📉</w:t>
      </w:r>
      <w:r w:rsidRPr="00AC6AED">
        <w:rPr>
          <w:b/>
          <w:bCs/>
        </w:rPr>
        <w:t xml:space="preserve"> 5) Volatility Term Structure &amp; Market Regime Signals</w:t>
      </w:r>
    </w:p>
    <w:p w14:paraId="3828839B" w14:textId="77777777" w:rsidR="00AC6AED" w:rsidRPr="00AC6AED" w:rsidRDefault="00AC6AED" w:rsidP="00AC6AED">
      <w:pPr>
        <w:rPr>
          <w:b/>
          <w:bCs/>
        </w:rPr>
      </w:pPr>
      <w:r w:rsidRPr="00AC6AED">
        <w:rPr>
          <w:b/>
          <w:bCs/>
        </w:rPr>
        <w:t>Term Structure &amp; Rough Volatility Links</w:t>
      </w:r>
    </w:p>
    <w:p w14:paraId="054DB006" w14:textId="77777777" w:rsidR="00AC6AED" w:rsidRPr="00AC6AED" w:rsidRDefault="00AC6AED" w:rsidP="00AC6AED">
      <w:r w:rsidRPr="00AC6AED">
        <w:t xml:space="preserve">While not specific to catalysts, recent </w:t>
      </w:r>
      <w:r w:rsidRPr="00AC6AED">
        <w:rPr>
          <w:i/>
          <w:iCs/>
        </w:rPr>
        <w:t>unifying frameworks</w:t>
      </w:r>
      <w:r w:rsidRPr="00AC6AED">
        <w:t xml:space="preserve"> connect </w:t>
      </w:r>
      <w:r w:rsidRPr="00AC6AED">
        <w:rPr>
          <w:b/>
          <w:bCs/>
        </w:rPr>
        <w:t>volatility, order imbalance, and market impact theories</w:t>
      </w:r>
      <w:r w:rsidRPr="00AC6AED">
        <w:t xml:space="preserve"> to underlying price formation, implying that </w:t>
      </w:r>
      <w:r w:rsidRPr="00AC6AED">
        <w:rPr>
          <w:i/>
          <w:iCs/>
        </w:rPr>
        <w:t>market structure variables (orders, imbalance) feed directly into volatility term structure behavior</w:t>
      </w:r>
      <w:r w:rsidRPr="00AC6AED">
        <w:t>. (</w:t>
      </w:r>
      <w:hyperlink r:id="rId103" w:tooltip="The Subtle Interplay between Square-root Impact, Order Imbalance \&amp; Volatility: A Unifying Framework" w:history="1">
        <w:r w:rsidRPr="00AC6AED">
          <w:rPr>
            <w:rStyle w:val="Hyperlink"/>
          </w:rPr>
          <w:t>arXiv</w:t>
        </w:r>
      </w:hyperlink>
      <w:r w:rsidRPr="00AC6AED">
        <w:t>)</w:t>
      </w:r>
    </w:p>
    <w:p w14:paraId="10667A13" w14:textId="77777777" w:rsidR="00AC6AED" w:rsidRPr="00AC6AED" w:rsidRDefault="00AC6AED" w:rsidP="00AC6AED">
      <w:r w:rsidRPr="00AC6AED">
        <w:rPr>
          <w:b/>
          <w:bCs/>
        </w:rPr>
        <w:t>Actionable signal</w:t>
      </w:r>
    </w:p>
    <w:p w14:paraId="4665DE9A" w14:textId="77777777" w:rsidR="00AC6AED" w:rsidRPr="00AC6AED" w:rsidRDefault="00AC6AED" w:rsidP="00AC6AED">
      <w:pPr>
        <w:numPr>
          <w:ilvl w:val="0"/>
          <w:numId w:val="46"/>
        </w:numPr>
      </w:pPr>
      <w:r w:rsidRPr="00AC6AED">
        <w:rPr>
          <w:b/>
          <w:bCs/>
        </w:rPr>
        <w:lastRenderedPageBreak/>
        <w:t>Order imbalance dynamics tied to volatility term shifts:</w:t>
      </w:r>
      <w:r w:rsidRPr="00AC6AED">
        <w:t xml:space="preserve"> monitoring how short vs long implied vol spreads adjust with imbalance can signal event risk repricing.</w:t>
      </w:r>
    </w:p>
    <w:p w14:paraId="4D19A086" w14:textId="77777777" w:rsidR="00AC6AED" w:rsidRPr="00AC6AED" w:rsidRDefault="00AC6AED" w:rsidP="00AC6AED">
      <w:r w:rsidRPr="00AC6AED">
        <w:pict w14:anchorId="53E02328">
          <v:rect id="_x0000_i1051" style="width:0;height:1.5pt" o:hralign="center" o:hrstd="t" o:hr="t" fillcolor="#a0a0a0" stroked="f"/>
        </w:pict>
      </w:r>
    </w:p>
    <w:p w14:paraId="6B3001B4" w14:textId="77777777" w:rsidR="00AC6AED" w:rsidRPr="00AC6AED" w:rsidRDefault="00AC6AED" w:rsidP="00AC6AED">
      <w:pPr>
        <w:rPr>
          <w:b/>
          <w:bCs/>
        </w:rPr>
      </w:pPr>
      <w:r w:rsidRPr="00AC6AED">
        <w:rPr>
          <w:rFonts w:ascii="Segoe UI Emoji" w:hAnsi="Segoe UI Emoji" w:cs="Segoe UI Emoji"/>
          <w:b/>
          <w:bCs/>
        </w:rPr>
        <w:t>📌</w:t>
      </w:r>
      <w:r w:rsidRPr="00AC6AED">
        <w:rPr>
          <w:b/>
          <w:bCs/>
        </w:rPr>
        <w:t xml:space="preserve"> Summary of Actionable Predictive Signals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10"/>
        <w:gridCol w:w="4456"/>
      </w:tblGrid>
      <w:tr w:rsidR="00AC6AED" w:rsidRPr="00AC6AED" w14:paraId="791DB964" w14:textId="77777777">
        <w:trPr>
          <w:tblHeader/>
          <w:tblCellSpacing w:w="15" w:type="dxa"/>
        </w:trPr>
        <w:tc>
          <w:tcPr>
            <w:tcW w:w="0" w:type="auto"/>
            <w:vAlign w:val="center"/>
            <w:hideMark/>
          </w:tcPr>
          <w:p w14:paraId="2BBE4C1B" w14:textId="77777777" w:rsidR="00AC6AED" w:rsidRPr="00AC6AED" w:rsidRDefault="00AC6AED" w:rsidP="00AC6AED">
            <w:pPr>
              <w:rPr>
                <w:b/>
                <w:bCs/>
              </w:rPr>
            </w:pPr>
            <w:r w:rsidRPr="00AC6AED">
              <w:rPr>
                <w:b/>
                <w:bCs/>
              </w:rPr>
              <w:t>Microstructure Area</w:t>
            </w:r>
          </w:p>
        </w:tc>
        <w:tc>
          <w:tcPr>
            <w:tcW w:w="0" w:type="auto"/>
            <w:vAlign w:val="center"/>
            <w:hideMark/>
          </w:tcPr>
          <w:p w14:paraId="3E7A6912" w14:textId="77777777" w:rsidR="00AC6AED" w:rsidRPr="00AC6AED" w:rsidRDefault="00AC6AED" w:rsidP="00AC6AED">
            <w:pPr>
              <w:rPr>
                <w:b/>
                <w:bCs/>
              </w:rPr>
            </w:pPr>
            <w:r w:rsidRPr="00AC6AED">
              <w:rPr>
                <w:b/>
                <w:bCs/>
              </w:rPr>
              <w:t>Predictive Signal</w:t>
            </w:r>
          </w:p>
        </w:tc>
      </w:tr>
      <w:tr w:rsidR="00AC6AED" w:rsidRPr="00AC6AED" w14:paraId="0630E011" w14:textId="77777777">
        <w:trPr>
          <w:tblCellSpacing w:w="15" w:type="dxa"/>
        </w:trPr>
        <w:tc>
          <w:tcPr>
            <w:tcW w:w="0" w:type="auto"/>
            <w:vAlign w:val="center"/>
            <w:hideMark/>
          </w:tcPr>
          <w:p w14:paraId="045E3A14" w14:textId="77777777" w:rsidR="00AC6AED" w:rsidRPr="00AC6AED" w:rsidRDefault="00AC6AED" w:rsidP="00AC6AED">
            <w:r w:rsidRPr="00AC6AED">
              <w:rPr>
                <w:b/>
                <w:bCs/>
              </w:rPr>
              <w:t>Order Flow / OFI</w:t>
            </w:r>
          </w:p>
        </w:tc>
        <w:tc>
          <w:tcPr>
            <w:tcW w:w="0" w:type="auto"/>
            <w:vAlign w:val="center"/>
            <w:hideMark/>
          </w:tcPr>
          <w:p w14:paraId="2DE6B169" w14:textId="77777777" w:rsidR="00AC6AED" w:rsidRPr="00AC6AED" w:rsidRDefault="00AC6AED" w:rsidP="00AC6AED">
            <w:r w:rsidRPr="00AC6AED">
              <w:t>Short</w:t>
            </w:r>
            <w:r w:rsidRPr="00AC6AED">
              <w:noBreakHyphen/>
              <w:t>interval OFI/MLOFI net pressure</w:t>
            </w:r>
          </w:p>
        </w:tc>
      </w:tr>
      <w:tr w:rsidR="00AC6AED" w:rsidRPr="00AC6AED" w14:paraId="0B8A529E" w14:textId="77777777">
        <w:trPr>
          <w:tblCellSpacing w:w="15" w:type="dxa"/>
        </w:trPr>
        <w:tc>
          <w:tcPr>
            <w:tcW w:w="0" w:type="auto"/>
            <w:vAlign w:val="center"/>
            <w:hideMark/>
          </w:tcPr>
          <w:p w14:paraId="1C109444" w14:textId="77777777" w:rsidR="00AC6AED" w:rsidRPr="00AC6AED" w:rsidRDefault="00AC6AED" w:rsidP="00AC6AED">
            <w:r w:rsidRPr="00AC6AED">
              <w:rPr>
                <w:b/>
                <w:bCs/>
              </w:rPr>
              <w:t>Dealer Gamma &amp; Options Flow</w:t>
            </w:r>
          </w:p>
        </w:tc>
        <w:tc>
          <w:tcPr>
            <w:tcW w:w="0" w:type="auto"/>
            <w:vAlign w:val="center"/>
            <w:hideMark/>
          </w:tcPr>
          <w:p w14:paraId="4314AEFF" w14:textId="77777777" w:rsidR="00AC6AED" w:rsidRPr="00AC6AED" w:rsidRDefault="00AC6AED" w:rsidP="00AC6AED">
            <w:r w:rsidRPr="00AC6AED">
              <w:t>Net gamma state, 0DTE concentration</w:t>
            </w:r>
          </w:p>
        </w:tc>
      </w:tr>
      <w:tr w:rsidR="00AC6AED" w:rsidRPr="00AC6AED" w14:paraId="7BC8ACD4" w14:textId="77777777">
        <w:trPr>
          <w:tblCellSpacing w:w="15" w:type="dxa"/>
        </w:trPr>
        <w:tc>
          <w:tcPr>
            <w:tcW w:w="0" w:type="auto"/>
            <w:vAlign w:val="center"/>
            <w:hideMark/>
          </w:tcPr>
          <w:p w14:paraId="5490330A" w14:textId="77777777" w:rsidR="00AC6AED" w:rsidRPr="00AC6AED" w:rsidRDefault="00AC6AED" w:rsidP="00AC6AED">
            <w:r w:rsidRPr="00AC6AED">
              <w:rPr>
                <w:b/>
                <w:bCs/>
              </w:rPr>
              <w:t>Liquidity Stress</w:t>
            </w:r>
          </w:p>
        </w:tc>
        <w:tc>
          <w:tcPr>
            <w:tcW w:w="0" w:type="auto"/>
            <w:vAlign w:val="center"/>
            <w:hideMark/>
          </w:tcPr>
          <w:p w14:paraId="3B02F6F3" w14:textId="77777777" w:rsidR="00AC6AED" w:rsidRPr="00AC6AED" w:rsidRDefault="00AC6AED" w:rsidP="00AC6AED">
            <w:r w:rsidRPr="00AC6AED">
              <w:t>ETF/book spread widening, depth thinning</w:t>
            </w:r>
          </w:p>
        </w:tc>
      </w:tr>
      <w:tr w:rsidR="00AC6AED" w:rsidRPr="00AC6AED" w14:paraId="5E1D830D" w14:textId="77777777">
        <w:trPr>
          <w:tblCellSpacing w:w="15" w:type="dxa"/>
        </w:trPr>
        <w:tc>
          <w:tcPr>
            <w:tcW w:w="0" w:type="auto"/>
            <w:vAlign w:val="center"/>
            <w:hideMark/>
          </w:tcPr>
          <w:p w14:paraId="5C9B3813" w14:textId="77777777" w:rsidR="00AC6AED" w:rsidRPr="00AC6AED" w:rsidRDefault="00AC6AED" w:rsidP="00AC6AED">
            <w:r w:rsidRPr="00AC6AED">
              <w:rPr>
                <w:b/>
                <w:bCs/>
              </w:rPr>
              <w:t>Information Leakage</w:t>
            </w:r>
          </w:p>
        </w:tc>
        <w:tc>
          <w:tcPr>
            <w:tcW w:w="0" w:type="auto"/>
            <w:vAlign w:val="center"/>
            <w:hideMark/>
          </w:tcPr>
          <w:p w14:paraId="49C322DE" w14:textId="77777777" w:rsidR="00AC6AED" w:rsidRPr="00AC6AED" w:rsidRDefault="00AC6AED" w:rsidP="00AC6AED">
            <w:r w:rsidRPr="00AC6AED">
              <w:t>Dark pool execution shifts by venue type</w:t>
            </w:r>
          </w:p>
        </w:tc>
      </w:tr>
      <w:tr w:rsidR="00AC6AED" w:rsidRPr="00AC6AED" w14:paraId="2EF16AA2" w14:textId="77777777">
        <w:trPr>
          <w:tblCellSpacing w:w="15" w:type="dxa"/>
        </w:trPr>
        <w:tc>
          <w:tcPr>
            <w:tcW w:w="0" w:type="auto"/>
            <w:vAlign w:val="center"/>
            <w:hideMark/>
          </w:tcPr>
          <w:p w14:paraId="2D3972D9" w14:textId="77777777" w:rsidR="00AC6AED" w:rsidRPr="00AC6AED" w:rsidRDefault="00AC6AED" w:rsidP="00AC6AED">
            <w:r w:rsidRPr="00AC6AED">
              <w:rPr>
                <w:b/>
                <w:bCs/>
              </w:rPr>
              <w:t>Limit Order Book Structure</w:t>
            </w:r>
          </w:p>
        </w:tc>
        <w:tc>
          <w:tcPr>
            <w:tcW w:w="0" w:type="auto"/>
            <w:vAlign w:val="center"/>
            <w:hideMark/>
          </w:tcPr>
          <w:p w14:paraId="0FF7C29B" w14:textId="77777777" w:rsidR="00AC6AED" w:rsidRPr="00AC6AED" w:rsidRDefault="00AC6AED" w:rsidP="00AC6AED">
            <w:r w:rsidRPr="00AC6AED">
              <w:t>Consensus/LOB slope volatility indicator</w:t>
            </w:r>
          </w:p>
        </w:tc>
      </w:tr>
      <w:tr w:rsidR="00AC6AED" w:rsidRPr="00AC6AED" w14:paraId="4DF8324E" w14:textId="77777777">
        <w:trPr>
          <w:tblCellSpacing w:w="15" w:type="dxa"/>
        </w:trPr>
        <w:tc>
          <w:tcPr>
            <w:tcW w:w="0" w:type="auto"/>
            <w:vAlign w:val="center"/>
            <w:hideMark/>
          </w:tcPr>
          <w:p w14:paraId="7E9496C6" w14:textId="77777777" w:rsidR="00AC6AED" w:rsidRPr="00AC6AED" w:rsidRDefault="00AC6AED" w:rsidP="00AC6AED">
            <w:r w:rsidRPr="00AC6AED">
              <w:rPr>
                <w:b/>
                <w:bCs/>
              </w:rPr>
              <w:t>Volatility Term Structure</w:t>
            </w:r>
          </w:p>
        </w:tc>
        <w:tc>
          <w:tcPr>
            <w:tcW w:w="0" w:type="auto"/>
            <w:vAlign w:val="center"/>
            <w:hideMark/>
          </w:tcPr>
          <w:p w14:paraId="2569268A" w14:textId="77777777" w:rsidR="00AC6AED" w:rsidRPr="00AC6AED" w:rsidRDefault="00AC6AED" w:rsidP="00AC6AED">
            <w:r w:rsidRPr="00AC6AED">
              <w:t>Imbalance</w:t>
            </w:r>
            <w:r w:rsidRPr="00AC6AED">
              <w:noBreakHyphen/>
              <w:t>linked shifts in implied VL skew</w:t>
            </w:r>
          </w:p>
        </w:tc>
      </w:tr>
    </w:tbl>
    <w:p w14:paraId="45AEC0B0" w14:textId="77777777" w:rsidR="00AC6AED" w:rsidRPr="00AC6AED" w:rsidRDefault="00AC6AED" w:rsidP="00AC6AED">
      <w:r w:rsidRPr="00AC6AED">
        <w:pict w14:anchorId="58B1A373">
          <v:rect id="_x0000_i1052" style="width:0;height:1.5pt" o:hralign="center" o:hrstd="t" o:hr="t" fillcolor="#a0a0a0" stroked="f"/>
        </w:pict>
      </w:r>
    </w:p>
    <w:p w14:paraId="5C22FE6C" w14:textId="77777777" w:rsidR="00AC6AED" w:rsidRPr="00AC6AED" w:rsidRDefault="00AC6AED" w:rsidP="00AC6AED">
      <w:pPr>
        <w:rPr>
          <w:b/>
          <w:bCs/>
        </w:rPr>
      </w:pPr>
      <w:r w:rsidRPr="00AC6AED">
        <w:rPr>
          <w:b/>
          <w:bCs/>
        </w:rPr>
        <w:t>Citations</w:t>
      </w:r>
    </w:p>
    <w:p w14:paraId="458750F2" w14:textId="77777777" w:rsidR="00AC6AED" w:rsidRPr="00AC6AED" w:rsidRDefault="00AC6AED" w:rsidP="00AC6AED">
      <w:pPr>
        <w:numPr>
          <w:ilvl w:val="0"/>
          <w:numId w:val="47"/>
        </w:numPr>
      </w:pPr>
      <w:r w:rsidRPr="00AC6AED">
        <w:t>OFI theory and variants. (</w:t>
      </w:r>
      <w:hyperlink r:id="rId104" w:tooltip="Order-Flow Imbalance (OFI)" w:history="1">
        <w:r w:rsidRPr="00AC6AED">
          <w:rPr>
            <w:rStyle w:val="Hyperlink"/>
          </w:rPr>
          <w:t>Emergent Mind</w:t>
        </w:r>
      </w:hyperlink>
      <w:r w:rsidRPr="00AC6AED">
        <w:t>)</w:t>
      </w:r>
    </w:p>
    <w:p w14:paraId="73393A57" w14:textId="77777777" w:rsidR="00AC6AED" w:rsidRPr="00AC6AED" w:rsidRDefault="00AC6AED" w:rsidP="00AC6AED">
      <w:pPr>
        <w:numPr>
          <w:ilvl w:val="0"/>
          <w:numId w:val="47"/>
        </w:numPr>
      </w:pPr>
      <w:r w:rsidRPr="00AC6AED">
        <w:t>Unified order flow &amp; volatility frameworks. (</w:t>
      </w:r>
      <w:hyperlink r:id="rId105" w:tooltip="A unified theory of order flow, market impact, and volatility 1" w:history="1">
        <w:r w:rsidRPr="00AC6AED">
          <w:rPr>
            <w:rStyle w:val="Hyperlink"/>
          </w:rPr>
          <w:t>arXiv</w:t>
        </w:r>
      </w:hyperlink>
      <w:r w:rsidRPr="00AC6AED">
        <w:t>)</w:t>
      </w:r>
    </w:p>
    <w:p w14:paraId="7580010E" w14:textId="77777777" w:rsidR="00AC6AED" w:rsidRPr="00AC6AED" w:rsidRDefault="00AC6AED" w:rsidP="00AC6AED">
      <w:pPr>
        <w:numPr>
          <w:ilvl w:val="0"/>
          <w:numId w:val="47"/>
        </w:numPr>
      </w:pPr>
      <w:r w:rsidRPr="00AC6AED">
        <w:t>0DTE and gamma hedging impacts. (</w:t>
      </w:r>
      <w:hyperlink r:id="rId106" w:tooltip="0DTE Options: The Hidden Driver Of Market Volatility" w:history="1">
        <w:r w:rsidRPr="00AC6AED">
          <w:rPr>
            <w:rStyle w:val="Hyperlink"/>
          </w:rPr>
          <w:t>EBC Financial Group</w:t>
        </w:r>
      </w:hyperlink>
      <w:r w:rsidRPr="00AC6AED">
        <w:t>)</w:t>
      </w:r>
    </w:p>
    <w:p w14:paraId="4AB57431" w14:textId="77777777" w:rsidR="00AC6AED" w:rsidRPr="00AC6AED" w:rsidRDefault="00AC6AED" w:rsidP="00AC6AED">
      <w:pPr>
        <w:numPr>
          <w:ilvl w:val="0"/>
          <w:numId w:val="47"/>
        </w:numPr>
      </w:pPr>
      <w:r w:rsidRPr="00AC6AED">
        <w:t>Dealer inventory risk &amp; option liquidity. (</w:t>
      </w:r>
      <w:hyperlink r:id="rId107" w:tooltip="Option Liquidity and Gamma Imbalances" w:history="1">
        <w:r w:rsidRPr="00AC6AED">
          <w:rPr>
            <w:rStyle w:val="Hyperlink"/>
          </w:rPr>
          <w:t>SSRN</w:t>
        </w:r>
      </w:hyperlink>
      <w:r w:rsidRPr="00AC6AED">
        <w:t>)</w:t>
      </w:r>
    </w:p>
    <w:p w14:paraId="2E374A41" w14:textId="77777777" w:rsidR="00AC6AED" w:rsidRPr="00AC6AED" w:rsidRDefault="00AC6AED" w:rsidP="00AC6AED">
      <w:pPr>
        <w:numPr>
          <w:ilvl w:val="0"/>
          <w:numId w:val="47"/>
        </w:numPr>
      </w:pPr>
      <w:r w:rsidRPr="00AC6AED">
        <w:t>Dark pools and information leakage differences. (</w:t>
      </w:r>
      <w:hyperlink r:id="rId108" w:tooltip="Differential access to dark markets and execution outcomes" w:history="1">
        <w:r w:rsidRPr="00AC6AED">
          <w:rPr>
            <w:rStyle w:val="Hyperlink"/>
          </w:rPr>
          <w:t>ScienceDirect</w:t>
        </w:r>
      </w:hyperlink>
      <w:r w:rsidRPr="00AC6AED">
        <w:t>)</w:t>
      </w:r>
    </w:p>
    <w:p w14:paraId="1A2859E9" w14:textId="77777777" w:rsidR="00AC6AED" w:rsidRPr="00AC6AED" w:rsidRDefault="00AC6AED" w:rsidP="00AC6AED">
      <w:pPr>
        <w:numPr>
          <w:ilvl w:val="0"/>
          <w:numId w:val="47"/>
        </w:numPr>
      </w:pPr>
      <w:r w:rsidRPr="00AC6AED">
        <w:t>Limit order book consensus &amp; volatility prediction. (</w:t>
      </w:r>
      <w:hyperlink r:id="rId109" w:tooltip="Informed trading, investor beliefs consensus and volatility" w:history="1">
        <w:r w:rsidRPr="00AC6AED">
          <w:rPr>
            <w:rStyle w:val="Hyperlink"/>
          </w:rPr>
          <w:t>ScienceDirect</w:t>
        </w:r>
      </w:hyperlink>
      <w:r w:rsidRPr="00AC6AED">
        <w:t>)</w:t>
      </w:r>
    </w:p>
    <w:p w14:paraId="190DFF43" w14:textId="77777777" w:rsidR="00AC6AED" w:rsidRPr="00AC6AED" w:rsidRDefault="00AC6AED" w:rsidP="00AC6AED">
      <w:r w:rsidRPr="00AC6AED">
        <w:pict w14:anchorId="31D85E87">
          <v:rect id="_x0000_i1053" style="width:0;height:1.5pt" o:hralign="center" o:hrstd="t" o:hr="t" fillcolor="#a0a0a0" stroked="f"/>
        </w:pict>
      </w:r>
    </w:p>
    <w:p w14:paraId="490668FC" w14:textId="77777777" w:rsidR="00AC6AED" w:rsidRPr="00AC6AED" w:rsidRDefault="00AC6AED" w:rsidP="00AC6AED">
      <w:r w:rsidRPr="00AC6AED">
        <w:t xml:space="preserve">If you need </w:t>
      </w:r>
      <w:r w:rsidRPr="00AC6AED">
        <w:rPr>
          <w:b/>
          <w:bCs/>
        </w:rPr>
        <w:t>specific code implementations</w:t>
      </w:r>
      <w:r w:rsidRPr="00AC6AED">
        <w:t xml:space="preserve"> for computing these predictive features (e.g., OFI, gamma state proxies, LOB slope) in Python or a framework for live analytics, I can provide those next.</w:t>
      </w:r>
    </w:p>
    <w:p w14:paraId="35C1E1D6" w14:textId="77777777" w:rsidR="00AC6AED" w:rsidRPr="00AC6AED" w:rsidRDefault="00AC6AED" w:rsidP="00AC6AED">
      <w:r w:rsidRPr="00AC6AED">
        <w:t xml:space="preserve">Here’s a </w:t>
      </w:r>
      <w:r w:rsidRPr="00AC6AED">
        <w:rPr>
          <w:b/>
          <w:bCs/>
        </w:rPr>
        <w:t>fresh, evidence</w:t>
      </w:r>
      <w:r w:rsidRPr="00AC6AED">
        <w:rPr>
          <w:b/>
          <w:bCs/>
        </w:rPr>
        <w:noBreakHyphen/>
        <w:t>based survey of recent methods, datasets, papers, tools, and practical signals</w:t>
      </w:r>
      <w:r w:rsidRPr="00AC6AED">
        <w:t xml:space="preserve"> that could </w:t>
      </w:r>
      <w:r w:rsidRPr="00AC6AED">
        <w:rPr>
          <w:i/>
          <w:iCs/>
        </w:rPr>
        <w:t>improve ODIN’s biotech catalyst prediction system</w:t>
      </w:r>
      <w:r w:rsidRPr="00AC6AED">
        <w:t xml:space="preserve"> — with a focus on </w:t>
      </w:r>
      <w:r w:rsidRPr="00AC6AED">
        <w:rPr>
          <w:b/>
          <w:bCs/>
        </w:rPr>
        <w:t xml:space="preserve">FDA/PDUFA/CRL forecasting, clinical readout outcomes, market reaction </w:t>
      </w:r>
      <w:r w:rsidRPr="00AC6AED">
        <w:rPr>
          <w:b/>
          <w:bCs/>
        </w:rPr>
        <w:lastRenderedPageBreak/>
        <w:t>modeling, calibration/uncertainty quantification, auxiliary data sources, and structural standards</w:t>
      </w:r>
      <w:r w:rsidRPr="00AC6AED">
        <w:t>.</w:t>
      </w:r>
    </w:p>
    <w:p w14:paraId="6A019566" w14:textId="77777777" w:rsidR="00AC6AED" w:rsidRPr="00AC6AED" w:rsidRDefault="00AC6AED" w:rsidP="00AC6AED">
      <w:r w:rsidRPr="00AC6AED">
        <w:pict w14:anchorId="1B16257A">
          <v:rect id="_x0000_i1054" style="width:0;height:1.5pt" o:hralign="center" o:hrstd="t" o:hr="t" fillcolor="#a0a0a0" stroked="f"/>
        </w:pict>
      </w:r>
    </w:p>
    <w:p w14:paraId="59CD4EE8" w14:textId="77777777" w:rsidR="00AC6AED" w:rsidRPr="00AC6AED" w:rsidRDefault="00AC6AED" w:rsidP="00AC6AED">
      <w:pPr>
        <w:rPr>
          <w:b/>
          <w:bCs/>
        </w:rPr>
      </w:pPr>
      <w:r w:rsidRPr="00AC6AED">
        <w:rPr>
          <w:rFonts w:ascii="Segoe UI Emoji" w:hAnsi="Segoe UI Emoji" w:cs="Segoe UI Emoji"/>
          <w:b/>
          <w:bCs/>
        </w:rPr>
        <w:t>📈</w:t>
      </w:r>
      <w:r w:rsidRPr="00AC6AED">
        <w:rPr>
          <w:b/>
          <w:bCs/>
        </w:rPr>
        <w:t xml:space="preserve"> 1) New &amp; High</w:t>
      </w:r>
      <w:r w:rsidRPr="00AC6AED">
        <w:rPr>
          <w:b/>
          <w:bCs/>
        </w:rPr>
        <w:noBreakHyphen/>
        <w:t>Value Datasets for Clinical &amp; Regulatory Outcome Modeling</w:t>
      </w:r>
    </w:p>
    <w:p w14:paraId="345906DA" w14:textId="77777777" w:rsidR="00AC6AED" w:rsidRPr="00AC6AED" w:rsidRDefault="00AC6AED" w:rsidP="00AC6AED">
      <w:pPr>
        <w:rPr>
          <w:b/>
          <w:bCs/>
        </w:rPr>
      </w:pPr>
      <w:r w:rsidRPr="00AC6AED">
        <w:rPr>
          <w:rFonts w:ascii="Segoe UI Emoji" w:hAnsi="Segoe UI Emoji" w:cs="Segoe UI Emoji"/>
          <w:b/>
          <w:bCs/>
        </w:rPr>
        <w:t>📊</w:t>
      </w:r>
      <w:r w:rsidRPr="00AC6AED">
        <w:rPr>
          <w:b/>
          <w:bCs/>
        </w:rPr>
        <w:t xml:space="preserve"> Clinical Trial Outcome (CTO) Knowledge Base</w:t>
      </w:r>
    </w:p>
    <w:p w14:paraId="5668BA9A" w14:textId="77777777" w:rsidR="00AC6AED" w:rsidRPr="00AC6AED" w:rsidRDefault="00AC6AED" w:rsidP="00AC6AED">
      <w:r w:rsidRPr="00AC6AED">
        <w:t>An open clinical trial outcome benchmark of ~125</w:t>
      </w:r>
      <w:r w:rsidRPr="00AC6AED">
        <w:rPr>
          <w:rFonts w:ascii="Arial" w:hAnsi="Arial" w:cs="Arial"/>
        </w:rPr>
        <w:t> </w:t>
      </w:r>
      <w:r w:rsidRPr="00AC6AED">
        <w:t xml:space="preserve">K drug/biologic trials with curated outcomes, matched phase transitions, sentiment from publications, and associated sponsor stock metrics. This supports </w:t>
      </w:r>
      <w:r w:rsidRPr="00AC6AED">
        <w:rPr>
          <w:i/>
          <w:iCs/>
        </w:rPr>
        <w:t>supervised outcome prediction and time</w:t>
      </w:r>
      <w:r w:rsidRPr="00AC6AED">
        <w:rPr>
          <w:i/>
          <w:iCs/>
        </w:rPr>
        <w:noBreakHyphen/>
        <w:t>aware modeling of clinical success</w:t>
      </w:r>
      <w:r w:rsidRPr="00AC6AED">
        <w:t>. (</w:t>
      </w:r>
      <w:hyperlink r:id="rId110" w:tooltip="Automatically Labeling $200B Life-Saving Datasets: A Large Clinical Trial Outcome Benchmark" w:history="1">
        <w:r w:rsidRPr="00AC6AED">
          <w:rPr>
            <w:rStyle w:val="Hyperlink"/>
          </w:rPr>
          <w:t>arXiv</w:t>
        </w:r>
      </w:hyperlink>
      <w:r w:rsidRPr="00AC6AED">
        <w:t>)</w:t>
      </w:r>
      <w:r w:rsidRPr="00AC6AED">
        <w:br/>
      </w:r>
      <w:r w:rsidRPr="00AC6AED">
        <w:rPr>
          <w:rFonts w:ascii="Segoe UI Emoji" w:hAnsi="Segoe UI Emoji" w:cs="Segoe UI Emoji"/>
        </w:rPr>
        <w:t>👉</w:t>
      </w:r>
      <w:r w:rsidRPr="00AC6AED">
        <w:t xml:space="preserve"> </w:t>
      </w:r>
      <w:r w:rsidRPr="00AC6AED">
        <w:rPr>
          <w:b/>
          <w:bCs/>
        </w:rPr>
        <w:t>Actionable:</w:t>
      </w:r>
      <w:r w:rsidRPr="00AC6AED">
        <w:t xml:space="preserve"> Use CTO to train and continually update clinical success probability models and to benchmark model calibration (e.g., Brier score and time</w:t>
      </w:r>
      <w:r w:rsidRPr="00AC6AED">
        <w:noBreakHyphen/>
        <w:t>split validation).</w:t>
      </w:r>
    </w:p>
    <w:p w14:paraId="0ACB84E2" w14:textId="77777777" w:rsidR="00AC6AED" w:rsidRPr="00AC6AED" w:rsidRDefault="00AC6AED" w:rsidP="00AC6AED">
      <w:pPr>
        <w:rPr>
          <w:b/>
          <w:bCs/>
        </w:rPr>
      </w:pPr>
      <w:r w:rsidRPr="00AC6AED">
        <w:rPr>
          <w:rFonts w:ascii="Segoe UI Emoji" w:hAnsi="Segoe UI Emoji" w:cs="Segoe UI Emoji"/>
          <w:b/>
          <w:bCs/>
        </w:rPr>
        <w:t>🧠</w:t>
      </w:r>
      <w:r w:rsidRPr="00AC6AED">
        <w:rPr>
          <w:b/>
          <w:bCs/>
        </w:rPr>
        <w:t xml:space="preserve"> TrialBench: Multi</w:t>
      </w:r>
      <w:r w:rsidRPr="00AC6AED">
        <w:rPr>
          <w:b/>
          <w:bCs/>
        </w:rPr>
        <w:noBreakHyphen/>
        <w:t>Modal Clinical Trial Datasets</w:t>
      </w:r>
    </w:p>
    <w:p w14:paraId="3CB58AE6" w14:textId="77777777" w:rsidR="00AC6AED" w:rsidRPr="00AC6AED" w:rsidRDefault="00AC6AED" w:rsidP="00AC6AED">
      <w:r w:rsidRPr="00AC6AED">
        <w:t xml:space="preserve">TrialBench provides </w:t>
      </w:r>
      <w:r w:rsidRPr="00AC6AED">
        <w:rPr>
          <w:b/>
          <w:bCs/>
        </w:rPr>
        <w:t>23 AI</w:t>
      </w:r>
      <w:r w:rsidRPr="00AC6AED">
        <w:rPr>
          <w:b/>
          <w:bCs/>
        </w:rPr>
        <w:noBreakHyphen/>
        <w:t>ready datasets</w:t>
      </w:r>
      <w:r w:rsidRPr="00AC6AED">
        <w:t xml:space="preserve"> linked to trial design tasks such as </w:t>
      </w:r>
      <w:r w:rsidRPr="00AC6AED">
        <w:rPr>
          <w:i/>
          <w:iCs/>
        </w:rPr>
        <w:t>duration forecasting, dropout, serious adverse events, all</w:t>
      </w:r>
      <w:r w:rsidRPr="00AC6AED">
        <w:rPr>
          <w:i/>
          <w:iCs/>
        </w:rPr>
        <w:noBreakHyphen/>
        <w:t>cause mortality, approval outcomes, and failure reasons</w:t>
      </w:r>
      <w:r w:rsidRPr="00AC6AED">
        <w:t>, integrating molecular features, disease codes, text descriptions, and numeric/categorical data. (</w:t>
      </w:r>
      <w:hyperlink r:id="rId111" w:tooltip="TrialBench: Multi-Modal AI-Ready Datasets for Clinical Trial ..." w:history="1">
        <w:r w:rsidRPr="00AC6AED">
          <w:rPr>
            <w:rStyle w:val="Hyperlink"/>
          </w:rPr>
          <w:t>PMC</w:t>
        </w:r>
      </w:hyperlink>
      <w:r w:rsidRPr="00AC6AED">
        <w:t>)</w:t>
      </w:r>
      <w:r w:rsidRPr="00AC6AED">
        <w:br/>
      </w:r>
      <w:r w:rsidRPr="00AC6AED">
        <w:rPr>
          <w:rFonts w:ascii="Segoe UI Emoji" w:hAnsi="Segoe UI Emoji" w:cs="Segoe UI Emoji"/>
        </w:rPr>
        <w:t>👉</w:t>
      </w:r>
      <w:r w:rsidRPr="00AC6AED">
        <w:t xml:space="preserve"> </w:t>
      </w:r>
      <w:r w:rsidRPr="00AC6AED">
        <w:rPr>
          <w:b/>
          <w:bCs/>
        </w:rPr>
        <w:t>Actionable:</w:t>
      </w:r>
      <w:r w:rsidRPr="00AC6AED">
        <w:t xml:space="preserve"> Use TrialBench to enhance multi</w:t>
      </w:r>
      <w:r w:rsidRPr="00AC6AED">
        <w:noBreakHyphen/>
        <w:t>task learning, enrich feature spaces beyond structured fields, and integrate multimodal predictors for regulatory and clinical outcome heads.</w:t>
      </w:r>
    </w:p>
    <w:p w14:paraId="1B9E6742" w14:textId="77777777" w:rsidR="00AC6AED" w:rsidRPr="00AC6AED" w:rsidRDefault="00AC6AED" w:rsidP="00AC6AED">
      <w:pPr>
        <w:rPr>
          <w:b/>
          <w:bCs/>
        </w:rPr>
      </w:pPr>
      <w:r w:rsidRPr="00AC6AED">
        <w:rPr>
          <w:rFonts w:ascii="Segoe UI Emoji" w:hAnsi="Segoe UI Emoji" w:cs="Segoe UI Emoji"/>
          <w:b/>
          <w:bCs/>
        </w:rPr>
        <w:t>📌</w:t>
      </w:r>
      <w:r w:rsidRPr="00AC6AED">
        <w:rPr>
          <w:b/>
          <w:bCs/>
        </w:rPr>
        <w:t xml:space="preserve"> CT</w:t>
      </w:r>
      <w:r w:rsidRPr="00AC6AED">
        <w:rPr>
          <w:b/>
          <w:bCs/>
        </w:rPr>
        <w:noBreakHyphen/>
        <w:t>ADE: Adverse Drug Event Prediction Benchmark</w:t>
      </w:r>
    </w:p>
    <w:p w14:paraId="26EC1051" w14:textId="77777777" w:rsidR="00AC6AED" w:rsidRPr="00AC6AED" w:rsidRDefault="00AC6AED" w:rsidP="00AC6AED">
      <w:r w:rsidRPr="00AC6AED">
        <w:t>CT</w:t>
      </w:r>
      <w:r w:rsidRPr="00AC6AED">
        <w:noBreakHyphen/>
        <w:t>ADE is a high</w:t>
      </w:r>
      <w:r w:rsidRPr="00AC6AED">
        <w:noBreakHyphen/>
        <w:t xml:space="preserve">resolution benchmark of ~169K drug–ADE pairs standardized across MedDRA, enabling </w:t>
      </w:r>
      <w:r w:rsidRPr="00AC6AED">
        <w:rPr>
          <w:i/>
          <w:iCs/>
        </w:rPr>
        <w:t>multilabel modeling of safety signals</w:t>
      </w:r>
      <w:r w:rsidRPr="00AC6AED">
        <w:t xml:space="preserve"> that often drive regulatory decisions and clinical readouts. (</w:t>
      </w:r>
      <w:hyperlink r:id="rId112" w:tooltip="CT-ADE: An Evaluation Benchmark for Adverse Drug Event Prediction from Clinical Trial Results" w:history="1">
        <w:r w:rsidRPr="00AC6AED">
          <w:rPr>
            <w:rStyle w:val="Hyperlink"/>
          </w:rPr>
          <w:t>arXiv</w:t>
        </w:r>
      </w:hyperlink>
      <w:r w:rsidRPr="00AC6AED">
        <w:t>)</w:t>
      </w:r>
      <w:r w:rsidRPr="00AC6AED">
        <w:br/>
      </w:r>
      <w:r w:rsidRPr="00AC6AED">
        <w:rPr>
          <w:rFonts w:ascii="Segoe UI Emoji" w:hAnsi="Segoe UI Emoji" w:cs="Segoe UI Emoji"/>
        </w:rPr>
        <w:t>👉</w:t>
      </w:r>
      <w:r w:rsidRPr="00AC6AED">
        <w:t xml:space="preserve"> </w:t>
      </w:r>
      <w:r w:rsidRPr="00AC6AED">
        <w:rPr>
          <w:b/>
          <w:bCs/>
        </w:rPr>
        <w:t>Actionable:</w:t>
      </w:r>
      <w:r w:rsidRPr="00AC6AED">
        <w:t xml:space="preserve"> Use CT</w:t>
      </w:r>
      <w:r w:rsidRPr="00AC6AED">
        <w:noBreakHyphen/>
        <w:t>ADE features as safety risk indices feeding into both clinical outcome and regulatory failure probability estimators.</w:t>
      </w:r>
    </w:p>
    <w:p w14:paraId="493AB5E3" w14:textId="77777777" w:rsidR="00AC6AED" w:rsidRPr="00AC6AED" w:rsidRDefault="00AC6AED" w:rsidP="00AC6AED">
      <w:r w:rsidRPr="00AC6AED">
        <w:pict w14:anchorId="3BA870FE">
          <v:rect id="_x0000_i1055" style="width:0;height:1.5pt" o:hralign="center" o:hrstd="t" o:hr="t" fillcolor="#a0a0a0" stroked="f"/>
        </w:pict>
      </w:r>
    </w:p>
    <w:p w14:paraId="6C60A3B9" w14:textId="77777777" w:rsidR="00AC6AED" w:rsidRPr="00AC6AED" w:rsidRDefault="00AC6AED" w:rsidP="00AC6AED">
      <w:pPr>
        <w:rPr>
          <w:b/>
          <w:bCs/>
        </w:rPr>
      </w:pPr>
      <w:r w:rsidRPr="00AC6AED">
        <w:rPr>
          <w:rFonts w:ascii="Segoe UI Emoji" w:hAnsi="Segoe UI Emoji" w:cs="Segoe UI Emoji"/>
          <w:b/>
          <w:bCs/>
        </w:rPr>
        <w:t>🤖</w:t>
      </w:r>
      <w:r w:rsidRPr="00AC6AED">
        <w:rPr>
          <w:b/>
          <w:bCs/>
        </w:rPr>
        <w:t xml:space="preserve"> 2) Methods &amp; Models to Improve Predictive Accuracy &amp; Calibration</w:t>
      </w:r>
    </w:p>
    <w:p w14:paraId="5275DD60" w14:textId="77777777" w:rsidR="00AC6AED" w:rsidRPr="00AC6AED" w:rsidRDefault="00AC6AED" w:rsidP="00AC6AED">
      <w:pPr>
        <w:rPr>
          <w:b/>
          <w:bCs/>
        </w:rPr>
      </w:pPr>
      <w:r w:rsidRPr="00AC6AED">
        <w:rPr>
          <w:rFonts w:ascii="Segoe UI Emoji" w:hAnsi="Segoe UI Emoji" w:cs="Segoe UI Emoji"/>
          <w:b/>
          <w:bCs/>
        </w:rPr>
        <w:t>📉</w:t>
      </w:r>
      <w:r w:rsidRPr="00AC6AED">
        <w:rPr>
          <w:b/>
          <w:bCs/>
        </w:rPr>
        <w:t xml:space="preserve"> Machine Learning for Market Reaction Prediction</w:t>
      </w:r>
    </w:p>
    <w:p w14:paraId="0EBA9EBE" w14:textId="77777777" w:rsidR="00AC6AED" w:rsidRPr="00AC6AED" w:rsidRDefault="00AC6AED" w:rsidP="00AC6AED">
      <w:r w:rsidRPr="00AC6AED">
        <w:t xml:space="preserve">A study published in </w:t>
      </w:r>
      <w:r w:rsidRPr="00AC6AED">
        <w:rPr>
          <w:i/>
          <w:iCs/>
        </w:rPr>
        <w:t>Scientific Reports</w:t>
      </w:r>
      <w:r w:rsidRPr="00AC6AED">
        <w:t xml:space="preserve"> applied a </w:t>
      </w:r>
      <w:r w:rsidRPr="00AC6AED">
        <w:rPr>
          <w:b/>
          <w:bCs/>
        </w:rPr>
        <w:t>multi</w:t>
      </w:r>
      <w:r w:rsidRPr="00AC6AED">
        <w:rPr>
          <w:b/>
          <w:bCs/>
        </w:rPr>
        <w:noBreakHyphen/>
        <w:t>model ML pipeline</w:t>
      </w:r>
      <w:r w:rsidRPr="00AC6AED">
        <w:t xml:space="preserve"> incorporating BERT sentiment extraction, temporal forecasting (TFT), and graph convolution networks to </w:t>
      </w:r>
      <w:r w:rsidRPr="00AC6AED">
        <w:rPr>
          <w:i/>
          <w:iCs/>
        </w:rPr>
        <w:t>predict stock price change</w:t>
      </w:r>
      <w:r w:rsidRPr="00AC6AED">
        <w:t xml:space="preserve"> tied to clinical announcements — transitioning from </w:t>
      </w:r>
      <w:r w:rsidRPr="00AC6AED">
        <w:lastRenderedPageBreak/>
        <w:t>retrospective analysis to predictive paradigms. (</w:t>
      </w:r>
      <w:hyperlink r:id="rId113" w:tooltip="New drugs and stock market: a machine learning ..." w:history="1">
        <w:r w:rsidRPr="00AC6AED">
          <w:rPr>
            <w:rStyle w:val="Hyperlink"/>
          </w:rPr>
          <w:t>PubMed</w:t>
        </w:r>
      </w:hyperlink>
      <w:r w:rsidRPr="00AC6AED">
        <w:t>)</w:t>
      </w:r>
      <w:r w:rsidRPr="00AC6AED">
        <w:br/>
      </w:r>
      <w:r w:rsidRPr="00AC6AED">
        <w:rPr>
          <w:rFonts w:ascii="Segoe UI Emoji" w:hAnsi="Segoe UI Emoji" w:cs="Segoe UI Emoji"/>
        </w:rPr>
        <w:t>👉</w:t>
      </w:r>
      <w:r w:rsidRPr="00AC6AED">
        <w:t xml:space="preserve"> </w:t>
      </w:r>
      <w:r w:rsidRPr="00AC6AED">
        <w:rPr>
          <w:b/>
          <w:bCs/>
        </w:rPr>
        <w:t>Actionable:</w:t>
      </w:r>
      <w:r w:rsidRPr="00AC6AED">
        <w:t xml:space="preserve"> Use sentiment features and event context coupled with temporal models for </w:t>
      </w:r>
      <w:r w:rsidRPr="00AC6AED">
        <w:rPr>
          <w:i/>
          <w:iCs/>
        </w:rPr>
        <w:t>expected return forecasting</w:t>
      </w:r>
      <w:r w:rsidRPr="00AC6AED">
        <w:t xml:space="preserve"> around catalyst events.</w:t>
      </w:r>
    </w:p>
    <w:p w14:paraId="2868A3F6" w14:textId="77777777" w:rsidR="00AC6AED" w:rsidRPr="00AC6AED" w:rsidRDefault="00AC6AED" w:rsidP="00AC6AED">
      <w:pPr>
        <w:rPr>
          <w:b/>
          <w:bCs/>
        </w:rPr>
      </w:pPr>
      <w:r w:rsidRPr="00AC6AED">
        <w:rPr>
          <w:rFonts w:ascii="Segoe UI Emoji" w:hAnsi="Segoe UI Emoji" w:cs="Segoe UI Emoji"/>
          <w:b/>
          <w:bCs/>
        </w:rPr>
        <w:t>🧠</w:t>
      </w:r>
      <w:r w:rsidRPr="00AC6AED">
        <w:rPr>
          <w:b/>
          <w:bCs/>
        </w:rPr>
        <w:t xml:space="preserve"> Uncertainty Quantification &amp; Interpretability in Trial Outcome Modeling</w:t>
      </w:r>
    </w:p>
    <w:p w14:paraId="5166CC0A" w14:textId="77777777" w:rsidR="00AC6AED" w:rsidRPr="00AC6AED" w:rsidRDefault="00AC6AED" w:rsidP="00AC6AED">
      <w:r w:rsidRPr="00AC6AED">
        <w:t xml:space="preserve">A clinical outcomes research paper developed methods to quantify uncertainty in trial approval predictions and improve interpretability by integrating </w:t>
      </w:r>
      <w:r w:rsidRPr="00AC6AED">
        <w:rPr>
          <w:i/>
          <w:iCs/>
        </w:rPr>
        <w:t>selective classifiers with hierarchical interaction networks</w:t>
      </w:r>
      <w:r w:rsidRPr="00AC6AED">
        <w:t>. (</w:t>
      </w:r>
      <w:hyperlink r:id="rId114" w:tooltip="Uncertainty Quantification and Interpretability for Clinical ..." w:history="1">
        <w:r w:rsidRPr="00AC6AED">
          <w:rPr>
            <w:rStyle w:val="Hyperlink"/>
          </w:rPr>
          <w:t>PMC</w:t>
        </w:r>
      </w:hyperlink>
      <w:r w:rsidRPr="00AC6AED">
        <w:t>)</w:t>
      </w:r>
      <w:r w:rsidRPr="00AC6AED">
        <w:br/>
      </w:r>
      <w:r w:rsidRPr="00AC6AED">
        <w:rPr>
          <w:rFonts w:ascii="Segoe UI Emoji" w:hAnsi="Segoe UI Emoji" w:cs="Segoe UI Emoji"/>
        </w:rPr>
        <w:t>👉</w:t>
      </w:r>
      <w:r w:rsidRPr="00AC6AED">
        <w:t xml:space="preserve"> </w:t>
      </w:r>
      <w:r w:rsidRPr="00AC6AED">
        <w:rPr>
          <w:b/>
          <w:bCs/>
        </w:rPr>
        <w:t>Actionable:</w:t>
      </w:r>
      <w:r w:rsidRPr="00AC6AED">
        <w:t xml:space="preserve"> Adopt uncertainty quantification frameworks (e.g., selective classification) to improve </w:t>
      </w:r>
      <w:r w:rsidRPr="00AC6AED">
        <w:rPr>
          <w:i/>
          <w:iCs/>
        </w:rPr>
        <w:t>Brier score and reliability</w:t>
      </w:r>
      <w:r w:rsidRPr="00AC6AED">
        <w:t xml:space="preserve"> of probability outputs.</w:t>
      </w:r>
    </w:p>
    <w:p w14:paraId="6FAE73E5" w14:textId="77777777" w:rsidR="00AC6AED" w:rsidRPr="00AC6AED" w:rsidRDefault="00AC6AED" w:rsidP="00AC6AED">
      <w:pPr>
        <w:rPr>
          <w:b/>
          <w:bCs/>
        </w:rPr>
      </w:pPr>
      <w:r w:rsidRPr="00AC6AED">
        <w:rPr>
          <w:rFonts w:ascii="Segoe UI Emoji" w:hAnsi="Segoe UI Emoji" w:cs="Segoe UI Emoji"/>
          <w:b/>
          <w:bCs/>
        </w:rPr>
        <w:t>📊</w:t>
      </w:r>
      <w:r w:rsidRPr="00AC6AED">
        <w:rPr>
          <w:b/>
          <w:bCs/>
        </w:rPr>
        <w:t xml:space="preserve"> AI for Probability Estimation Across Trial Phases</w:t>
      </w:r>
    </w:p>
    <w:p w14:paraId="12A11759" w14:textId="77777777" w:rsidR="00AC6AED" w:rsidRPr="00AC6AED" w:rsidRDefault="00AC6AED" w:rsidP="00AC6AED">
      <w:r w:rsidRPr="00AC6AED">
        <w:t xml:space="preserve">Practical industry discussions highlight AI’s evolving role in </w:t>
      </w:r>
      <w:r w:rsidRPr="00AC6AED">
        <w:rPr>
          <w:i/>
          <w:iCs/>
        </w:rPr>
        <w:t>predicting probabilities of technical and regulatory success across trial phases</w:t>
      </w:r>
      <w:r w:rsidRPr="00AC6AED">
        <w:t>, often termed PTRS, combining operational and clinical features. (</w:t>
      </w:r>
      <w:hyperlink r:id="rId115" w:tooltip="How AI Can Accelerate Clinical Trials' Probabilities Of ..." w:history="1">
        <w:r w:rsidRPr="00AC6AED">
          <w:rPr>
            <w:rStyle w:val="Hyperlink"/>
          </w:rPr>
          <w:t>Clinical Leader</w:t>
        </w:r>
      </w:hyperlink>
      <w:r w:rsidRPr="00AC6AED">
        <w:t>)</w:t>
      </w:r>
      <w:r w:rsidRPr="00AC6AED">
        <w:br/>
      </w:r>
      <w:r w:rsidRPr="00AC6AED">
        <w:rPr>
          <w:rFonts w:ascii="Segoe UI Emoji" w:hAnsi="Segoe UI Emoji" w:cs="Segoe UI Emoji"/>
        </w:rPr>
        <w:t>👉</w:t>
      </w:r>
      <w:r w:rsidRPr="00AC6AED">
        <w:t xml:space="preserve"> </w:t>
      </w:r>
      <w:r w:rsidRPr="00AC6AED">
        <w:rPr>
          <w:b/>
          <w:bCs/>
        </w:rPr>
        <w:t>Actionable:</w:t>
      </w:r>
      <w:r w:rsidRPr="00AC6AED">
        <w:t xml:space="preserve"> Integrate phase</w:t>
      </w:r>
      <w:r w:rsidRPr="00AC6AED">
        <w:noBreakHyphen/>
        <w:t>specific probability heads informed by machine learning and domain features to refine predictions of PDUFA/CRL outcomes.</w:t>
      </w:r>
    </w:p>
    <w:p w14:paraId="49096E40" w14:textId="77777777" w:rsidR="00AC6AED" w:rsidRPr="00AC6AED" w:rsidRDefault="00AC6AED" w:rsidP="00AC6AED">
      <w:r w:rsidRPr="00AC6AED">
        <w:pict w14:anchorId="4803988A">
          <v:rect id="_x0000_i1056" style="width:0;height:1.5pt" o:hralign="center" o:hrstd="t" o:hr="t" fillcolor="#a0a0a0" stroked="f"/>
        </w:pict>
      </w:r>
    </w:p>
    <w:p w14:paraId="09D75A94" w14:textId="77777777" w:rsidR="00AC6AED" w:rsidRPr="00AC6AED" w:rsidRDefault="00AC6AED" w:rsidP="00AC6AED">
      <w:pPr>
        <w:rPr>
          <w:b/>
          <w:bCs/>
        </w:rPr>
      </w:pPr>
      <w:r w:rsidRPr="00AC6AED">
        <w:rPr>
          <w:rFonts w:ascii="Segoe UI Emoji" w:hAnsi="Segoe UI Emoji" w:cs="Segoe UI Emoji"/>
          <w:b/>
          <w:bCs/>
        </w:rPr>
        <w:t>⚖️</w:t>
      </w:r>
      <w:r w:rsidRPr="00AC6AED">
        <w:rPr>
          <w:b/>
          <w:bCs/>
        </w:rPr>
        <w:t xml:space="preserve"> 3) Regulatory &amp; Industry Signals for AI</w:t>
      </w:r>
      <w:r w:rsidRPr="00AC6AED">
        <w:rPr>
          <w:b/>
          <w:bCs/>
        </w:rPr>
        <w:noBreakHyphen/>
        <w:t>Driven Prediction</w:t>
      </w:r>
    </w:p>
    <w:p w14:paraId="25BAA4A0" w14:textId="77777777" w:rsidR="00AC6AED" w:rsidRPr="00AC6AED" w:rsidRDefault="00AC6AED" w:rsidP="00AC6AED">
      <w:pPr>
        <w:rPr>
          <w:b/>
          <w:bCs/>
        </w:rPr>
      </w:pPr>
      <w:r w:rsidRPr="00AC6AED">
        <w:rPr>
          <w:rFonts w:ascii="Segoe UI Emoji" w:hAnsi="Segoe UI Emoji" w:cs="Segoe UI Emoji"/>
          <w:b/>
          <w:bCs/>
        </w:rPr>
        <w:t>🔎</w:t>
      </w:r>
      <w:r w:rsidRPr="00AC6AED">
        <w:rPr>
          <w:b/>
          <w:bCs/>
        </w:rPr>
        <w:t xml:space="preserve"> FDA AI Guidance — 7</w:t>
      </w:r>
      <w:r w:rsidRPr="00AC6AED">
        <w:rPr>
          <w:b/>
          <w:bCs/>
        </w:rPr>
        <w:noBreakHyphen/>
        <w:t>Step Credibility Framework</w:t>
      </w:r>
    </w:p>
    <w:p w14:paraId="044A6532" w14:textId="77777777" w:rsidR="00AC6AED" w:rsidRPr="00AC6AED" w:rsidRDefault="00AC6AED" w:rsidP="00AC6AED">
      <w:r w:rsidRPr="00AC6AED">
        <w:t>FDA’s draft guidance on using AI to support regulatory decision</w:t>
      </w:r>
      <w:r w:rsidRPr="00AC6AED">
        <w:noBreakHyphen/>
        <w:t xml:space="preserve">making emphasizes a structured </w:t>
      </w:r>
      <w:r w:rsidRPr="00AC6AED">
        <w:rPr>
          <w:i/>
          <w:iCs/>
        </w:rPr>
        <w:t>7</w:t>
      </w:r>
      <w:r w:rsidRPr="00AC6AED">
        <w:rPr>
          <w:i/>
          <w:iCs/>
        </w:rPr>
        <w:noBreakHyphen/>
        <w:t>step credibility assessment</w:t>
      </w:r>
      <w:r w:rsidRPr="00AC6AED">
        <w:t xml:space="preserve"> (defining context of use, model risk, validation, documentation). (</w:t>
      </w:r>
      <w:hyperlink r:id="rId116" w:tooltip="FDA's AI Guidance: 7-Step Credibility Framework Explained" w:history="1">
        <w:r w:rsidRPr="00AC6AED">
          <w:rPr>
            <w:rStyle w:val="Hyperlink"/>
          </w:rPr>
          <w:t>IntuitionLabs</w:t>
        </w:r>
      </w:hyperlink>
      <w:r w:rsidRPr="00AC6AED">
        <w:t>)</w:t>
      </w:r>
      <w:r w:rsidRPr="00AC6AED">
        <w:br/>
      </w:r>
      <w:r w:rsidRPr="00AC6AED">
        <w:rPr>
          <w:rFonts w:ascii="Segoe UI Emoji" w:hAnsi="Segoe UI Emoji" w:cs="Segoe UI Emoji"/>
        </w:rPr>
        <w:t>👉</w:t>
      </w:r>
      <w:r w:rsidRPr="00AC6AED">
        <w:t xml:space="preserve"> </w:t>
      </w:r>
      <w:r w:rsidRPr="00AC6AED">
        <w:rPr>
          <w:b/>
          <w:bCs/>
        </w:rPr>
        <w:t>Actionable:</w:t>
      </w:r>
      <w:r w:rsidRPr="00AC6AED">
        <w:t xml:space="preserve"> Align ODIN’s model validation and uncertainty documentation with this framework to ensure credible outputs that resonate with regulatory risk considerations.</w:t>
      </w:r>
    </w:p>
    <w:p w14:paraId="3518E530" w14:textId="77777777" w:rsidR="00AC6AED" w:rsidRPr="00AC6AED" w:rsidRDefault="00AC6AED" w:rsidP="00AC6AED">
      <w:pPr>
        <w:rPr>
          <w:b/>
          <w:bCs/>
        </w:rPr>
      </w:pPr>
      <w:r w:rsidRPr="00AC6AED">
        <w:rPr>
          <w:rFonts w:ascii="Segoe UI Emoji" w:hAnsi="Segoe UI Emoji" w:cs="Segoe UI Emoji"/>
          <w:b/>
          <w:bCs/>
        </w:rPr>
        <w:t>📊</w:t>
      </w:r>
      <w:r w:rsidRPr="00AC6AED">
        <w:rPr>
          <w:b/>
          <w:bCs/>
        </w:rPr>
        <w:t xml:space="preserve"> FDA Recognition of AI in Drug Development</w:t>
      </w:r>
    </w:p>
    <w:p w14:paraId="171D3ADB" w14:textId="77777777" w:rsidR="00AC6AED" w:rsidRPr="00AC6AED" w:rsidRDefault="00AC6AED" w:rsidP="00AC6AED">
      <w:r w:rsidRPr="00AC6AED">
        <w:t xml:space="preserve">FDA acknowledges rising use of AI across </w:t>
      </w:r>
      <w:r w:rsidRPr="00AC6AED">
        <w:rPr>
          <w:i/>
          <w:iCs/>
        </w:rPr>
        <w:t>development lifecycle, real</w:t>
      </w:r>
      <w:r w:rsidRPr="00AC6AED">
        <w:rPr>
          <w:i/>
          <w:iCs/>
        </w:rPr>
        <w:noBreakHyphen/>
        <w:t>world data analytics, and regulatory submission processes</w:t>
      </w:r>
      <w:r w:rsidRPr="00AC6AED">
        <w:t>, including clinical and manufacturing phases. (</w:t>
      </w:r>
      <w:hyperlink r:id="rId117" w:tooltip="Artificial Intelligence for Drug Development" w:history="1">
        <w:r w:rsidRPr="00AC6AED">
          <w:rPr>
            <w:rStyle w:val="Hyperlink"/>
          </w:rPr>
          <w:t>U.S. Food and Drug Administration</w:t>
        </w:r>
      </w:hyperlink>
      <w:r w:rsidRPr="00AC6AED">
        <w:t>)</w:t>
      </w:r>
      <w:r w:rsidRPr="00AC6AED">
        <w:br/>
      </w:r>
      <w:r w:rsidRPr="00AC6AED">
        <w:rPr>
          <w:rFonts w:ascii="Segoe UI Emoji" w:hAnsi="Segoe UI Emoji" w:cs="Segoe UI Emoji"/>
        </w:rPr>
        <w:t>👉</w:t>
      </w:r>
      <w:r w:rsidRPr="00AC6AED">
        <w:t xml:space="preserve"> </w:t>
      </w:r>
      <w:r w:rsidRPr="00AC6AED">
        <w:rPr>
          <w:b/>
          <w:bCs/>
        </w:rPr>
        <w:t>Actionable:</w:t>
      </w:r>
      <w:r w:rsidRPr="00AC6AED">
        <w:t xml:space="preserve"> Use insights from regulatory AI adoption to </w:t>
      </w:r>
      <w:r w:rsidRPr="00AC6AED">
        <w:rPr>
          <w:i/>
          <w:iCs/>
        </w:rPr>
        <w:t>identify features and regulatory proxies</w:t>
      </w:r>
      <w:r w:rsidRPr="00AC6AED">
        <w:t xml:space="preserve"> that may influence approval/CRL probabilities (e.g., real</w:t>
      </w:r>
      <w:r w:rsidRPr="00AC6AED">
        <w:noBreakHyphen/>
        <w:t>world evidence integration).</w:t>
      </w:r>
    </w:p>
    <w:p w14:paraId="5767A3EC" w14:textId="77777777" w:rsidR="00AC6AED" w:rsidRPr="00AC6AED" w:rsidRDefault="00AC6AED" w:rsidP="00AC6AED">
      <w:r w:rsidRPr="00AC6AED">
        <w:pict w14:anchorId="4CFFBEEC">
          <v:rect id="_x0000_i1057" style="width:0;height:1.5pt" o:hralign="center" o:hrstd="t" o:hr="t" fillcolor="#a0a0a0" stroked="f"/>
        </w:pict>
      </w:r>
    </w:p>
    <w:p w14:paraId="3E086FB3" w14:textId="77777777" w:rsidR="00AC6AED" w:rsidRPr="00AC6AED" w:rsidRDefault="00AC6AED" w:rsidP="00AC6AED">
      <w:pPr>
        <w:rPr>
          <w:b/>
          <w:bCs/>
        </w:rPr>
      </w:pPr>
      <w:r w:rsidRPr="00AC6AED">
        <w:rPr>
          <w:rFonts w:ascii="Segoe UI Emoji" w:hAnsi="Segoe UI Emoji" w:cs="Segoe UI Emoji"/>
          <w:b/>
          <w:bCs/>
        </w:rPr>
        <w:lastRenderedPageBreak/>
        <w:t>📅</w:t>
      </w:r>
      <w:r w:rsidRPr="00AC6AED">
        <w:rPr>
          <w:b/>
          <w:bCs/>
        </w:rPr>
        <w:t xml:space="preserve"> 4) Practical Signals &amp; Catalyst Tracking Tools</w:t>
      </w:r>
    </w:p>
    <w:p w14:paraId="64B1ED22" w14:textId="77777777" w:rsidR="00AC6AED" w:rsidRPr="00AC6AED" w:rsidRDefault="00AC6AED" w:rsidP="00AC6AED">
      <w:pPr>
        <w:rPr>
          <w:b/>
          <w:bCs/>
        </w:rPr>
      </w:pPr>
      <w:r w:rsidRPr="00AC6AED">
        <w:rPr>
          <w:rFonts w:ascii="Segoe UI Symbol" w:hAnsi="Segoe UI Symbol" w:cs="Segoe UI Symbol"/>
          <w:b/>
          <w:bCs/>
        </w:rPr>
        <w:t>🗓</w:t>
      </w:r>
      <w:r w:rsidRPr="00AC6AED">
        <w:rPr>
          <w:b/>
          <w:bCs/>
        </w:rPr>
        <w:t xml:space="preserve"> Biotech Catalyst Calendars</w:t>
      </w:r>
    </w:p>
    <w:p w14:paraId="18E319A8" w14:textId="77777777" w:rsidR="00AC6AED" w:rsidRPr="00AC6AED" w:rsidRDefault="00AC6AED" w:rsidP="00AC6AED">
      <w:pPr>
        <w:numPr>
          <w:ilvl w:val="0"/>
          <w:numId w:val="48"/>
        </w:numPr>
      </w:pPr>
      <w:r w:rsidRPr="00AC6AED">
        <w:rPr>
          <w:b/>
          <w:bCs/>
        </w:rPr>
        <w:t>CatalystAlert</w:t>
      </w:r>
      <w:r w:rsidRPr="00AC6AED">
        <w:t xml:space="preserve"> provides a biotech event calendar with </w:t>
      </w:r>
      <w:r w:rsidRPr="00AC6AED">
        <w:rPr>
          <w:i/>
          <w:iCs/>
        </w:rPr>
        <w:t>AI</w:t>
      </w:r>
      <w:r w:rsidRPr="00AC6AED">
        <w:rPr>
          <w:i/>
          <w:iCs/>
        </w:rPr>
        <w:noBreakHyphen/>
        <w:t>powered predictions</w:t>
      </w:r>
      <w:r w:rsidRPr="00AC6AED">
        <w:t xml:space="preserve"> for FDA decisions, PDUFA dates, and clinical readouts. (</w:t>
      </w:r>
      <w:hyperlink r:id="rId118" w:tooltip="CatalystAlert - Free Biotech Catalyst Calendar with AI ..." w:history="1">
        <w:r w:rsidRPr="00AC6AED">
          <w:rPr>
            <w:rStyle w:val="Hyperlink"/>
          </w:rPr>
          <w:t>CatalystAlert</w:t>
        </w:r>
      </w:hyperlink>
      <w:r w:rsidRPr="00AC6AED">
        <w:t>)</w:t>
      </w:r>
    </w:p>
    <w:p w14:paraId="5B5BEF83" w14:textId="77777777" w:rsidR="00AC6AED" w:rsidRPr="00AC6AED" w:rsidRDefault="00AC6AED" w:rsidP="00AC6AED">
      <w:pPr>
        <w:numPr>
          <w:ilvl w:val="0"/>
          <w:numId w:val="48"/>
        </w:numPr>
      </w:pPr>
      <w:r w:rsidRPr="00AC6AED">
        <w:rPr>
          <w:b/>
          <w:bCs/>
        </w:rPr>
        <w:t>Biotech FDA Catalyst Database (BPIQ)</w:t>
      </w:r>
      <w:r w:rsidRPr="00AC6AED">
        <w:t xml:space="preserve"> lists chronological clinical and regulatory events that can influence stock movement. (</w:t>
      </w:r>
      <w:hyperlink r:id="rId119" w:tooltip="Biotech FDA Catalyst Database | FDA Catalyst Calendar ..." w:history="1">
        <w:r w:rsidRPr="00AC6AED">
          <w:rPr>
            <w:rStyle w:val="Hyperlink"/>
          </w:rPr>
          <w:t>BPIQ</w:t>
        </w:r>
      </w:hyperlink>
      <w:r w:rsidRPr="00AC6AED">
        <w:t>)</w:t>
      </w:r>
      <w:r w:rsidRPr="00AC6AED">
        <w:br/>
      </w:r>
      <w:r w:rsidRPr="00AC6AED">
        <w:rPr>
          <w:rFonts w:ascii="Segoe UI Emoji" w:hAnsi="Segoe UI Emoji" w:cs="Segoe UI Emoji"/>
        </w:rPr>
        <w:t>👉</w:t>
      </w:r>
      <w:r w:rsidRPr="00AC6AED">
        <w:t xml:space="preserve"> </w:t>
      </w:r>
      <w:r w:rsidRPr="00AC6AED">
        <w:rPr>
          <w:b/>
          <w:bCs/>
        </w:rPr>
        <w:t>Actionable:</w:t>
      </w:r>
      <w:r w:rsidRPr="00AC6AED">
        <w:t xml:space="preserve"> Incorporate these chronological event indices into time</w:t>
      </w:r>
      <w:r w:rsidRPr="00AC6AED">
        <w:noBreakHyphen/>
        <w:t xml:space="preserve">series models to handle regime switching and </w:t>
      </w:r>
      <w:r w:rsidRPr="00AC6AED">
        <w:rPr>
          <w:i/>
          <w:iCs/>
        </w:rPr>
        <w:t>time</w:t>
      </w:r>
      <w:r w:rsidRPr="00AC6AED">
        <w:rPr>
          <w:i/>
          <w:iCs/>
        </w:rPr>
        <w:noBreakHyphen/>
        <w:t>to</w:t>
      </w:r>
      <w:r w:rsidRPr="00AC6AED">
        <w:rPr>
          <w:i/>
          <w:iCs/>
        </w:rPr>
        <w:noBreakHyphen/>
        <w:t>event forecasting</w:t>
      </w:r>
      <w:r w:rsidRPr="00AC6AED">
        <w:t>.</w:t>
      </w:r>
    </w:p>
    <w:p w14:paraId="7100583E" w14:textId="77777777" w:rsidR="00AC6AED" w:rsidRPr="00AC6AED" w:rsidRDefault="00AC6AED" w:rsidP="00AC6AED">
      <w:r w:rsidRPr="00AC6AED">
        <w:pict w14:anchorId="0A4C46F1">
          <v:rect id="_x0000_i1058" style="width:0;height:1.5pt" o:hralign="center" o:hrstd="t" o:hr="t" fillcolor="#a0a0a0" stroked="f"/>
        </w:pict>
      </w:r>
    </w:p>
    <w:p w14:paraId="354632B1" w14:textId="77777777" w:rsidR="00AC6AED" w:rsidRPr="00AC6AED" w:rsidRDefault="00AC6AED" w:rsidP="00AC6AED">
      <w:pPr>
        <w:rPr>
          <w:b/>
          <w:bCs/>
        </w:rPr>
      </w:pPr>
      <w:r w:rsidRPr="00AC6AED">
        <w:rPr>
          <w:rFonts w:ascii="Segoe UI Emoji" w:hAnsi="Segoe UI Emoji" w:cs="Segoe UI Emoji"/>
          <w:b/>
          <w:bCs/>
        </w:rPr>
        <w:t>🛠️</w:t>
      </w:r>
      <w:r w:rsidRPr="00AC6AED">
        <w:rPr>
          <w:b/>
          <w:bCs/>
        </w:rPr>
        <w:t xml:space="preserve"> 5) Auxiliary Data Sources &amp; Standards to Enhance Models</w:t>
      </w:r>
    </w:p>
    <w:p w14:paraId="611386FE" w14:textId="77777777" w:rsidR="00AC6AED" w:rsidRPr="00AC6AED" w:rsidRDefault="00AC6AED" w:rsidP="00AC6AED">
      <w:pPr>
        <w:rPr>
          <w:b/>
          <w:bCs/>
        </w:rPr>
      </w:pPr>
      <w:r w:rsidRPr="00AC6AED">
        <w:rPr>
          <w:rFonts w:ascii="Segoe UI Emoji" w:hAnsi="Segoe UI Emoji" w:cs="Segoe UI Emoji"/>
          <w:b/>
          <w:bCs/>
        </w:rPr>
        <w:t>📊</w:t>
      </w:r>
      <w:r w:rsidRPr="00AC6AED">
        <w:rPr>
          <w:b/>
          <w:bCs/>
        </w:rPr>
        <w:t xml:space="preserve"> Sentinel Common Data Model (CDM)</w:t>
      </w:r>
    </w:p>
    <w:p w14:paraId="452E9E2F" w14:textId="77777777" w:rsidR="00AC6AED" w:rsidRPr="00AC6AED" w:rsidRDefault="00AC6AED" w:rsidP="00AC6AED">
      <w:r w:rsidRPr="00AC6AED">
        <w:t>CDM standardizes healthcare data from EHRs, claims, and registries into a common structure suitable for large</w:t>
      </w:r>
      <w:r w:rsidRPr="00AC6AED">
        <w:noBreakHyphen/>
        <w:t>scale safety and effectiveness studies, which can inform safety risk modeling. (</w:t>
      </w:r>
      <w:hyperlink r:id="rId120" w:tooltip="Sentinel Common Data Model" w:history="1">
        <w:r w:rsidRPr="00AC6AED">
          <w:rPr>
            <w:rStyle w:val="Hyperlink"/>
          </w:rPr>
          <w:t>Wikipedia</w:t>
        </w:r>
      </w:hyperlink>
      <w:r w:rsidRPr="00AC6AED">
        <w:t>)</w:t>
      </w:r>
      <w:r w:rsidRPr="00AC6AED">
        <w:br/>
      </w:r>
      <w:r w:rsidRPr="00AC6AED">
        <w:rPr>
          <w:rFonts w:ascii="Segoe UI Emoji" w:hAnsi="Segoe UI Emoji" w:cs="Segoe UI Emoji"/>
        </w:rPr>
        <w:t>👉</w:t>
      </w:r>
      <w:r w:rsidRPr="00AC6AED">
        <w:t xml:space="preserve"> </w:t>
      </w:r>
      <w:r w:rsidRPr="00AC6AED">
        <w:rPr>
          <w:b/>
          <w:bCs/>
        </w:rPr>
        <w:t>Actionable:</w:t>
      </w:r>
      <w:r w:rsidRPr="00AC6AED">
        <w:t xml:space="preserve"> Use CDM</w:t>
      </w:r>
      <w:r w:rsidRPr="00AC6AED">
        <w:noBreakHyphen/>
        <w:t>structured real</w:t>
      </w:r>
      <w:r w:rsidRPr="00AC6AED">
        <w:noBreakHyphen/>
        <w:t xml:space="preserve">world data to </w:t>
      </w:r>
      <w:r w:rsidRPr="00AC6AED">
        <w:rPr>
          <w:i/>
          <w:iCs/>
        </w:rPr>
        <w:t>augment safety signal predictions</w:t>
      </w:r>
      <w:r w:rsidRPr="00AC6AED">
        <w:t xml:space="preserve"> and support adverse event</w:t>
      </w:r>
      <w:r w:rsidRPr="00AC6AED">
        <w:noBreakHyphen/>
        <w:t>linked regulatory risk predictors.</w:t>
      </w:r>
    </w:p>
    <w:p w14:paraId="287737BC" w14:textId="77777777" w:rsidR="00AC6AED" w:rsidRPr="00AC6AED" w:rsidRDefault="00AC6AED" w:rsidP="00AC6AED">
      <w:pPr>
        <w:rPr>
          <w:b/>
          <w:bCs/>
        </w:rPr>
      </w:pPr>
      <w:r w:rsidRPr="00AC6AED">
        <w:rPr>
          <w:rFonts w:ascii="Segoe UI Emoji" w:hAnsi="Segoe UI Emoji" w:cs="Segoe UI Emoji"/>
          <w:b/>
          <w:bCs/>
        </w:rPr>
        <w:t>📊</w:t>
      </w:r>
      <w:r w:rsidRPr="00AC6AED">
        <w:rPr>
          <w:b/>
          <w:bCs/>
        </w:rPr>
        <w:t xml:space="preserve"> Clinical Data Interchange Standards Consortium (CDISC)</w:t>
      </w:r>
    </w:p>
    <w:p w14:paraId="00A1E5CB" w14:textId="77777777" w:rsidR="00AC6AED" w:rsidRPr="00AC6AED" w:rsidRDefault="00AC6AED" w:rsidP="00AC6AED">
      <w:r w:rsidRPr="00AC6AED">
        <w:t>CDISC provides standards required for FDA submissions, improving data interoperability and consistency from protocol design to results reporting. (</w:t>
      </w:r>
      <w:hyperlink r:id="rId121" w:tooltip="Clinical Data Interchange Standards Consortium" w:history="1">
        <w:r w:rsidRPr="00AC6AED">
          <w:rPr>
            <w:rStyle w:val="Hyperlink"/>
          </w:rPr>
          <w:t>Wikipedia</w:t>
        </w:r>
      </w:hyperlink>
      <w:r w:rsidRPr="00AC6AED">
        <w:t>)</w:t>
      </w:r>
      <w:r w:rsidRPr="00AC6AED">
        <w:br/>
      </w:r>
      <w:r w:rsidRPr="00AC6AED">
        <w:rPr>
          <w:rFonts w:ascii="Segoe UI Emoji" w:hAnsi="Segoe UI Emoji" w:cs="Segoe UI Emoji"/>
        </w:rPr>
        <w:t>👉</w:t>
      </w:r>
      <w:r w:rsidRPr="00AC6AED">
        <w:t xml:space="preserve"> </w:t>
      </w:r>
      <w:r w:rsidRPr="00AC6AED">
        <w:rPr>
          <w:b/>
          <w:bCs/>
        </w:rPr>
        <w:t>Actionable:</w:t>
      </w:r>
      <w:r w:rsidRPr="00AC6AED">
        <w:t xml:space="preserve"> Harmonize internal data pipelines on CDISC formats to reduce preprocessing variability and </w:t>
      </w:r>
      <w:r w:rsidRPr="00AC6AED">
        <w:rPr>
          <w:i/>
          <w:iCs/>
        </w:rPr>
        <w:t>improve model calibration and generalization</w:t>
      </w:r>
      <w:r w:rsidRPr="00AC6AED">
        <w:t>.</w:t>
      </w:r>
    </w:p>
    <w:p w14:paraId="5DF93C97" w14:textId="77777777" w:rsidR="00AC6AED" w:rsidRPr="00AC6AED" w:rsidRDefault="00AC6AED" w:rsidP="00AC6AED">
      <w:pPr>
        <w:rPr>
          <w:b/>
          <w:bCs/>
        </w:rPr>
      </w:pPr>
      <w:r w:rsidRPr="00AC6AED">
        <w:rPr>
          <w:rFonts w:ascii="Segoe UI Emoji" w:hAnsi="Segoe UI Emoji" w:cs="Segoe UI Emoji"/>
          <w:b/>
          <w:bCs/>
        </w:rPr>
        <w:t>🧬</w:t>
      </w:r>
      <w:r w:rsidRPr="00AC6AED">
        <w:rPr>
          <w:b/>
          <w:bCs/>
        </w:rPr>
        <w:t xml:space="preserve"> Multi</w:t>
      </w:r>
      <w:r w:rsidRPr="00AC6AED">
        <w:rPr>
          <w:b/>
          <w:bCs/>
        </w:rPr>
        <w:noBreakHyphen/>
        <w:t>Omics &amp; Biomarker Integration via AI</w:t>
      </w:r>
    </w:p>
    <w:p w14:paraId="3D964E44" w14:textId="77777777" w:rsidR="00AC6AED" w:rsidRPr="00AC6AED" w:rsidRDefault="00AC6AED" w:rsidP="00AC6AED">
      <w:r w:rsidRPr="00AC6AED">
        <w:t>Real</w:t>
      </w:r>
      <w:r w:rsidRPr="00AC6AED">
        <w:noBreakHyphen/>
        <w:t xml:space="preserve">world and research blogs highlight how multimodal AI combining genomic, proteomic, and clinical data can identify biomarkers linked to </w:t>
      </w:r>
      <w:r w:rsidRPr="00AC6AED">
        <w:rPr>
          <w:i/>
          <w:iCs/>
        </w:rPr>
        <w:t>efficacy and adverse outcomes</w:t>
      </w:r>
      <w:r w:rsidRPr="00AC6AED">
        <w:t>, potentially predicting clinical success early. (</w:t>
      </w:r>
      <w:hyperlink r:id="rId122" w:tooltip="AI in Biotech: Benefits, Real-World Applications &amp; Use Cases" w:history="1">
        <w:r w:rsidRPr="00AC6AED">
          <w:rPr>
            <w:rStyle w:val="Hyperlink"/>
          </w:rPr>
          <w:t>Clarifai</w:t>
        </w:r>
      </w:hyperlink>
      <w:r w:rsidRPr="00AC6AED">
        <w:t>)</w:t>
      </w:r>
      <w:r w:rsidRPr="00AC6AED">
        <w:br/>
      </w:r>
      <w:r w:rsidRPr="00AC6AED">
        <w:rPr>
          <w:rFonts w:ascii="Segoe UI Emoji" w:hAnsi="Segoe UI Emoji" w:cs="Segoe UI Emoji"/>
        </w:rPr>
        <w:t>👉</w:t>
      </w:r>
      <w:r w:rsidRPr="00AC6AED">
        <w:t xml:space="preserve"> </w:t>
      </w:r>
      <w:r w:rsidRPr="00AC6AED">
        <w:rPr>
          <w:b/>
          <w:bCs/>
        </w:rPr>
        <w:t>Actionable:</w:t>
      </w:r>
      <w:r w:rsidRPr="00AC6AED">
        <w:t xml:space="preserve"> Integrate multi</w:t>
      </w:r>
      <w:r w:rsidRPr="00AC6AED">
        <w:noBreakHyphen/>
        <w:t>omics derived signals into clinical outcome prediction features to capture deeper disease and response patterns.</w:t>
      </w:r>
    </w:p>
    <w:p w14:paraId="4A454ABD" w14:textId="77777777" w:rsidR="00AC6AED" w:rsidRPr="00AC6AED" w:rsidRDefault="00AC6AED" w:rsidP="00AC6AED">
      <w:r w:rsidRPr="00AC6AED">
        <w:pict w14:anchorId="2B4A51E9">
          <v:rect id="_x0000_i1059" style="width:0;height:1.5pt" o:hralign="center" o:hrstd="t" o:hr="t" fillcolor="#a0a0a0" stroked="f"/>
        </w:pict>
      </w:r>
    </w:p>
    <w:p w14:paraId="5F510BCD" w14:textId="77777777" w:rsidR="00AC6AED" w:rsidRPr="00AC6AED" w:rsidRDefault="00AC6AED" w:rsidP="00AC6AED">
      <w:pPr>
        <w:rPr>
          <w:b/>
          <w:bCs/>
        </w:rPr>
      </w:pPr>
      <w:r w:rsidRPr="00AC6AED">
        <w:rPr>
          <w:rFonts w:ascii="Segoe UI Emoji" w:hAnsi="Segoe UI Emoji" w:cs="Segoe UI Emoji"/>
          <w:b/>
          <w:bCs/>
        </w:rPr>
        <w:t>📌</w:t>
      </w:r>
      <w:r w:rsidRPr="00AC6AED">
        <w:rPr>
          <w:b/>
          <w:bCs/>
        </w:rPr>
        <w:t xml:space="preserve"> Key Actionable Takeaways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6"/>
        <w:gridCol w:w="3861"/>
        <w:gridCol w:w="3333"/>
      </w:tblGrid>
      <w:tr w:rsidR="00AC6AED" w:rsidRPr="00AC6AED" w14:paraId="2FB85BEA" w14:textId="77777777">
        <w:trPr>
          <w:tblHeader/>
          <w:tblCellSpacing w:w="15" w:type="dxa"/>
        </w:trPr>
        <w:tc>
          <w:tcPr>
            <w:tcW w:w="0" w:type="auto"/>
            <w:vAlign w:val="center"/>
            <w:hideMark/>
          </w:tcPr>
          <w:p w14:paraId="433E9AD4" w14:textId="77777777" w:rsidR="00AC6AED" w:rsidRPr="00AC6AED" w:rsidRDefault="00AC6AED" w:rsidP="00AC6AED">
            <w:pPr>
              <w:rPr>
                <w:b/>
                <w:bCs/>
              </w:rPr>
            </w:pPr>
            <w:r w:rsidRPr="00AC6AED">
              <w:rPr>
                <w:b/>
                <w:bCs/>
              </w:rPr>
              <w:lastRenderedPageBreak/>
              <w:t>Area</w:t>
            </w:r>
          </w:p>
        </w:tc>
        <w:tc>
          <w:tcPr>
            <w:tcW w:w="0" w:type="auto"/>
            <w:vAlign w:val="center"/>
            <w:hideMark/>
          </w:tcPr>
          <w:p w14:paraId="53C68B4F" w14:textId="77777777" w:rsidR="00AC6AED" w:rsidRPr="00AC6AED" w:rsidRDefault="00AC6AED" w:rsidP="00AC6AED">
            <w:pPr>
              <w:rPr>
                <w:b/>
                <w:bCs/>
              </w:rPr>
            </w:pPr>
            <w:r w:rsidRPr="00AC6AED">
              <w:rPr>
                <w:b/>
                <w:bCs/>
              </w:rPr>
              <w:t>Insight / Resource</w:t>
            </w:r>
          </w:p>
        </w:tc>
        <w:tc>
          <w:tcPr>
            <w:tcW w:w="0" w:type="auto"/>
            <w:vAlign w:val="center"/>
            <w:hideMark/>
          </w:tcPr>
          <w:p w14:paraId="02DB3CCE" w14:textId="77777777" w:rsidR="00AC6AED" w:rsidRPr="00AC6AED" w:rsidRDefault="00AC6AED" w:rsidP="00AC6AED">
            <w:pPr>
              <w:rPr>
                <w:b/>
                <w:bCs/>
              </w:rPr>
            </w:pPr>
            <w:r w:rsidRPr="00AC6AED">
              <w:rPr>
                <w:b/>
                <w:bCs/>
              </w:rPr>
              <w:t>Actionable Use</w:t>
            </w:r>
          </w:p>
        </w:tc>
      </w:tr>
      <w:tr w:rsidR="00AC6AED" w:rsidRPr="00AC6AED" w14:paraId="20218EA3" w14:textId="77777777">
        <w:trPr>
          <w:tblCellSpacing w:w="15" w:type="dxa"/>
        </w:trPr>
        <w:tc>
          <w:tcPr>
            <w:tcW w:w="0" w:type="auto"/>
            <w:vAlign w:val="center"/>
            <w:hideMark/>
          </w:tcPr>
          <w:p w14:paraId="4EAAF8E0" w14:textId="77777777" w:rsidR="00AC6AED" w:rsidRPr="00AC6AED" w:rsidRDefault="00AC6AED" w:rsidP="00AC6AED">
            <w:r w:rsidRPr="00AC6AED">
              <w:rPr>
                <w:b/>
                <w:bCs/>
              </w:rPr>
              <w:t>Clinical Outcomes</w:t>
            </w:r>
          </w:p>
        </w:tc>
        <w:tc>
          <w:tcPr>
            <w:tcW w:w="0" w:type="auto"/>
            <w:vAlign w:val="center"/>
            <w:hideMark/>
          </w:tcPr>
          <w:p w14:paraId="101A8431" w14:textId="77777777" w:rsidR="00AC6AED" w:rsidRPr="00AC6AED" w:rsidRDefault="00AC6AED" w:rsidP="00AC6AED">
            <w:r w:rsidRPr="00AC6AED">
              <w:t>CTO benchmark (~125K trials) (</w:t>
            </w:r>
            <w:hyperlink r:id="rId123" w:tooltip="Automatically Labeling $200B Life-Saving Datasets: A Large Clinical Trial Outcome Benchmark" w:history="1">
              <w:r w:rsidRPr="00AC6AED">
                <w:rPr>
                  <w:rStyle w:val="Hyperlink"/>
                </w:rPr>
                <w:t>arXiv</w:t>
              </w:r>
            </w:hyperlink>
            <w:r w:rsidRPr="00AC6AED">
              <w:t>)</w:t>
            </w:r>
          </w:p>
        </w:tc>
        <w:tc>
          <w:tcPr>
            <w:tcW w:w="0" w:type="auto"/>
            <w:vAlign w:val="center"/>
            <w:hideMark/>
          </w:tcPr>
          <w:p w14:paraId="644E04F8" w14:textId="77777777" w:rsidR="00AC6AED" w:rsidRPr="00AC6AED" w:rsidRDefault="00AC6AED" w:rsidP="00AC6AED">
            <w:r w:rsidRPr="00AC6AED">
              <w:t>Train/calibrate outcome probability models</w:t>
            </w:r>
          </w:p>
        </w:tc>
      </w:tr>
      <w:tr w:rsidR="00AC6AED" w:rsidRPr="00AC6AED" w14:paraId="08A74AB4" w14:textId="77777777">
        <w:trPr>
          <w:tblCellSpacing w:w="15" w:type="dxa"/>
        </w:trPr>
        <w:tc>
          <w:tcPr>
            <w:tcW w:w="0" w:type="auto"/>
            <w:vAlign w:val="center"/>
            <w:hideMark/>
          </w:tcPr>
          <w:p w14:paraId="4269D64F" w14:textId="77777777" w:rsidR="00AC6AED" w:rsidRPr="00AC6AED" w:rsidRDefault="00AC6AED" w:rsidP="00AC6AED">
            <w:r w:rsidRPr="00AC6AED">
              <w:rPr>
                <w:b/>
                <w:bCs/>
              </w:rPr>
              <w:t>Multi</w:t>
            </w:r>
            <w:r w:rsidRPr="00AC6AED">
              <w:rPr>
                <w:b/>
                <w:bCs/>
              </w:rPr>
              <w:noBreakHyphen/>
              <w:t>Task Data</w:t>
            </w:r>
          </w:p>
        </w:tc>
        <w:tc>
          <w:tcPr>
            <w:tcW w:w="0" w:type="auto"/>
            <w:vAlign w:val="center"/>
            <w:hideMark/>
          </w:tcPr>
          <w:p w14:paraId="714F7F65" w14:textId="77777777" w:rsidR="00AC6AED" w:rsidRPr="00AC6AED" w:rsidRDefault="00AC6AED" w:rsidP="00AC6AED">
            <w:r w:rsidRPr="00AC6AED">
              <w:t>TrialBench AI</w:t>
            </w:r>
            <w:r w:rsidRPr="00AC6AED">
              <w:noBreakHyphen/>
              <w:t>ready datasets (</w:t>
            </w:r>
            <w:hyperlink r:id="rId124" w:tooltip="TrialBench: Multi-Modal AI-Ready Datasets for Clinical Trial ..." w:history="1">
              <w:r w:rsidRPr="00AC6AED">
                <w:rPr>
                  <w:rStyle w:val="Hyperlink"/>
                </w:rPr>
                <w:t>PMC</w:t>
              </w:r>
            </w:hyperlink>
            <w:r w:rsidRPr="00AC6AED">
              <w:t>)</w:t>
            </w:r>
          </w:p>
        </w:tc>
        <w:tc>
          <w:tcPr>
            <w:tcW w:w="0" w:type="auto"/>
            <w:vAlign w:val="center"/>
            <w:hideMark/>
          </w:tcPr>
          <w:p w14:paraId="11D738B6" w14:textId="77777777" w:rsidR="00AC6AED" w:rsidRPr="00AC6AED" w:rsidRDefault="00AC6AED" w:rsidP="00AC6AED">
            <w:r w:rsidRPr="00AC6AED">
              <w:t>Multi</w:t>
            </w:r>
            <w:r w:rsidRPr="00AC6AED">
              <w:noBreakHyphen/>
              <w:t>task learning across trial features</w:t>
            </w:r>
          </w:p>
        </w:tc>
      </w:tr>
      <w:tr w:rsidR="00AC6AED" w:rsidRPr="00AC6AED" w14:paraId="5FF4ADD8" w14:textId="77777777">
        <w:trPr>
          <w:tblCellSpacing w:w="15" w:type="dxa"/>
        </w:trPr>
        <w:tc>
          <w:tcPr>
            <w:tcW w:w="0" w:type="auto"/>
            <w:vAlign w:val="center"/>
            <w:hideMark/>
          </w:tcPr>
          <w:p w14:paraId="14E991CB" w14:textId="77777777" w:rsidR="00AC6AED" w:rsidRPr="00AC6AED" w:rsidRDefault="00AC6AED" w:rsidP="00AC6AED">
            <w:r w:rsidRPr="00AC6AED">
              <w:rPr>
                <w:b/>
                <w:bCs/>
              </w:rPr>
              <w:t>Safety Signals</w:t>
            </w:r>
          </w:p>
        </w:tc>
        <w:tc>
          <w:tcPr>
            <w:tcW w:w="0" w:type="auto"/>
            <w:vAlign w:val="center"/>
            <w:hideMark/>
          </w:tcPr>
          <w:p w14:paraId="5F8AC746" w14:textId="77777777" w:rsidR="00AC6AED" w:rsidRPr="00AC6AED" w:rsidRDefault="00AC6AED" w:rsidP="00AC6AED">
            <w:r w:rsidRPr="00AC6AED">
              <w:t>CT</w:t>
            </w:r>
            <w:r w:rsidRPr="00AC6AED">
              <w:noBreakHyphen/>
              <w:t>ADE adverse event dataset (</w:t>
            </w:r>
            <w:hyperlink r:id="rId125" w:tooltip="CT-ADE: An Evaluation Benchmark for Adverse Drug Event Prediction from Clinical Trial Results" w:history="1">
              <w:r w:rsidRPr="00AC6AED">
                <w:rPr>
                  <w:rStyle w:val="Hyperlink"/>
                </w:rPr>
                <w:t>arXiv</w:t>
              </w:r>
            </w:hyperlink>
            <w:r w:rsidRPr="00AC6AED">
              <w:t>)</w:t>
            </w:r>
          </w:p>
        </w:tc>
        <w:tc>
          <w:tcPr>
            <w:tcW w:w="0" w:type="auto"/>
            <w:vAlign w:val="center"/>
            <w:hideMark/>
          </w:tcPr>
          <w:p w14:paraId="6A0BC0EA" w14:textId="77777777" w:rsidR="00AC6AED" w:rsidRPr="00AC6AED" w:rsidRDefault="00AC6AED" w:rsidP="00AC6AED">
            <w:r w:rsidRPr="00AC6AED">
              <w:t>Safety risk features for regulatory prediction</w:t>
            </w:r>
          </w:p>
        </w:tc>
      </w:tr>
      <w:tr w:rsidR="00AC6AED" w:rsidRPr="00AC6AED" w14:paraId="1092BF9F" w14:textId="77777777">
        <w:trPr>
          <w:tblCellSpacing w:w="15" w:type="dxa"/>
        </w:trPr>
        <w:tc>
          <w:tcPr>
            <w:tcW w:w="0" w:type="auto"/>
            <w:vAlign w:val="center"/>
            <w:hideMark/>
          </w:tcPr>
          <w:p w14:paraId="48BE1355" w14:textId="77777777" w:rsidR="00AC6AED" w:rsidRPr="00AC6AED" w:rsidRDefault="00AC6AED" w:rsidP="00AC6AED">
            <w:r w:rsidRPr="00AC6AED">
              <w:rPr>
                <w:b/>
                <w:bCs/>
              </w:rPr>
              <w:t>Market Impact</w:t>
            </w:r>
          </w:p>
        </w:tc>
        <w:tc>
          <w:tcPr>
            <w:tcW w:w="0" w:type="auto"/>
            <w:vAlign w:val="center"/>
            <w:hideMark/>
          </w:tcPr>
          <w:p w14:paraId="3EF871E1" w14:textId="77777777" w:rsidR="00AC6AED" w:rsidRPr="00AC6AED" w:rsidRDefault="00AC6AED" w:rsidP="00AC6AED">
            <w:r w:rsidRPr="00AC6AED">
              <w:t>ML framework for announcement reaction (</w:t>
            </w:r>
            <w:hyperlink r:id="rId126" w:tooltip="New drugs and stock market: a machine learning ..." w:history="1">
              <w:r w:rsidRPr="00AC6AED">
                <w:rPr>
                  <w:rStyle w:val="Hyperlink"/>
                </w:rPr>
                <w:t>PubMed</w:t>
              </w:r>
            </w:hyperlink>
            <w:r w:rsidRPr="00AC6AED">
              <w:t>)</w:t>
            </w:r>
          </w:p>
        </w:tc>
        <w:tc>
          <w:tcPr>
            <w:tcW w:w="0" w:type="auto"/>
            <w:vAlign w:val="center"/>
            <w:hideMark/>
          </w:tcPr>
          <w:p w14:paraId="5C35A1F3" w14:textId="77777777" w:rsidR="00AC6AED" w:rsidRPr="00AC6AED" w:rsidRDefault="00AC6AED" w:rsidP="00AC6AED">
            <w:r w:rsidRPr="00AC6AED">
              <w:t>Expected stock return heads</w:t>
            </w:r>
          </w:p>
        </w:tc>
      </w:tr>
      <w:tr w:rsidR="00AC6AED" w:rsidRPr="00AC6AED" w14:paraId="320636D0" w14:textId="77777777">
        <w:trPr>
          <w:tblCellSpacing w:w="15" w:type="dxa"/>
        </w:trPr>
        <w:tc>
          <w:tcPr>
            <w:tcW w:w="0" w:type="auto"/>
            <w:vAlign w:val="center"/>
            <w:hideMark/>
          </w:tcPr>
          <w:p w14:paraId="68CDF028" w14:textId="77777777" w:rsidR="00AC6AED" w:rsidRPr="00AC6AED" w:rsidRDefault="00AC6AED" w:rsidP="00AC6AED">
            <w:r w:rsidRPr="00AC6AED">
              <w:rPr>
                <w:b/>
                <w:bCs/>
              </w:rPr>
              <w:t>Uncertainty &amp; Calibration</w:t>
            </w:r>
          </w:p>
        </w:tc>
        <w:tc>
          <w:tcPr>
            <w:tcW w:w="0" w:type="auto"/>
            <w:vAlign w:val="center"/>
            <w:hideMark/>
          </w:tcPr>
          <w:p w14:paraId="3F830D9E" w14:textId="77777777" w:rsidR="00AC6AED" w:rsidRPr="00AC6AED" w:rsidRDefault="00AC6AED" w:rsidP="00AC6AED">
            <w:r w:rsidRPr="00AC6AED">
              <w:t>trial outcome UQ methods (</w:t>
            </w:r>
            <w:hyperlink r:id="rId127" w:tooltip="Uncertainty Quantification and Interpretability for Clinical ..." w:history="1">
              <w:r w:rsidRPr="00AC6AED">
                <w:rPr>
                  <w:rStyle w:val="Hyperlink"/>
                </w:rPr>
                <w:t>PMC</w:t>
              </w:r>
            </w:hyperlink>
            <w:r w:rsidRPr="00AC6AED">
              <w:t>)</w:t>
            </w:r>
          </w:p>
        </w:tc>
        <w:tc>
          <w:tcPr>
            <w:tcW w:w="0" w:type="auto"/>
            <w:vAlign w:val="center"/>
            <w:hideMark/>
          </w:tcPr>
          <w:p w14:paraId="21AE2D22" w14:textId="77777777" w:rsidR="00AC6AED" w:rsidRPr="00AC6AED" w:rsidRDefault="00AC6AED" w:rsidP="00AC6AED">
            <w:r w:rsidRPr="00AC6AED">
              <w:t>Reliability optimization (e.g., Brier)</w:t>
            </w:r>
          </w:p>
        </w:tc>
      </w:tr>
      <w:tr w:rsidR="00AC6AED" w:rsidRPr="00AC6AED" w14:paraId="0B739457" w14:textId="77777777">
        <w:trPr>
          <w:tblCellSpacing w:w="15" w:type="dxa"/>
        </w:trPr>
        <w:tc>
          <w:tcPr>
            <w:tcW w:w="0" w:type="auto"/>
            <w:vAlign w:val="center"/>
            <w:hideMark/>
          </w:tcPr>
          <w:p w14:paraId="33718BA6" w14:textId="77777777" w:rsidR="00AC6AED" w:rsidRPr="00AC6AED" w:rsidRDefault="00AC6AED" w:rsidP="00AC6AED">
            <w:r w:rsidRPr="00AC6AED">
              <w:rPr>
                <w:b/>
                <w:bCs/>
              </w:rPr>
              <w:t>Regulatory Grounding</w:t>
            </w:r>
          </w:p>
        </w:tc>
        <w:tc>
          <w:tcPr>
            <w:tcW w:w="0" w:type="auto"/>
            <w:vAlign w:val="center"/>
            <w:hideMark/>
          </w:tcPr>
          <w:p w14:paraId="26074117" w14:textId="77777777" w:rsidR="00AC6AED" w:rsidRPr="00AC6AED" w:rsidRDefault="00AC6AED" w:rsidP="00AC6AED">
            <w:r w:rsidRPr="00AC6AED">
              <w:t>FDA AI credibility guidance (</w:t>
            </w:r>
            <w:hyperlink r:id="rId128" w:tooltip="FDA's AI Guidance: 7-Step Credibility Framework Explained" w:history="1">
              <w:r w:rsidRPr="00AC6AED">
                <w:rPr>
                  <w:rStyle w:val="Hyperlink"/>
                </w:rPr>
                <w:t>IntuitionLabs</w:t>
              </w:r>
            </w:hyperlink>
            <w:r w:rsidRPr="00AC6AED">
              <w:t>)</w:t>
            </w:r>
          </w:p>
        </w:tc>
        <w:tc>
          <w:tcPr>
            <w:tcW w:w="0" w:type="auto"/>
            <w:vAlign w:val="center"/>
            <w:hideMark/>
          </w:tcPr>
          <w:p w14:paraId="7F58C467" w14:textId="77777777" w:rsidR="00AC6AED" w:rsidRPr="00AC6AED" w:rsidRDefault="00AC6AED" w:rsidP="00AC6AED">
            <w:r w:rsidRPr="00AC6AED">
              <w:t>Align model validation &amp; documentation</w:t>
            </w:r>
          </w:p>
        </w:tc>
      </w:tr>
      <w:tr w:rsidR="00AC6AED" w:rsidRPr="00AC6AED" w14:paraId="67184D2D" w14:textId="77777777">
        <w:trPr>
          <w:tblCellSpacing w:w="15" w:type="dxa"/>
        </w:trPr>
        <w:tc>
          <w:tcPr>
            <w:tcW w:w="0" w:type="auto"/>
            <w:vAlign w:val="center"/>
            <w:hideMark/>
          </w:tcPr>
          <w:p w14:paraId="6C0E76E3" w14:textId="77777777" w:rsidR="00AC6AED" w:rsidRPr="00AC6AED" w:rsidRDefault="00AC6AED" w:rsidP="00AC6AED">
            <w:r w:rsidRPr="00AC6AED">
              <w:rPr>
                <w:b/>
                <w:bCs/>
              </w:rPr>
              <w:t>Temporal Events</w:t>
            </w:r>
          </w:p>
        </w:tc>
        <w:tc>
          <w:tcPr>
            <w:tcW w:w="0" w:type="auto"/>
            <w:vAlign w:val="center"/>
            <w:hideMark/>
          </w:tcPr>
          <w:p w14:paraId="01F3E5E5" w14:textId="77777777" w:rsidR="00AC6AED" w:rsidRPr="00AC6AED" w:rsidRDefault="00AC6AED" w:rsidP="00AC6AED">
            <w:r w:rsidRPr="00AC6AED">
              <w:t>Catalyst calendars (CatalystAlert, BPIQ) (</w:t>
            </w:r>
            <w:hyperlink r:id="rId129" w:tooltip="CatalystAlert - Free Biotech Catalyst Calendar with AI ..." w:history="1">
              <w:r w:rsidRPr="00AC6AED">
                <w:rPr>
                  <w:rStyle w:val="Hyperlink"/>
                </w:rPr>
                <w:t>CatalystAlert</w:t>
              </w:r>
            </w:hyperlink>
            <w:r w:rsidRPr="00AC6AED">
              <w:t>)</w:t>
            </w:r>
          </w:p>
        </w:tc>
        <w:tc>
          <w:tcPr>
            <w:tcW w:w="0" w:type="auto"/>
            <w:vAlign w:val="center"/>
            <w:hideMark/>
          </w:tcPr>
          <w:p w14:paraId="04C72663" w14:textId="77777777" w:rsidR="00AC6AED" w:rsidRPr="00AC6AED" w:rsidRDefault="00AC6AED" w:rsidP="00AC6AED">
            <w:r w:rsidRPr="00AC6AED">
              <w:t>Regime switching / event timing features</w:t>
            </w:r>
          </w:p>
        </w:tc>
      </w:tr>
      <w:tr w:rsidR="00AC6AED" w:rsidRPr="00AC6AED" w14:paraId="43AF23EA" w14:textId="77777777">
        <w:trPr>
          <w:tblCellSpacing w:w="15" w:type="dxa"/>
        </w:trPr>
        <w:tc>
          <w:tcPr>
            <w:tcW w:w="0" w:type="auto"/>
            <w:vAlign w:val="center"/>
            <w:hideMark/>
          </w:tcPr>
          <w:p w14:paraId="2A55A46F" w14:textId="77777777" w:rsidR="00AC6AED" w:rsidRPr="00AC6AED" w:rsidRDefault="00AC6AED" w:rsidP="00AC6AED">
            <w:r w:rsidRPr="00AC6AED">
              <w:rPr>
                <w:b/>
                <w:bCs/>
              </w:rPr>
              <w:t>Real</w:t>
            </w:r>
            <w:r w:rsidRPr="00AC6AED">
              <w:rPr>
                <w:b/>
                <w:bCs/>
              </w:rPr>
              <w:noBreakHyphen/>
              <w:t>World Data</w:t>
            </w:r>
          </w:p>
        </w:tc>
        <w:tc>
          <w:tcPr>
            <w:tcW w:w="0" w:type="auto"/>
            <w:vAlign w:val="center"/>
            <w:hideMark/>
          </w:tcPr>
          <w:p w14:paraId="329212DD" w14:textId="77777777" w:rsidR="00AC6AED" w:rsidRPr="00AC6AED" w:rsidRDefault="00AC6AED" w:rsidP="00AC6AED">
            <w:r w:rsidRPr="00AC6AED">
              <w:t>Sentinel CDM, CDISC standards (</w:t>
            </w:r>
            <w:hyperlink r:id="rId130" w:tooltip="Sentinel Common Data Model" w:history="1">
              <w:r w:rsidRPr="00AC6AED">
                <w:rPr>
                  <w:rStyle w:val="Hyperlink"/>
                </w:rPr>
                <w:t>Wikipedia</w:t>
              </w:r>
            </w:hyperlink>
            <w:r w:rsidRPr="00AC6AED">
              <w:t>)</w:t>
            </w:r>
          </w:p>
        </w:tc>
        <w:tc>
          <w:tcPr>
            <w:tcW w:w="0" w:type="auto"/>
            <w:vAlign w:val="center"/>
            <w:hideMark/>
          </w:tcPr>
          <w:p w14:paraId="28EA6847" w14:textId="77777777" w:rsidR="00AC6AED" w:rsidRPr="00AC6AED" w:rsidRDefault="00AC6AED" w:rsidP="00AC6AED">
            <w:r w:rsidRPr="00AC6AED">
              <w:t>Safety and interoperability signals</w:t>
            </w:r>
          </w:p>
        </w:tc>
      </w:tr>
      <w:tr w:rsidR="00AC6AED" w:rsidRPr="00AC6AED" w14:paraId="75F5C1E8" w14:textId="77777777">
        <w:trPr>
          <w:tblCellSpacing w:w="15" w:type="dxa"/>
        </w:trPr>
        <w:tc>
          <w:tcPr>
            <w:tcW w:w="0" w:type="auto"/>
            <w:vAlign w:val="center"/>
            <w:hideMark/>
          </w:tcPr>
          <w:p w14:paraId="3101A3B9" w14:textId="77777777" w:rsidR="00AC6AED" w:rsidRPr="00AC6AED" w:rsidRDefault="00AC6AED" w:rsidP="00AC6AED">
            <w:r w:rsidRPr="00AC6AED">
              <w:rPr>
                <w:b/>
                <w:bCs/>
              </w:rPr>
              <w:t>Biomarker Signals</w:t>
            </w:r>
          </w:p>
        </w:tc>
        <w:tc>
          <w:tcPr>
            <w:tcW w:w="0" w:type="auto"/>
            <w:vAlign w:val="center"/>
            <w:hideMark/>
          </w:tcPr>
          <w:p w14:paraId="26F2B046" w14:textId="77777777" w:rsidR="00AC6AED" w:rsidRPr="00AC6AED" w:rsidRDefault="00AC6AED" w:rsidP="00AC6AED">
            <w:r w:rsidRPr="00AC6AED">
              <w:t>Multimodal AI insights (</w:t>
            </w:r>
            <w:hyperlink r:id="rId131" w:tooltip="AI in Biotech: Benefits, Real-World Applications &amp; Use Cases" w:history="1">
              <w:r w:rsidRPr="00AC6AED">
                <w:rPr>
                  <w:rStyle w:val="Hyperlink"/>
                </w:rPr>
                <w:t>Clarifai</w:t>
              </w:r>
            </w:hyperlink>
            <w:r w:rsidRPr="00AC6AED">
              <w:t>)</w:t>
            </w:r>
          </w:p>
        </w:tc>
        <w:tc>
          <w:tcPr>
            <w:tcW w:w="0" w:type="auto"/>
            <w:vAlign w:val="center"/>
            <w:hideMark/>
          </w:tcPr>
          <w:p w14:paraId="47612C85" w14:textId="77777777" w:rsidR="00AC6AED" w:rsidRPr="00AC6AED" w:rsidRDefault="00AC6AED" w:rsidP="00AC6AED">
            <w:r w:rsidRPr="00AC6AED">
              <w:t>Biomarker</w:t>
            </w:r>
            <w:r w:rsidRPr="00AC6AED">
              <w:noBreakHyphen/>
              <w:t>based predictors</w:t>
            </w:r>
          </w:p>
        </w:tc>
      </w:tr>
    </w:tbl>
    <w:p w14:paraId="701CC815" w14:textId="77777777" w:rsidR="00AC6AED" w:rsidRPr="00AC6AED" w:rsidRDefault="00AC6AED" w:rsidP="00AC6AED">
      <w:r w:rsidRPr="00AC6AED">
        <w:pict w14:anchorId="5D3520A0">
          <v:rect id="_x0000_i1060" style="width:0;height:1.5pt" o:hralign="center" o:hrstd="t" o:hr="t" fillcolor="#a0a0a0" stroked="f"/>
        </w:pict>
      </w:r>
    </w:p>
    <w:p w14:paraId="1B34AF90" w14:textId="77777777" w:rsidR="00AC6AED" w:rsidRPr="00AC6AED" w:rsidRDefault="00AC6AED" w:rsidP="00AC6AED">
      <w:pPr>
        <w:rPr>
          <w:b/>
          <w:bCs/>
        </w:rPr>
      </w:pPr>
      <w:r w:rsidRPr="00AC6AED">
        <w:rPr>
          <w:b/>
          <w:bCs/>
        </w:rPr>
        <w:t>Summary</w:t>
      </w:r>
    </w:p>
    <w:p w14:paraId="4F3FEA5F" w14:textId="77777777" w:rsidR="00AC6AED" w:rsidRPr="00AC6AED" w:rsidRDefault="00AC6AED" w:rsidP="00AC6AED">
      <w:r w:rsidRPr="00AC6AED">
        <w:t>To enhance ODIN’s biotech catalyst predictions:</w:t>
      </w:r>
    </w:p>
    <w:p w14:paraId="620F2E27" w14:textId="77777777" w:rsidR="00AC6AED" w:rsidRPr="00AC6AED" w:rsidRDefault="00AC6AED" w:rsidP="00AC6AED">
      <w:pPr>
        <w:numPr>
          <w:ilvl w:val="0"/>
          <w:numId w:val="49"/>
        </w:numPr>
      </w:pPr>
      <w:r w:rsidRPr="00AC6AED">
        <w:t xml:space="preserve">Integrate </w:t>
      </w:r>
      <w:r w:rsidRPr="00AC6AED">
        <w:rPr>
          <w:b/>
          <w:bCs/>
        </w:rPr>
        <w:t>large curated datasets</w:t>
      </w:r>
      <w:r w:rsidRPr="00AC6AED">
        <w:t xml:space="preserve"> (CTO, TrialBench, CT</w:t>
      </w:r>
      <w:r w:rsidRPr="00AC6AED">
        <w:noBreakHyphen/>
        <w:t>ADE) for richer clinical and safety features.</w:t>
      </w:r>
    </w:p>
    <w:p w14:paraId="7B6A80BB" w14:textId="77777777" w:rsidR="00AC6AED" w:rsidRPr="00AC6AED" w:rsidRDefault="00AC6AED" w:rsidP="00AC6AED">
      <w:pPr>
        <w:numPr>
          <w:ilvl w:val="0"/>
          <w:numId w:val="49"/>
        </w:numPr>
      </w:pPr>
      <w:r w:rsidRPr="00AC6AED">
        <w:t xml:space="preserve">Use </w:t>
      </w:r>
      <w:r w:rsidRPr="00AC6AED">
        <w:rPr>
          <w:b/>
          <w:bCs/>
        </w:rPr>
        <w:t>ML and uncertainty quantification methods</w:t>
      </w:r>
      <w:r w:rsidRPr="00AC6AED">
        <w:t xml:space="preserve"> to improve calibration tasks and market impact forecasting.</w:t>
      </w:r>
    </w:p>
    <w:p w14:paraId="3FD97BB9" w14:textId="77777777" w:rsidR="00AC6AED" w:rsidRPr="00AC6AED" w:rsidRDefault="00AC6AED" w:rsidP="00AC6AED">
      <w:pPr>
        <w:numPr>
          <w:ilvl w:val="0"/>
          <w:numId w:val="49"/>
        </w:numPr>
      </w:pPr>
      <w:r w:rsidRPr="00AC6AED">
        <w:t xml:space="preserve">Ground models in </w:t>
      </w:r>
      <w:r w:rsidRPr="00AC6AED">
        <w:rPr>
          <w:b/>
          <w:bCs/>
        </w:rPr>
        <w:t>regulatory AI best practices</w:t>
      </w:r>
      <w:r w:rsidRPr="00AC6AED">
        <w:t xml:space="preserve"> per FDA credibility frameworks.</w:t>
      </w:r>
    </w:p>
    <w:p w14:paraId="156C305E" w14:textId="77777777" w:rsidR="00AC6AED" w:rsidRPr="00AC6AED" w:rsidRDefault="00AC6AED" w:rsidP="00AC6AED">
      <w:pPr>
        <w:numPr>
          <w:ilvl w:val="0"/>
          <w:numId w:val="49"/>
        </w:numPr>
      </w:pPr>
      <w:r w:rsidRPr="00AC6AED">
        <w:t xml:space="preserve">Leverage </w:t>
      </w:r>
      <w:r w:rsidRPr="00AC6AED">
        <w:rPr>
          <w:b/>
          <w:bCs/>
        </w:rPr>
        <w:t>catalyst calendars and event timing</w:t>
      </w:r>
      <w:r w:rsidRPr="00AC6AED">
        <w:t xml:space="preserve"> in regime switching and structured forecasting.</w:t>
      </w:r>
    </w:p>
    <w:p w14:paraId="7288368D" w14:textId="77777777" w:rsidR="00AC6AED" w:rsidRPr="00AC6AED" w:rsidRDefault="00AC6AED" w:rsidP="00AC6AED">
      <w:pPr>
        <w:numPr>
          <w:ilvl w:val="0"/>
          <w:numId w:val="49"/>
        </w:numPr>
      </w:pPr>
      <w:r w:rsidRPr="00AC6AED">
        <w:lastRenderedPageBreak/>
        <w:t xml:space="preserve">Employ </w:t>
      </w:r>
      <w:r w:rsidRPr="00AC6AED">
        <w:rPr>
          <w:b/>
          <w:bCs/>
        </w:rPr>
        <w:t>standards and real</w:t>
      </w:r>
      <w:r w:rsidRPr="00AC6AED">
        <w:rPr>
          <w:b/>
          <w:bCs/>
        </w:rPr>
        <w:noBreakHyphen/>
        <w:t>world data</w:t>
      </w:r>
      <w:r w:rsidRPr="00AC6AED">
        <w:t xml:space="preserve"> to improve data quality and downstream model reliability.</w:t>
      </w:r>
    </w:p>
    <w:p w14:paraId="6EA1A619" w14:textId="77777777" w:rsidR="00AC6AED" w:rsidRPr="00AC6AED" w:rsidRDefault="00AC6AED" w:rsidP="00AC6AED">
      <w:r w:rsidRPr="00AC6AED">
        <w:pict w14:anchorId="5A3170D1">
          <v:rect id="_x0000_i1061" style="width:0;height:1.5pt" o:hralign="center" o:hrstd="t" o:hr="t" fillcolor="#a0a0a0" stroked="f"/>
        </w:pict>
      </w:r>
    </w:p>
    <w:p w14:paraId="4A6DF60E" w14:textId="77777777" w:rsidR="00AC6AED" w:rsidRPr="00AC6AED" w:rsidRDefault="00AC6AED" w:rsidP="00AC6AED">
      <w:r w:rsidRPr="00AC6AED">
        <w:t xml:space="preserve">If needed, further scans can focus on </w:t>
      </w:r>
      <w:r w:rsidRPr="00AC6AED">
        <w:rPr>
          <w:i/>
          <w:iCs/>
        </w:rPr>
        <w:t>specific prediction heads</w:t>
      </w:r>
      <w:r w:rsidRPr="00AC6AED">
        <w:t xml:space="preserve"> (e.g., early</w:t>
      </w:r>
      <w:r w:rsidRPr="00AC6AED">
        <w:noBreakHyphen/>
        <w:t>phase to PDUFA conversion or AI</w:t>
      </w:r>
      <w:r w:rsidRPr="00AC6AED">
        <w:noBreakHyphen/>
        <w:t>based safety risk scoring) with targeted performance metrics and implementation notes.</w:t>
      </w:r>
    </w:p>
    <w:p w14:paraId="21D4E4B2" w14:textId="77777777" w:rsidR="00AC6AED" w:rsidRPr="00AC6AED" w:rsidRDefault="00AC6AED" w:rsidP="00AC6AED">
      <w:r w:rsidRPr="00AC6AED">
        <w:t xml:space="preserve">Here’s a concise update on the </w:t>
      </w:r>
      <w:r w:rsidRPr="00AC6AED">
        <w:rPr>
          <w:b/>
          <w:bCs/>
        </w:rPr>
        <w:t>late</w:t>
      </w:r>
      <w:r w:rsidRPr="00AC6AED">
        <w:rPr>
          <w:b/>
          <w:bCs/>
        </w:rPr>
        <w:noBreakHyphen/>
        <w:t>stage biotech catalysts that are shaping H1</w:t>
      </w:r>
      <w:r w:rsidRPr="00AC6AED">
        <w:rPr>
          <w:rFonts w:ascii="Arial" w:hAnsi="Arial" w:cs="Arial"/>
          <w:b/>
          <w:bCs/>
        </w:rPr>
        <w:t> </w:t>
      </w:r>
      <w:r w:rsidRPr="00AC6AED">
        <w:rPr>
          <w:b/>
          <w:bCs/>
        </w:rPr>
        <w:t>2026</w:t>
      </w:r>
      <w:r w:rsidRPr="00AC6AED">
        <w:rPr>
          <w:rFonts w:ascii="Aptos" w:hAnsi="Aptos" w:cs="Aptos"/>
          <w:b/>
          <w:bCs/>
        </w:rPr>
        <w:t>’</w:t>
      </w:r>
      <w:r w:rsidRPr="00AC6AED">
        <w:rPr>
          <w:b/>
          <w:bCs/>
        </w:rPr>
        <w:t>s regulatory calendar</w:t>
      </w:r>
      <w:r w:rsidRPr="00AC6AED">
        <w:t>, why they matter, and the headline drivers that could move these tickers into focus next.</w:t>
      </w:r>
    </w:p>
    <w:p w14:paraId="7F564D16" w14:textId="41E12184" w:rsidR="00AC6AED" w:rsidRPr="00AC6AED" w:rsidRDefault="00AC6AED" w:rsidP="00AC6AED">
      <w:r w:rsidRPr="00AC6AED">
        <w:drawing>
          <wp:inline distT="0" distB="0" distL="0" distR="0" wp14:anchorId="0B1DD25B" wp14:editId="6C024D0E">
            <wp:extent cx="5943600" cy="4465320"/>
            <wp:effectExtent l="0" t="0" r="0" b="0"/>
            <wp:docPr id="1601134505" name="Picture 1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descr="Image"/>
                    <pic:cNvPicPr>
                      <a:picLocks noChangeAspect="1" noChangeArrowheads="1"/>
                    </pic:cNvPicPr>
                  </pic:nvPicPr>
                  <pic:blipFill>
                    <a:blip r:embed="rId132" cstate="print">
                      <a:extLst>
                        <a:ext uri="{28A0092B-C50C-407E-A947-70E740481C1C}">
                          <a14:useLocalDpi xmlns:a14="http://schemas.microsoft.com/office/drawing/2010/main" val="0"/>
                        </a:ext>
                      </a:extLst>
                    </a:blip>
                    <a:srcRect/>
                    <a:stretch>
                      <a:fillRect/>
                    </a:stretch>
                  </pic:blipFill>
                  <pic:spPr bwMode="auto">
                    <a:xfrm>
                      <a:off x="0" y="0"/>
                      <a:ext cx="5943600" cy="4465320"/>
                    </a:xfrm>
                    <a:prstGeom prst="rect">
                      <a:avLst/>
                    </a:prstGeom>
                    <a:noFill/>
                    <a:ln>
                      <a:noFill/>
                    </a:ln>
                  </pic:spPr>
                </pic:pic>
              </a:graphicData>
            </a:graphic>
          </wp:inline>
        </w:drawing>
      </w:r>
    </w:p>
    <w:p w14:paraId="2CD84FB0" w14:textId="0887C945" w:rsidR="00AC6AED" w:rsidRPr="00AC6AED" w:rsidRDefault="00AC6AED" w:rsidP="00AC6AED">
      <w:r w:rsidRPr="00AC6AED">
        <w:lastRenderedPageBreak/>
        <w:drawing>
          <wp:inline distT="0" distB="0" distL="0" distR="0" wp14:anchorId="121B94B3" wp14:editId="5F7A25A0">
            <wp:extent cx="5943600" cy="3343275"/>
            <wp:effectExtent l="0" t="0" r="0" b="9525"/>
            <wp:docPr id="1498136562" name="Picture 1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descr="Image"/>
                    <pic:cNvPicPr>
                      <a:picLocks noChangeAspect="1" noChangeArrowheads="1"/>
                    </pic:cNvPicPr>
                  </pic:nvPicPr>
                  <pic:blipFill>
                    <a:blip r:embed="rId133"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0175CECF" w14:textId="606C047F" w:rsidR="00AC6AED" w:rsidRPr="00AC6AED" w:rsidRDefault="00AC6AED" w:rsidP="00AC6AED">
      <w:r w:rsidRPr="00AC6AED">
        <w:drawing>
          <wp:inline distT="0" distB="0" distL="0" distR="0" wp14:anchorId="47244DE0" wp14:editId="776E6029">
            <wp:extent cx="5943600" cy="3343275"/>
            <wp:effectExtent l="0" t="0" r="0" b="9525"/>
            <wp:docPr id="1560850197" name="Picture 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descr="Image"/>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1F8B93B3" w14:textId="1BC2A459" w:rsidR="00AC6AED" w:rsidRPr="00AC6AED" w:rsidRDefault="00AC6AED" w:rsidP="00AC6AED">
      <w:r w:rsidRPr="00AC6AED">
        <w:lastRenderedPageBreak/>
        <w:drawing>
          <wp:inline distT="0" distB="0" distL="0" distR="0" wp14:anchorId="56CC62B7" wp14:editId="5409EC7F">
            <wp:extent cx="5943600" cy="4250690"/>
            <wp:effectExtent l="0" t="0" r="0" b="0"/>
            <wp:docPr id="2139513113" name="Picture 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descr="Image"/>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5943600" cy="4250690"/>
                    </a:xfrm>
                    <a:prstGeom prst="rect">
                      <a:avLst/>
                    </a:prstGeom>
                    <a:noFill/>
                    <a:ln>
                      <a:noFill/>
                    </a:ln>
                  </pic:spPr>
                </pic:pic>
              </a:graphicData>
            </a:graphic>
          </wp:inline>
        </w:drawing>
      </w:r>
    </w:p>
    <w:p w14:paraId="48ADEBDB" w14:textId="77777777" w:rsidR="00AC6AED" w:rsidRPr="00AC6AED" w:rsidRDefault="00AC6AED" w:rsidP="00AC6AED">
      <w:r w:rsidRPr="00AC6AED">
        <w:rPr>
          <w:b/>
          <w:bCs/>
        </w:rPr>
        <w:t>Reproxalap’s March FDA drama looms largest</w:t>
      </w:r>
      <w:r w:rsidRPr="00AC6AED">
        <w:t xml:space="preserve"> — Aldeyra’s dry eye therapy is now on track for a March</w:t>
      </w:r>
      <w:r w:rsidRPr="00AC6AED">
        <w:rPr>
          <w:rFonts w:ascii="Arial" w:hAnsi="Arial" w:cs="Arial"/>
        </w:rPr>
        <w:t> </w:t>
      </w:r>
      <w:r w:rsidRPr="00AC6AED">
        <w:t>16 decision after FDA extended its PDUFA, introducing uncertainty tied to mixed Phase</w:t>
      </w:r>
      <w:r w:rsidRPr="00AC6AED">
        <w:rPr>
          <w:rFonts w:ascii="Arial" w:hAnsi="Arial" w:cs="Arial"/>
        </w:rPr>
        <w:t> </w:t>
      </w:r>
      <w:r w:rsidRPr="00AC6AED">
        <w:t>3 data and agency requests for CSR submission amid supportive chamber trial efficacy. (</w:t>
      </w:r>
      <w:hyperlink r:id="rId136" w:tooltip="FDA extends reproxalap's PDUFA to March 2026" w:history="1">
        <w:r w:rsidRPr="00AC6AED">
          <w:rPr>
            <w:rStyle w:val="Hyperlink"/>
          </w:rPr>
          <w:t>Eyes On Eyecare</w:t>
        </w:r>
      </w:hyperlink>
      <w:r w:rsidRPr="00AC6AED">
        <w:t>)</w:t>
      </w:r>
    </w:p>
    <w:p w14:paraId="533E0DE2" w14:textId="77777777" w:rsidR="00AC6AED" w:rsidRPr="00AC6AED" w:rsidRDefault="00AC6AED" w:rsidP="00AC6AED">
      <w:pPr>
        <w:rPr>
          <w:b/>
          <w:bCs/>
        </w:rPr>
      </w:pPr>
      <w:r w:rsidRPr="00AC6AED">
        <w:rPr>
          <w:rFonts w:ascii="Segoe UI Emoji" w:hAnsi="Segoe UI Emoji" w:cs="Segoe UI Emoji"/>
          <w:b/>
          <w:bCs/>
        </w:rPr>
        <w:t>🧠</w:t>
      </w:r>
      <w:r w:rsidRPr="00AC6AED">
        <w:rPr>
          <w:b/>
          <w:bCs/>
        </w:rPr>
        <w:t xml:space="preserve"> Upcoming 2026 Catalysts &amp; What’s Driving Them</w:t>
      </w:r>
    </w:p>
    <w:p w14:paraId="0EA766AE" w14:textId="77777777" w:rsidR="00AC6AED" w:rsidRPr="00AC6AED" w:rsidRDefault="00AC6AED" w:rsidP="00AC6AED">
      <w:r w:rsidRPr="00AC6AED">
        <w:rPr>
          <w:b/>
          <w:bCs/>
        </w:rPr>
        <w:t>• Aldeyra Therapeutics – Reproxalap (ALDX)</w:t>
      </w:r>
      <w:r w:rsidRPr="00AC6AED">
        <w:br/>
        <w:t xml:space="preserve">FDA extended the review of reproxalap to </w:t>
      </w:r>
      <w:r w:rsidRPr="00AC6AED">
        <w:rPr>
          <w:b/>
          <w:bCs/>
        </w:rPr>
        <w:t>March</w:t>
      </w:r>
      <w:r w:rsidRPr="00AC6AED">
        <w:rPr>
          <w:rFonts w:ascii="Arial" w:hAnsi="Arial" w:cs="Arial"/>
          <w:b/>
          <w:bCs/>
        </w:rPr>
        <w:t> </w:t>
      </w:r>
      <w:r w:rsidRPr="00AC6AED">
        <w:rPr>
          <w:b/>
          <w:bCs/>
        </w:rPr>
        <w:t>16,</w:t>
      </w:r>
      <w:r w:rsidRPr="00AC6AED">
        <w:rPr>
          <w:rFonts w:ascii="Arial" w:hAnsi="Arial" w:cs="Arial"/>
          <w:b/>
          <w:bCs/>
        </w:rPr>
        <w:t> </w:t>
      </w:r>
      <w:r w:rsidRPr="00AC6AED">
        <w:rPr>
          <w:b/>
          <w:bCs/>
        </w:rPr>
        <w:t>2026</w:t>
      </w:r>
      <w:r w:rsidRPr="00AC6AED">
        <w:t>, shifting focus to competing efficacy signals (chamber vs field data) and whether the resubmitted NDA addresses the agency’s concerns effectively — a classic binary regulatory catalyst. (</w:t>
      </w:r>
      <w:hyperlink r:id="rId137" w:tooltip="FDA extends reproxalap's PDUFA to March 2026" w:history="1">
        <w:r w:rsidRPr="00AC6AED">
          <w:rPr>
            <w:rStyle w:val="Hyperlink"/>
          </w:rPr>
          <w:t>Eyes On Eyecare</w:t>
        </w:r>
      </w:hyperlink>
      <w:r w:rsidRPr="00AC6AED">
        <w:t>)</w:t>
      </w:r>
    </w:p>
    <w:p w14:paraId="471AD0F1" w14:textId="77777777" w:rsidR="00AC6AED" w:rsidRPr="00AC6AED" w:rsidRDefault="00AC6AED" w:rsidP="00AC6AED">
      <w:r w:rsidRPr="00AC6AED">
        <w:rPr>
          <w:b/>
          <w:bCs/>
        </w:rPr>
        <w:t>• Vanda Pharmaceuticals – Bysanti (VNDA)</w:t>
      </w:r>
      <w:r w:rsidRPr="00AC6AED">
        <w:br/>
        <w:t>Bysanti’s NDA for bipolar</w:t>
      </w:r>
      <w:r w:rsidRPr="00AC6AED">
        <w:rPr>
          <w:rFonts w:ascii="Arial" w:hAnsi="Arial" w:cs="Arial"/>
        </w:rPr>
        <w:t> </w:t>
      </w:r>
      <w:r w:rsidRPr="00AC6AED">
        <w:t xml:space="preserve">I disorder and schizophrenia is accepted with a </w:t>
      </w:r>
      <w:r w:rsidRPr="00AC6AED">
        <w:rPr>
          <w:b/>
          <w:bCs/>
        </w:rPr>
        <w:t>PDUFA set for Feb</w:t>
      </w:r>
      <w:r w:rsidRPr="00AC6AED">
        <w:rPr>
          <w:rFonts w:ascii="Arial" w:hAnsi="Arial" w:cs="Arial"/>
          <w:b/>
          <w:bCs/>
        </w:rPr>
        <w:t> </w:t>
      </w:r>
      <w:r w:rsidRPr="00AC6AED">
        <w:rPr>
          <w:b/>
          <w:bCs/>
        </w:rPr>
        <w:t>21,</w:t>
      </w:r>
      <w:r w:rsidRPr="00AC6AED">
        <w:rPr>
          <w:rFonts w:ascii="Arial" w:hAnsi="Arial" w:cs="Arial"/>
          <w:b/>
          <w:bCs/>
        </w:rPr>
        <w:t> </w:t>
      </w:r>
      <w:r w:rsidRPr="00AC6AED">
        <w:rPr>
          <w:b/>
          <w:bCs/>
        </w:rPr>
        <w:t>2026</w:t>
      </w:r>
      <w:r w:rsidRPr="00AC6AED">
        <w:t>. If approved, regulatory data exclusivity could bolster VNDA’s psychiatric portfolio against generics and support longer</w:t>
      </w:r>
      <w:r w:rsidRPr="00AC6AED">
        <w:noBreakHyphen/>
        <w:t>term franchise stability. (</w:t>
      </w:r>
      <w:hyperlink r:id="rId138" w:tooltip="5/7/2025" w:history="1">
        <w:r w:rsidRPr="00AC6AED">
          <w:rPr>
            <w:rStyle w:val="Hyperlink"/>
          </w:rPr>
          <w:t>SEC</w:t>
        </w:r>
      </w:hyperlink>
      <w:r w:rsidRPr="00AC6AED">
        <w:t>)</w:t>
      </w:r>
    </w:p>
    <w:p w14:paraId="6ACE7C13" w14:textId="77777777" w:rsidR="00AC6AED" w:rsidRPr="00AC6AED" w:rsidRDefault="00AC6AED" w:rsidP="00AC6AED">
      <w:r w:rsidRPr="00AC6AED">
        <w:rPr>
          <w:b/>
          <w:bCs/>
        </w:rPr>
        <w:t>• Lantheus Holdings – Piflufolastat (LNTH)</w:t>
      </w:r>
      <w:r w:rsidRPr="00AC6AED">
        <w:br/>
        <w:t xml:space="preserve">A new formulation of piflufolastat (Pylarify) accepted by FDA points to a </w:t>
      </w:r>
      <w:r w:rsidRPr="00AC6AED">
        <w:rPr>
          <w:b/>
          <w:bCs/>
        </w:rPr>
        <w:t>March</w:t>
      </w:r>
      <w:r w:rsidRPr="00AC6AED">
        <w:rPr>
          <w:rFonts w:ascii="Arial" w:hAnsi="Arial" w:cs="Arial"/>
          <w:b/>
          <w:bCs/>
        </w:rPr>
        <w:t> </w:t>
      </w:r>
      <w:r w:rsidRPr="00AC6AED">
        <w:rPr>
          <w:b/>
          <w:bCs/>
        </w:rPr>
        <w:t>6,</w:t>
      </w:r>
      <w:r w:rsidRPr="00AC6AED">
        <w:rPr>
          <w:rFonts w:ascii="Arial" w:hAnsi="Arial" w:cs="Arial"/>
          <w:b/>
          <w:bCs/>
        </w:rPr>
        <w:t> </w:t>
      </w:r>
      <w:r w:rsidRPr="00AC6AED">
        <w:rPr>
          <w:b/>
          <w:bCs/>
        </w:rPr>
        <w:t xml:space="preserve">2026 </w:t>
      </w:r>
      <w:r w:rsidRPr="00AC6AED">
        <w:rPr>
          <w:b/>
          <w:bCs/>
        </w:rPr>
        <w:lastRenderedPageBreak/>
        <w:t>target action date</w:t>
      </w:r>
      <w:r w:rsidRPr="00AC6AED">
        <w:t xml:space="preserve"> — a heads</w:t>
      </w:r>
      <w:r w:rsidRPr="00AC6AED">
        <w:noBreakHyphen/>
        <w:t>up for diagnostics demand in PSMA PET imaging as prostate cancer incidence and precision detection needs grow. (</w:t>
      </w:r>
      <w:hyperlink r:id="rId139" w:tooltip="FDA accepts NDA for new formulation of piflufolastat F 18 ..." w:history="1">
        <w:r w:rsidRPr="00AC6AED">
          <w:rPr>
            <w:rStyle w:val="Hyperlink"/>
          </w:rPr>
          <w:t>Urology Times</w:t>
        </w:r>
      </w:hyperlink>
      <w:r w:rsidRPr="00AC6AED">
        <w:t>)</w:t>
      </w:r>
    </w:p>
    <w:p w14:paraId="0E7ACC88" w14:textId="77777777" w:rsidR="00AC6AED" w:rsidRPr="00AC6AED" w:rsidRDefault="00AC6AED" w:rsidP="00AC6AED">
      <w:r w:rsidRPr="00AC6AED">
        <w:rPr>
          <w:b/>
          <w:bCs/>
        </w:rPr>
        <w:t>• Lantheus Holdings – LNTH-2501 Imaging Agent</w:t>
      </w:r>
      <w:r w:rsidRPr="00AC6AED">
        <w:br/>
        <w:t xml:space="preserve">FDA set a </w:t>
      </w:r>
      <w:r w:rsidRPr="00AC6AED">
        <w:rPr>
          <w:b/>
          <w:bCs/>
        </w:rPr>
        <w:t>March</w:t>
      </w:r>
      <w:r w:rsidRPr="00AC6AED">
        <w:rPr>
          <w:rFonts w:ascii="Arial" w:hAnsi="Arial" w:cs="Arial"/>
          <w:b/>
          <w:bCs/>
        </w:rPr>
        <w:t> </w:t>
      </w:r>
      <w:r w:rsidRPr="00AC6AED">
        <w:rPr>
          <w:b/>
          <w:bCs/>
        </w:rPr>
        <w:t>29,</w:t>
      </w:r>
      <w:r w:rsidRPr="00AC6AED">
        <w:rPr>
          <w:rFonts w:ascii="Arial" w:hAnsi="Arial" w:cs="Arial"/>
          <w:b/>
          <w:bCs/>
        </w:rPr>
        <w:t> </w:t>
      </w:r>
      <w:r w:rsidRPr="00AC6AED">
        <w:rPr>
          <w:b/>
          <w:bCs/>
        </w:rPr>
        <w:t>2026 PDUFA</w:t>
      </w:r>
      <w:r w:rsidRPr="00AC6AED">
        <w:t xml:space="preserve"> for the SSTR</w:t>
      </w:r>
      <w:r w:rsidRPr="00AC6AED">
        <w:noBreakHyphen/>
        <w:t>targeted PET diagnostic LNTH</w:t>
      </w:r>
      <w:r w:rsidRPr="00AC6AED">
        <w:noBreakHyphen/>
        <w:t>2501, expanding oncology imaging options for neuroendocrine tumors. (</w:t>
      </w:r>
      <w:hyperlink r:id="rId140" w:tooltip="Lantheus Announces FDA Grants PDUFA Date for LNTH ..." w:history="1">
        <w:r w:rsidRPr="00AC6AED">
          <w:rPr>
            <w:rStyle w:val="Hyperlink"/>
          </w:rPr>
          <w:t>Lantheus Holdings</w:t>
        </w:r>
      </w:hyperlink>
      <w:r w:rsidRPr="00AC6AED">
        <w:t>)</w:t>
      </w:r>
    </w:p>
    <w:p w14:paraId="180538FA" w14:textId="77777777" w:rsidR="00AC6AED" w:rsidRPr="00AC6AED" w:rsidRDefault="00AC6AED" w:rsidP="00AC6AED">
      <w:r w:rsidRPr="00AC6AED">
        <w:rPr>
          <w:b/>
          <w:bCs/>
        </w:rPr>
        <w:t>• Achieve Life Sciences – Cytisinicline (ACHV)</w:t>
      </w:r>
      <w:r w:rsidRPr="00AC6AED">
        <w:br/>
        <w:t xml:space="preserve">Cytisinicline’s NDA for adult nicotine dependence has been accepted with a </w:t>
      </w:r>
      <w:r w:rsidRPr="00AC6AED">
        <w:rPr>
          <w:b/>
          <w:bCs/>
        </w:rPr>
        <w:t>June</w:t>
      </w:r>
      <w:r w:rsidRPr="00AC6AED">
        <w:rPr>
          <w:rFonts w:ascii="Arial" w:hAnsi="Arial" w:cs="Arial"/>
          <w:b/>
          <w:bCs/>
        </w:rPr>
        <w:t> </w:t>
      </w:r>
      <w:r w:rsidRPr="00AC6AED">
        <w:rPr>
          <w:b/>
          <w:bCs/>
        </w:rPr>
        <w:t>20,</w:t>
      </w:r>
      <w:r w:rsidRPr="00AC6AED">
        <w:rPr>
          <w:rFonts w:ascii="Arial" w:hAnsi="Arial" w:cs="Arial"/>
          <w:b/>
          <w:bCs/>
        </w:rPr>
        <w:t> </w:t>
      </w:r>
      <w:r w:rsidRPr="00AC6AED">
        <w:rPr>
          <w:b/>
          <w:bCs/>
        </w:rPr>
        <w:t>2026 PDUFA date</w:t>
      </w:r>
      <w:r w:rsidRPr="00AC6AED">
        <w:t xml:space="preserve"> — representing a rare potential new smoking cessation therapy backed by Phase</w:t>
      </w:r>
      <w:r w:rsidRPr="00AC6AED">
        <w:rPr>
          <w:rFonts w:ascii="Arial" w:hAnsi="Arial" w:cs="Arial"/>
        </w:rPr>
        <w:t> </w:t>
      </w:r>
      <w:r w:rsidRPr="00AC6AED">
        <w:t>3 ORCA quit</w:t>
      </w:r>
      <w:r w:rsidRPr="00AC6AED">
        <w:noBreakHyphen/>
        <w:t>rate deltas vs placebo. (</w:t>
      </w:r>
      <w:hyperlink r:id="rId141" w:tooltip="Achieve Life Sciences Announces FDA Acceptance of ..." w:history="1">
        <w:r w:rsidRPr="00AC6AED">
          <w:rPr>
            <w:rStyle w:val="Hyperlink"/>
          </w:rPr>
          <w:t>Achieve Life Sciences, Inc.</w:t>
        </w:r>
      </w:hyperlink>
      <w:r w:rsidRPr="00AC6AED">
        <w:t>)</w:t>
      </w:r>
    </w:p>
    <w:p w14:paraId="1B6791CF" w14:textId="77777777" w:rsidR="00AC6AED" w:rsidRPr="00AC6AED" w:rsidRDefault="00AC6AED" w:rsidP="00AC6AED">
      <w:r w:rsidRPr="00AC6AED">
        <w:rPr>
          <w:b/>
          <w:bCs/>
        </w:rPr>
        <w:t>• Swedish Orphan Biovitrum (Sobi) – NASP for Gout</w:t>
      </w:r>
      <w:r w:rsidRPr="00AC6AED">
        <w:br/>
        <w:t xml:space="preserve">Sobi’s NASP BLA for uncontrolled gout has a </w:t>
      </w:r>
      <w:r w:rsidRPr="00AC6AED">
        <w:rPr>
          <w:b/>
          <w:bCs/>
        </w:rPr>
        <w:t>June</w:t>
      </w:r>
      <w:r w:rsidRPr="00AC6AED">
        <w:rPr>
          <w:rFonts w:ascii="Arial" w:hAnsi="Arial" w:cs="Arial"/>
          <w:b/>
          <w:bCs/>
        </w:rPr>
        <w:t> </w:t>
      </w:r>
      <w:r w:rsidRPr="00AC6AED">
        <w:rPr>
          <w:b/>
          <w:bCs/>
        </w:rPr>
        <w:t>27,</w:t>
      </w:r>
      <w:r w:rsidRPr="00AC6AED">
        <w:rPr>
          <w:rFonts w:ascii="Arial" w:hAnsi="Arial" w:cs="Arial"/>
          <w:b/>
          <w:bCs/>
        </w:rPr>
        <w:t> </w:t>
      </w:r>
      <w:r w:rsidRPr="00AC6AED">
        <w:rPr>
          <w:b/>
          <w:bCs/>
        </w:rPr>
        <w:t>2026 target action date</w:t>
      </w:r>
      <w:r w:rsidRPr="00AC6AED">
        <w:t>, with pivotal DISSOLVE I/II data driving expectations around uric acid control and clinical benefit in a population with limited options. (</w:t>
      </w:r>
      <w:hyperlink r:id="rId142" w:tooltip="FDA Accepts Biologics License Application for Sobi's NASP ..." w:history="1">
        <w:r w:rsidRPr="00AC6AED">
          <w:rPr>
            <w:rStyle w:val="Hyperlink"/>
          </w:rPr>
          <w:t>Sobi</w:t>
        </w:r>
      </w:hyperlink>
      <w:r w:rsidRPr="00AC6AED">
        <w:t>)</w:t>
      </w:r>
    </w:p>
    <w:p w14:paraId="6F517482" w14:textId="77777777" w:rsidR="00AC6AED" w:rsidRPr="00AC6AED" w:rsidRDefault="00AC6AED" w:rsidP="00AC6AED">
      <w:r w:rsidRPr="00AC6AED">
        <w:pict w14:anchorId="79F3E63C">
          <v:rect id="_x0000_i1062" style="width:0;height:1.5pt" o:hralign="center" o:hrstd="t" o:hr="t" fillcolor="#a0a0a0" stroked="f"/>
        </w:pict>
      </w:r>
    </w:p>
    <w:p w14:paraId="22EF95EA" w14:textId="77777777" w:rsidR="00AC6AED" w:rsidRPr="00AC6AED" w:rsidRDefault="00AC6AED" w:rsidP="00AC6AED">
      <w:pPr>
        <w:rPr>
          <w:b/>
          <w:bCs/>
        </w:rPr>
      </w:pPr>
      <w:r w:rsidRPr="00AC6AED">
        <w:rPr>
          <w:rFonts w:ascii="Segoe UI Emoji" w:hAnsi="Segoe UI Emoji" w:cs="Segoe UI Emoji"/>
          <w:b/>
          <w:bCs/>
        </w:rPr>
        <w:t>🚨</w:t>
      </w:r>
      <w:r w:rsidRPr="00AC6AED">
        <w:rPr>
          <w:b/>
          <w:bCs/>
        </w:rPr>
        <w:t xml:space="preserve"> Near</w:t>
      </w:r>
      <w:r w:rsidRPr="00AC6AED">
        <w:rPr>
          <w:b/>
          <w:bCs/>
        </w:rPr>
        <w:noBreakHyphen/>
        <w:t>Term Binary Risks &amp; What to Watch</w:t>
      </w:r>
    </w:p>
    <w:p w14:paraId="5C57010E" w14:textId="77777777" w:rsidR="00AC6AED" w:rsidRPr="00AC6AED" w:rsidRDefault="00AC6AED" w:rsidP="00AC6AED">
      <w:pPr>
        <w:numPr>
          <w:ilvl w:val="0"/>
          <w:numId w:val="50"/>
        </w:numPr>
      </w:pPr>
      <w:r w:rsidRPr="00AC6AED">
        <w:rPr>
          <w:b/>
          <w:bCs/>
        </w:rPr>
        <w:t>Regulatory signal interpretation:</w:t>
      </w:r>
      <w:r w:rsidRPr="00AC6AED">
        <w:t xml:space="preserve"> Reproxalap’s mixed Phase</w:t>
      </w:r>
      <w:r w:rsidRPr="00AC6AED">
        <w:rPr>
          <w:rFonts w:ascii="Arial" w:hAnsi="Arial" w:cs="Arial"/>
        </w:rPr>
        <w:t> </w:t>
      </w:r>
      <w:r w:rsidRPr="00AC6AED">
        <w:t>3 nuances and CSR responses add execution risk vs straightforward endpoint achievement.</w:t>
      </w:r>
    </w:p>
    <w:p w14:paraId="10D06821" w14:textId="77777777" w:rsidR="00AC6AED" w:rsidRPr="00AC6AED" w:rsidRDefault="00AC6AED" w:rsidP="00AC6AED">
      <w:pPr>
        <w:numPr>
          <w:ilvl w:val="0"/>
          <w:numId w:val="50"/>
        </w:numPr>
      </w:pPr>
      <w:r w:rsidRPr="00AC6AED">
        <w:rPr>
          <w:b/>
          <w:bCs/>
        </w:rPr>
        <w:t>Data exclusivity &amp; life</w:t>
      </w:r>
      <w:r w:rsidRPr="00AC6AED">
        <w:rPr>
          <w:b/>
          <w:bCs/>
        </w:rPr>
        <w:noBreakHyphen/>
        <w:t>cycle:</w:t>
      </w:r>
      <w:r w:rsidRPr="00AC6AED">
        <w:t xml:space="preserve"> Bysanti’s exclusivity window and major depressive adjunct programs could reshape VNDA beyond the Feb catalyst.</w:t>
      </w:r>
    </w:p>
    <w:p w14:paraId="26377F00" w14:textId="77777777" w:rsidR="00AC6AED" w:rsidRPr="00AC6AED" w:rsidRDefault="00AC6AED" w:rsidP="00AC6AED">
      <w:pPr>
        <w:numPr>
          <w:ilvl w:val="0"/>
          <w:numId w:val="50"/>
        </w:numPr>
      </w:pPr>
      <w:r w:rsidRPr="00AC6AED">
        <w:rPr>
          <w:b/>
          <w:bCs/>
        </w:rPr>
        <w:t>Diagnostic leverage:</w:t>
      </w:r>
      <w:r w:rsidRPr="00AC6AED">
        <w:t xml:space="preserve"> LNTH imaging agents tap into secular oncology trends but hinge on manufacturing scalability and adoption.</w:t>
      </w:r>
    </w:p>
    <w:p w14:paraId="3A0FE1A4" w14:textId="77777777" w:rsidR="00AC6AED" w:rsidRPr="00AC6AED" w:rsidRDefault="00AC6AED" w:rsidP="00AC6AED">
      <w:pPr>
        <w:numPr>
          <w:ilvl w:val="0"/>
          <w:numId w:val="50"/>
        </w:numPr>
      </w:pPr>
      <w:r w:rsidRPr="00AC6AED">
        <w:rPr>
          <w:b/>
          <w:bCs/>
        </w:rPr>
        <w:t>Single</w:t>
      </w:r>
      <w:r w:rsidRPr="00AC6AED">
        <w:rPr>
          <w:b/>
          <w:bCs/>
        </w:rPr>
        <w:noBreakHyphen/>
        <w:t>asset binary:</w:t>
      </w:r>
      <w:r w:rsidRPr="00AC6AED">
        <w:t xml:space="preserve"> ACHV’s valuation sensitivity will ebb and flow with cytisinicline’s FDA readout.</w:t>
      </w:r>
    </w:p>
    <w:p w14:paraId="0E5024BA" w14:textId="77777777" w:rsidR="00AC6AED" w:rsidRPr="00AC6AED" w:rsidRDefault="00AC6AED" w:rsidP="00AC6AED">
      <w:pPr>
        <w:numPr>
          <w:ilvl w:val="0"/>
          <w:numId w:val="50"/>
        </w:numPr>
      </w:pPr>
      <w:r w:rsidRPr="00AC6AED">
        <w:rPr>
          <w:b/>
          <w:bCs/>
        </w:rPr>
        <w:t>Differentiated unmet need:</w:t>
      </w:r>
      <w:r w:rsidRPr="00AC6AED">
        <w:t xml:space="preserve"> NASP’s gout mechanism mixing nanoencapsulated sirolimus + pegadricase addresses a chronic niche with real patient quality</w:t>
      </w:r>
      <w:r w:rsidRPr="00AC6AED">
        <w:noBreakHyphen/>
        <w:t>of</w:t>
      </w:r>
      <w:r w:rsidRPr="00AC6AED">
        <w:noBreakHyphen/>
        <w:t>life impacts.</w:t>
      </w:r>
    </w:p>
    <w:p w14:paraId="339DA65F" w14:textId="77777777" w:rsidR="00AC6AED" w:rsidRPr="00AC6AED" w:rsidRDefault="00AC6AED" w:rsidP="00AC6AED">
      <w:r w:rsidRPr="00AC6AED">
        <w:pict w14:anchorId="1CD4913F">
          <v:rect id="_x0000_i1063" style="width:0;height:1.5pt" o:hralign="center" o:hrstd="t" o:hr="t" fillcolor="#a0a0a0" stroked="f"/>
        </w:pict>
      </w:r>
    </w:p>
    <w:p w14:paraId="42046A32" w14:textId="77777777" w:rsidR="00AC6AED" w:rsidRPr="00AC6AED" w:rsidRDefault="00AC6AED" w:rsidP="00AC6AED">
      <w:r w:rsidRPr="00AC6AED">
        <w:t>I’ll ingest this timing and catalyst context into ODIN’s audit trail with the associated timestamps you provided and flag these as key binary catalysts for H1</w:t>
      </w:r>
      <w:r w:rsidRPr="00AC6AED">
        <w:rPr>
          <w:rFonts w:ascii="Arial" w:hAnsi="Arial" w:cs="Arial"/>
        </w:rPr>
        <w:t> </w:t>
      </w:r>
      <w:r w:rsidRPr="00AC6AED">
        <w:t>2026.</w:t>
      </w:r>
    </w:p>
    <w:p w14:paraId="286F52EB" w14:textId="77777777" w:rsidR="00AC6AED" w:rsidRPr="00AC6AED" w:rsidRDefault="00AC6AED" w:rsidP="00AC6AED">
      <w:r w:rsidRPr="00AC6AED">
        <w:t xml:space="preserve">Here’s a compact, </w:t>
      </w:r>
      <w:r w:rsidRPr="00AC6AED">
        <w:rPr>
          <w:b/>
          <w:bCs/>
        </w:rPr>
        <w:t>Gantt</w:t>
      </w:r>
      <w:r w:rsidRPr="00AC6AED">
        <w:rPr>
          <w:b/>
          <w:bCs/>
        </w:rPr>
        <w:noBreakHyphen/>
        <w:t>style preview</w:t>
      </w:r>
      <w:r w:rsidRPr="00AC6AED">
        <w:t xml:space="preserve"> of the near</w:t>
      </w:r>
      <w:r w:rsidRPr="00AC6AED">
        <w:noBreakHyphen/>
        <w:t>term catalyst run</w:t>
      </w:r>
      <w:r w:rsidRPr="00AC6AED">
        <w:noBreakHyphen/>
        <w:t>ups we lined up—showing each entry window (from “entry_date” → “event_date”) plus the high</w:t>
      </w:r>
      <w:r w:rsidRPr="00AC6AED">
        <w:noBreakHyphen/>
        <w:t>leverage subwindows (T</w:t>
      </w:r>
      <w:r w:rsidRPr="00AC6AED">
        <w:noBreakHyphen/>
        <w:t>30 → T</w:t>
      </w:r>
      <w:r w:rsidRPr="00AC6AED">
        <w:noBreakHyphen/>
        <w:t>10) and the ODIN monitoring triggers you asked to wire in.</w:t>
      </w:r>
    </w:p>
    <w:p w14:paraId="51CCC52E" w14:textId="77777777" w:rsidR="00AC6AED" w:rsidRPr="00AC6AED" w:rsidRDefault="00AC6AED" w:rsidP="00AC6AED">
      <w:r w:rsidRPr="00AC6AED">
        <w:lastRenderedPageBreak/>
        <w:pict w14:anchorId="1104D68A">
          <v:rect id="_x0000_i1064" style="width:0;height:1.5pt" o:hralign="center" o:hrstd="t" o:hr="t" fillcolor="#a0a0a0" stroked="f"/>
        </w:pict>
      </w:r>
    </w:p>
    <w:p w14:paraId="37B55E50" w14:textId="77777777" w:rsidR="00AC6AED" w:rsidRPr="00AC6AED" w:rsidRDefault="00AC6AED" w:rsidP="00AC6AED">
      <w:pPr>
        <w:rPr>
          <w:b/>
          <w:bCs/>
        </w:rPr>
      </w:pPr>
      <w:r w:rsidRPr="00AC6AED">
        <w:rPr>
          <w:b/>
          <w:bCs/>
        </w:rPr>
        <w:t>Run</w:t>
      </w:r>
      <w:r w:rsidRPr="00AC6AED">
        <w:rPr>
          <w:b/>
          <w:bCs/>
        </w:rPr>
        <w:noBreakHyphen/>
        <w:t>up timeline (today = Feb 8, 2026)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0"/>
        <w:gridCol w:w="2064"/>
        <w:gridCol w:w="957"/>
        <w:gridCol w:w="509"/>
        <w:gridCol w:w="509"/>
        <w:gridCol w:w="652"/>
        <w:gridCol w:w="692"/>
        <w:gridCol w:w="670"/>
        <w:gridCol w:w="1457"/>
      </w:tblGrid>
      <w:tr w:rsidR="00AC6AED" w:rsidRPr="00AC6AED" w14:paraId="01BF40F5" w14:textId="77777777">
        <w:trPr>
          <w:tblHeader/>
          <w:tblCellSpacing w:w="15" w:type="dxa"/>
        </w:trPr>
        <w:tc>
          <w:tcPr>
            <w:tcW w:w="0" w:type="auto"/>
            <w:vAlign w:val="center"/>
            <w:hideMark/>
          </w:tcPr>
          <w:p w14:paraId="43EFEC6B" w14:textId="77777777" w:rsidR="00AC6AED" w:rsidRPr="00AC6AED" w:rsidRDefault="00AC6AED" w:rsidP="00AC6AED">
            <w:pPr>
              <w:rPr>
                <w:b/>
                <w:bCs/>
              </w:rPr>
            </w:pPr>
            <w:r w:rsidRPr="00AC6AED">
              <w:rPr>
                <w:b/>
                <w:bCs/>
              </w:rPr>
              <w:t>Ticker</w:t>
            </w:r>
          </w:p>
        </w:tc>
        <w:tc>
          <w:tcPr>
            <w:tcW w:w="0" w:type="auto"/>
            <w:vAlign w:val="center"/>
            <w:hideMark/>
          </w:tcPr>
          <w:p w14:paraId="664D980A" w14:textId="77777777" w:rsidR="00AC6AED" w:rsidRPr="00AC6AED" w:rsidRDefault="00AC6AED" w:rsidP="00AC6AED">
            <w:pPr>
              <w:rPr>
                <w:b/>
                <w:bCs/>
              </w:rPr>
            </w:pPr>
            <w:r w:rsidRPr="00AC6AED">
              <w:rPr>
                <w:b/>
                <w:bCs/>
              </w:rPr>
              <w:t>Event (short)</w:t>
            </w:r>
          </w:p>
        </w:tc>
        <w:tc>
          <w:tcPr>
            <w:tcW w:w="0" w:type="auto"/>
            <w:vAlign w:val="center"/>
            <w:hideMark/>
          </w:tcPr>
          <w:p w14:paraId="49CEA94C" w14:textId="77777777" w:rsidR="00AC6AED" w:rsidRPr="00AC6AED" w:rsidRDefault="00AC6AED" w:rsidP="00AC6AED">
            <w:pPr>
              <w:rPr>
                <w:b/>
                <w:bCs/>
              </w:rPr>
            </w:pPr>
            <w:r w:rsidRPr="00AC6AED">
              <w:rPr>
                <w:b/>
                <w:bCs/>
              </w:rPr>
              <w:t>Entry date</w:t>
            </w:r>
          </w:p>
        </w:tc>
        <w:tc>
          <w:tcPr>
            <w:tcW w:w="0" w:type="auto"/>
            <w:vAlign w:val="center"/>
            <w:hideMark/>
          </w:tcPr>
          <w:p w14:paraId="1841B782" w14:textId="77777777" w:rsidR="00AC6AED" w:rsidRPr="00AC6AED" w:rsidRDefault="00AC6AED" w:rsidP="00AC6AED">
            <w:pPr>
              <w:rPr>
                <w:b/>
                <w:bCs/>
              </w:rPr>
            </w:pPr>
            <w:r w:rsidRPr="00AC6AED">
              <w:rPr>
                <w:b/>
                <w:bCs/>
              </w:rPr>
              <w:t>T</w:t>
            </w:r>
            <w:r w:rsidRPr="00AC6AED">
              <w:rPr>
                <w:b/>
                <w:bCs/>
              </w:rPr>
              <w:noBreakHyphen/>
              <w:t>90</w:t>
            </w:r>
          </w:p>
        </w:tc>
        <w:tc>
          <w:tcPr>
            <w:tcW w:w="0" w:type="auto"/>
            <w:vAlign w:val="center"/>
            <w:hideMark/>
          </w:tcPr>
          <w:p w14:paraId="2C29A31C" w14:textId="77777777" w:rsidR="00AC6AED" w:rsidRPr="00AC6AED" w:rsidRDefault="00AC6AED" w:rsidP="00AC6AED">
            <w:pPr>
              <w:rPr>
                <w:b/>
                <w:bCs/>
              </w:rPr>
            </w:pPr>
            <w:r w:rsidRPr="00AC6AED">
              <w:rPr>
                <w:b/>
                <w:bCs/>
              </w:rPr>
              <w:t>T</w:t>
            </w:r>
            <w:r w:rsidRPr="00AC6AED">
              <w:rPr>
                <w:b/>
                <w:bCs/>
              </w:rPr>
              <w:noBreakHyphen/>
              <w:t>45</w:t>
            </w:r>
          </w:p>
        </w:tc>
        <w:tc>
          <w:tcPr>
            <w:tcW w:w="0" w:type="auto"/>
            <w:vAlign w:val="center"/>
            <w:hideMark/>
          </w:tcPr>
          <w:p w14:paraId="54633B71" w14:textId="77777777" w:rsidR="00AC6AED" w:rsidRPr="00AC6AED" w:rsidRDefault="00AC6AED" w:rsidP="00AC6AED">
            <w:pPr>
              <w:rPr>
                <w:b/>
                <w:bCs/>
              </w:rPr>
            </w:pPr>
            <w:r w:rsidRPr="00AC6AED">
              <w:rPr>
                <w:b/>
                <w:bCs/>
              </w:rPr>
              <w:t>T</w:t>
            </w:r>
            <w:r w:rsidRPr="00AC6AED">
              <w:rPr>
                <w:b/>
                <w:bCs/>
              </w:rPr>
              <w:noBreakHyphen/>
              <w:t>30</w:t>
            </w:r>
          </w:p>
        </w:tc>
        <w:tc>
          <w:tcPr>
            <w:tcW w:w="0" w:type="auto"/>
            <w:vAlign w:val="center"/>
            <w:hideMark/>
          </w:tcPr>
          <w:p w14:paraId="7DEC48D2" w14:textId="77777777" w:rsidR="00AC6AED" w:rsidRPr="00AC6AED" w:rsidRDefault="00AC6AED" w:rsidP="00AC6AED">
            <w:pPr>
              <w:rPr>
                <w:b/>
                <w:bCs/>
              </w:rPr>
            </w:pPr>
            <w:r w:rsidRPr="00AC6AED">
              <w:rPr>
                <w:b/>
                <w:bCs/>
              </w:rPr>
              <w:t>T</w:t>
            </w:r>
            <w:r w:rsidRPr="00AC6AED">
              <w:rPr>
                <w:b/>
                <w:bCs/>
              </w:rPr>
              <w:noBreakHyphen/>
              <w:t>10</w:t>
            </w:r>
          </w:p>
        </w:tc>
        <w:tc>
          <w:tcPr>
            <w:tcW w:w="0" w:type="auto"/>
            <w:vAlign w:val="center"/>
            <w:hideMark/>
          </w:tcPr>
          <w:p w14:paraId="6CB29A45" w14:textId="77777777" w:rsidR="00AC6AED" w:rsidRPr="00AC6AED" w:rsidRDefault="00AC6AED" w:rsidP="00AC6AED">
            <w:pPr>
              <w:rPr>
                <w:b/>
                <w:bCs/>
              </w:rPr>
            </w:pPr>
            <w:r w:rsidRPr="00AC6AED">
              <w:rPr>
                <w:b/>
                <w:bCs/>
              </w:rPr>
              <w:t>T</w:t>
            </w:r>
            <w:r w:rsidRPr="00AC6AED">
              <w:rPr>
                <w:b/>
                <w:bCs/>
              </w:rPr>
              <w:noBreakHyphen/>
              <w:t>1</w:t>
            </w:r>
          </w:p>
        </w:tc>
        <w:tc>
          <w:tcPr>
            <w:tcW w:w="0" w:type="auto"/>
            <w:vAlign w:val="center"/>
            <w:hideMark/>
          </w:tcPr>
          <w:p w14:paraId="1AD53E2F" w14:textId="77777777" w:rsidR="00AC6AED" w:rsidRPr="00AC6AED" w:rsidRDefault="00AC6AED" w:rsidP="00AC6AED">
            <w:pPr>
              <w:rPr>
                <w:b/>
                <w:bCs/>
              </w:rPr>
            </w:pPr>
            <w:r w:rsidRPr="00AC6AED">
              <w:rPr>
                <w:b/>
                <w:bCs/>
              </w:rPr>
              <w:t>Event date</w:t>
            </w:r>
          </w:p>
        </w:tc>
      </w:tr>
      <w:tr w:rsidR="00AC6AED" w:rsidRPr="00AC6AED" w14:paraId="097CEB34" w14:textId="77777777">
        <w:trPr>
          <w:tblCellSpacing w:w="15" w:type="dxa"/>
        </w:trPr>
        <w:tc>
          <w:tcPr>
            <w:tcW w:w="0" w:type="auto"/>
            <w:vAlign w:val="center"/>
            <w:hideMark/>
          </w:tcPr>
          <w:p w14:paraId="212BAD1B" w14:textId="77777777" w:rsidR="00AC6AED" w:rsidRPr="00AC6AED" w:rsidRDefault="00AC6AED" w:rsidP="00AC6AED">
            <w:r w:rsidRPr="00AC6AED">
              <w:rPr>
                <w:b/>
                <w:bCs/>
              </w:rPr>
              <w:t>VNDA</w:t>
            </w:r>
          </w:p>
        </w:tc>
        <w:tc>
          <w:tcPr>
            <w:tcW w:w="0" w:type="auto"/>
            <w:vAlign w:val="center"/>
            <w:hideMark/>
          </w:tcPr>
          <w:p w14:paraId="239C9DD5" w14:textId="77777777" w:rsidR="00AC6AED" w:rsidRPr="00AC6AED" w:rsidRDefault="00AC6AED" w:rsidP="00AC6AED">
            <w:r w:rsidRPr="00AC6AED">
              <w:t>PDUFA/label action</w:t>
            </w:r>
          </w:p>
        </w:tc>
        <w:tc>
          <w:tcPr>
            <w:tcW w:w="0" w:type="auto"/>
            <w:vAlign w:val="center"/>
            <w:hideMark/>
          </w:tcPr>
          <w:p w14:paraId="4A5FC7A0" w14:textId="77777777" w:rsidR="00AC6AED" w:rsidRPr="00AC6AED" w:rsidRDefault="00AC6AED" w:rsidP="00AC6AED">
            <w:r w:rsidRPr="00AC6AED">
              <w:rPr>
                <w:b/>
                <w:bCs/>
              </w:rPr>
              <w:t>Feb 8</w:t>
            </w:r>
          </w:p>
        </w:tc>
        <w:tc>
          <w:tcPr>
            <w:tcW w:w="0" w:type="auto"/>
            <w:vAlign w:val="center"/>
            <w:hideMark/>
          </w:tcPr>
          <w:p w14:paraId="577A1765" w14:textId="77777777" w:rsidR="00AC6AED" w:rsidRPr="00AC6AED" w:rsidRDefault="00AC6AED" w:rsidP="00AC6AED">
            <w:r w:rsidRPr="00AC6AED">
              <w:t>—</w:t>
            </w:r>
          </w:p>
        </w:tc>
        <w:tc>
          <w:tcPr>
            <w:tcW w:w="0" w:type="auto"/>
            <w:vAlign w:val="center"/>
            <w:hideMark/>
          </w:tcPr>
          <w:p w14:paraId="01E06878" w14:textId="77777777" w:rsidR="00AC6AED" w:rsidRPr="00AC6AED" w:rsidRDefault="00AC6AED" w:rsidP="00AC6AED">
            <w:r w:rsidRPr="00AC6AED">
              <w:t>—</w:t>
            </w:r>
          </w:p>
        </w:tc>
        <w:tc>
          <w:tcPr>
            <w:tcW w:w="0" w:type="auto"/>
            <w:vAlign w:val="center"/>
            <w:hideMark/>
          </w:tcPr>
          <w:p w14:paraId="191470DA" w14:textId="77777777" w:rsidR="00AC6AED" w:rsidRPr="00AC6AED" w:rsidRDefault="00AC6AED" w:rsidP="00AC6AED">
            <w:r w:rsidRPr="00AC6AED">
              <w:rPr>
                <w:b/>
                <w:bCs/>
              </w:rPr>
              <w:t>—</w:t>
            </w:r>
          </w:p>
        </w:tc>
        <w:tc>
          <w:tcPr>
            <w:tcW w:w="0" w:type="auto"/>
            <w:vAlign w:val="center"/>
            <w:hideMark/>
          </w:tcPr>
          <w:p w14:paraId="403A29F3" w14:textId="77777777" w:rsidR="00AC6AED" w:rsidRPr="00AC6AED" w:rsidRDefault="00AC6AED" w:rsidP="00AC6AED">
            <w:r w:rsidRPr="00AC6AED">
              <w:rPr>
                <w:b/>
                <w:bCs/>
              </w:rPr>
              <w:t>—</w:t>
            </w:r>
          </w:p>
        </w:tc>
        <w:tc>
          <w:tcPr>
            <w:tcW w:w="0" w:type="auto"/>
            <w:vAlign w:val="center"/>
            <w:hideMark/>
          </w:tcPr>
          <w:p w14:paraId="12681616" w14:textId="77777777" w:rsidR="00AC6AED" w:rsidRPr="00AC6AED" w:rsidRDefault="00AC6AED" w:rsidP="00AC6AED">
            <w:r w:rsidRPr="00AC6AED">
              <w:t>—</w:t>
            </w:r>
          </w:p>
        </w:tc>
        <w:tc>
          <w:tcPr>
            <w:tcW w:w="0" w:type="auto"/>
            <w:vAlign w:val="center"/>
            <w:hideMark/>
          </w:tcPr>
          <w:p w14:paraId="3E24166B" w14:textId="77777777" w:rsidR="00AC6AED" w:rsidRPr="00AC6AED" w:rsidRDefault="00AC6AED" w:rsidP="00AC6AED">
            <w:r w:rsidRPr="00AC6AED">
              <w:t>Late Mar–Apr (est)</w:t>
            </w:r>
          </w:p>
        </w:tc>
      </w:tr>
      <w:tr w:rsidR="00AC6AED" w:rsidRPr="00AC6AED" w14:paraId="404CE458" w14:textId="77777777">
        <w:trPr>
          <w:tblCellSpacing w:w="15" w:type="dxa"/>
        </w:trPr>
        <w:tc>
          <w:tcPr>
            <w:tcW w:w="0" w:type="auto"/>
            <w:vAlign w:val="center"/>
            <w:hideMark/>
          </w:tcPr>
          <w:p w14:paraId="1857E5B0" w14:textId="77777777" w:rsidR="00AC6AED" w:rsidRPr="00AC6AED" w:rsidRDefault="00AC6AED" w:rsidP="00AC6AED">
            <w:r w:rsidRPr="00AC6AED">
              <w:rPr>
                <w:b/>
                <w:bCs/>
              </w:rPr>
              <w:t>ALDX</w:t>
            </w:r>
          </w:p>
        </w:tc>
        <w:tc>
          <w:tcPr>
            <w:tcW w:w="0" w:type="auto"/>
            <w:vAlign w:val="center"/>
            <w:hideMark/>
          </w:tcPr>
          <w:p w14:paraId="7F134276" w14:textId="77777777" w:rsidR="00AC6AED" w:rsidRPr="00AC6AED" w:rsidRDefault="00AC6AED" w:rsidP="00AC6AED">
            <w:r w:rsidRPr="00AC6AED">
              <w:t>Clinical readout</w:t>
            </w:r>
          </w:p>
        </w:tc>
        <w:tc>
          <w:tcPr>
            <w:tcW w:w="0" w:type="auto"/>
            <w:vAlign w:val="center"/>
            <w:hideMark/>
          </w:tcPr>
          <w:p w14:paraId="20E9AB8B" w14:textId="77777777" w:rsidR="00AC6AED" w:rsidRPr="00AC6AED" w:rsidRDefault="00AC6AED" w:rsidP="00AC6AED">
            <w:r w:rsidRPr="00AC6AED">
              <w:rPr>
                <w:b/>
                <w:bCs/>
              </w:rPr>
              <w:t>Feb 8</w:t>
            </w:r>
          </w:p>
        </w:tc>
        <w:tc>
          <w:tcPr>
            <w:tcW w:w="0" w:type="auto"/>
            <w:vAlign w:val="center"/>
            <w:hideMark/>
          </w:tcPr>
          <w:p w14:paraId="3F66C4F2" w14:textId="77777777" w:rsidR="00AC6AED" w:rsidRPr="00AC6AED" w:rsidRDefault="00AC6AED" w:rsidP="00AC6AED">
            <w:r w:rsidRPr="00AC6AED">
              <w:t>—</w:t>
            </w:r>
          </w:p>
        </w:tc>
        <w:tc>
          <w:tcPr>
            <w:tcW w:w="0" w:type="auto"/>
            <w:vAlign w:val="center"/>
            <w:hideMark/>
          </w:tcPr>
          <w:p w14:paraId="649E3C66" w14:textId="77777777" w:rsidR="00AC6AED" w:rsidRPr="00AC6AED" w:rsidRDefault="00AC6AED" w:rsidP="00AC6AED">
            <w:r w:rsidRPr="00AC6AED">
              <w:t>—</w:t>
            </w:r>
          </w:p>
        </w:tc>
        <w:tc>
          <w:tcPr>
            <w:tcW w:w="0" w:type="auto"/>
            <w:vAlign w:val="center"/>
            <w:hideMark/>
          </w:tcPr>
          <w:p w14:paraId="257FEFA5" w14:textId="77777777" w:rsidR="00AC6AED" w:rsidRPr="00AC6AED" w:rsidRDefault="00AC6AED" w:rsidP="00AC6AED">
            <w:r w:rsidRPr="00AC6AED">
              <w:rPr>
                <w:b/>
                <w:bCs/>
              </w:rPr>
              <w:t>—</w:t>
            </w:r>
          </w:p>
        </w:tc>
        <w:tc>
          <w:tcPr>
            <w:tcW w:w="0" w:type="auto"/>
            <w:vAlign w:val="center"/>
            <w:hideMark/>
          </w:tcPr>
          <w:p w14:paraId="38195792" w14:textId="77777777" w:rsidR="00AC6AED" w:rsidRPr="00AC6AED" w:rsidRDefault="00AC6AED" w:rsidP="00AC6AED">
            <w:r w:rsidRPr="00AC6AED">
              <w:rPr>
                <w:b/>
                <w:bCs/>
              </w:rPr>
              <w:t>—</w:t>
            </w:r>
          </w:p>
        </w:tc>
        <w:tc>
          <w:tcPr>
            <w:tcW w:w="0" w:type="auto"/>
            <w:vAlign w:val="center"/>
            <w:hideMark/>
          </w:tcPr>
          <w:p w14:paraId="3F415295" w14:textId="77777777" w:rsidR="00AC6AED" w:rsidRPr="00AC6AED" w:rsidRDefault="00AC6AED" w:rsidP="00AC6AED">
            <w:r w:rsidRPr="00AC6AED">
              <w:t>—</w:t>
            </w:r>
          </w:p>
        </w:tc>
        <w:tc>
          <w:tcPr>
            <w:tcW w:w="0" w:type="auto"/>
            <w:vAlign w:val="center"/>
            <w:hideMark/>
          </w:tcPr>
          <w:p w14:paraId="4809F01A" w14:textId="77777777" w:rsidR="00AC6AED" w:rsidRPr="00AC6AED" w:rsidRDefault="00AC6AED" w:rsidP="00AC6AED">
            <w:r w:rsidRPr="00AC6AED">
              <w:t>Mar–Apr (est)</w:t>
            </w:r>
          </w:p>
        </w:tc>
      </w:tr>
      <w:tr w:rsidR="00AC6AED" w:rsidRPr="00AC6AED" w14:paraId="72C93ADC" w14:textId="77777777">
        <w:trPr>
          <w:tblCellSpacing w:w="15" w:type="dxa"/>
        </w:trPr>
        <w:tc>
          <w:tcPr>
            <w:tcW w:w="0" w:type="auto"/>
            <w:vAlign w:val="center"/>
            <w:hideMark/>
          </w:tcPr>
          <w:p w14:paraId="60E0E812" w14:textId="77777777" w:rsidR="00AC6AED" w:rsidRPr="00AC6AED" w:rsidRDefault="00AC6AED" w:rsidP="00AC6AED">
            <w:r w:rsidRPr="00AC6AED">
              <w:rPr>
                <w:b/>
                <w:bCs/>
              </w:rPr>
              <w:t>LNTH</w:t>
            </w:r>
            <w:r w:rsidRPr="00AC6AED">
              <w:t xml:space="preserve"> (piflufolastat)</w:t>
            </w:r>
          </w:p>
        </w:tc>
        <w:tc>
          <w:tcPr>
            <w:tcW w:w="0" w:type="auto"/>
            <w:vAlign w:val="center"/>
            <w:hideMark/>
          </w:tcPr>
          <w:p w14:paraId="2F33EE28" w14:textId="77777777" w:rsidR="00AC6AED" w:rsidRPr="00AC6AED" w:rsidRDefault="00AC6AED" w:rsidP="00AC6AED">
            <w:r w:rsidRPr="00AC6AED">
              <w:t>sNDA / 2nd label</w:t>
            </w:r>
          </w:p>
        </w:tc>
        <w:tc>
          <w:tcPr>
            <w:tcW w:w="0" w:type="auto"/>
            <w:vAlign w:val="center"/>
            <w:hideMark/>
          </w:tcPr>
          <w:p w14:paraId="7644326B" w14:textId="77777777" w:rsidR="00AC6AED" w:rsidRPr="00AC6AED" w:rsidRDefault="00AC6AED" w:rsidP="00AC6AED">
            <w:r w:rsidRPr="00AC6AED">
              <w:rPr>
                <w:b/>
                <w:bCs/>
              </w:rPr>
              <w:t>Feb 8</w:t>
            </w:r>
          </w:p>
        </w:tc>
        <w:tc>
          <w:tcPr>
            <w:tcW w:w="0" w:type="auto"/>
            <w:vAlign w:val="center"/>
            <w:hideMark/>
          </w:tcPr>
          <w:p w14:paraId="314F346C" w14:textId="77777777" w:rsidR="00AC6AED" w:rsidRPr="00AC6AED" w:rsidRDefault="00AC6AED" w:rsidP="00AC6AED">
            <w:r w:rsidRPr="00AC6AED">
              <w:t>—</w:t>
            </w:r>
          </w:p>
        </w:tc>
        <w:tc>
          <w:tcPr>
            <w:tcW w:w="0" w:type="auto"/>
            <w:vAlign w:val="center"/>
            <w:hideMark/>
          </w:tcPr>
          <w:p w14:paraId="469AEF52" w14:textId="77777777" w:rsidR="00AC6AED" w:rsidRPr="00AC6AED" w:rsidRDefault="00AC6AED" w:rsidP="00AC6AED">
            <w:r w:rsidRPr="00AC6AED">
              <w:t>—</w:t>
            </w:r>
          </w:p>
        </w:tc>
        <w:tc>
          <w:tcPr>
            <w:tcW w:w="0" w:type="auto"/>
            <w:vAlign w:val="center"/>
            <w:hideMark/>
          </w:tcPr>
          <w:p w14:paraId="40DBFFB2" w14:textId="77777777" w:rsidR="00AC6AED" w:rsidRPr="00AC6AED" w:rsidRDefault="00AC6AED" w:rsidP="00AC6AED">
            <w:r w:rsidRPr="00AC6AED">
              <w:rPr>
                <w:b/>
                <w:bCs/>
              </w:rPr>
              <w:t>—</w:t>
            </w:r>
          </w:p>
        </w:tc>
        <w:tc>
          <w:tcPr>
            <w:tcW w:w="0" w:type="auto"/>
            <w:vAlign w:val="center"/>
            <w:hideMark/>
          </w:tcPr>
          <w:p w14:paraId="52ED2083" w14:textId="77777777" w:rsidR="00AC6AED" w:rsidRPr="00AC6AED" w:rsidRDefault="00AC6AED" w:rsidP="00AC6AED">
            <w:r w:rsidRPr="00AC6AED">
              <w:rPr>
                <w:b/>
                <w:bCs/>
              </w:rPr>
              <w:t>—</w:t>
            </w:r>
          </w:p>
        </w:tc>
        <w:tc>
          <w:tcPr>
            <w:tcW w:w="0" w:type="auto"/>
            <w:vAlign w:val="center"/>
            <w:hideMark/>
          </w:tcPr>
          <w:p w14:paraId="6E051B0D" w14:textId="77777777" w:rsidR="00AC6AED" w:rsidRPr="00AC6AED" w:rsidRDefault="00AC6AED" w:rsidP="00AC6AED">
            <w:r w:rsidRPr="00AC6AED">
              <w:t>—</w:t>
            </w:r>
          </w:p>
        </w:tc>
        <w:tc>
          <w:tcPr>
            <w:tcW w:w="0" w:type="auto"/>
            <w:vAlign w:val="center"/>
            <w:hideMark/>
          </w:tcPr>
          <w:p w14:paraId="54EBBD47" w14:textId="77777777" w:rsidR="00AC6AED" w:rsidRPr="00AC6AED" w:rsidRDefault="00AC6AED" w:rsidP="00AC6AED">
            <w:r w:rsidRPr="00AC6AED">
              <w:t>Mar (est)</w:t>
            </w:r>
          </w:p>
        </w:tc>
      </w:tr>
      <w:tr w:rsidR="00AC6AED" w:rsidRPr="00AC6AED" w14:paraId="7727C8F0" w14:textId="77777777">
        <w:trPr>
          <w:tblCellSpacing w:w="15" w:type="dxa"/>
        </w:trPr>
        <w:tc>
          <w:tcPr>
            <w:tcW w:w="0" w:type="auto"/>
            <w:vAlign w:val="center"/>
            <w:hideMark/>
          </w:tcPr>
          <w:p w14:paraId="2CE4039B" w14:textId="77777777" w:rsidR="00AC6AED" w:rsidRPr="00AC6AED" w:rsidRDefault="00AC6AED" w:rsidP="00AC6AED">
            <w:r w:rsidRPr="00AC6AED">
              <w:rPr>
                <w:b/>
                <w:bCs/>
              </w:rPr>
              <w:t>LNTH</w:t>
            </w:r>
            <w:r w:rsidRPr="00AC6AED">
              <w:rPr>
                <w:b/>
                <w:bCs/>
              </w:rPr>
              <w:noBreakHyphen/>
              <w:t>2501</w:t>
            </w:r>
          </w:p>
        </w:tc>
        <w:tc>
          <w:tcPr>
            <w:tcW w:w="0" w:type="auto"/>
            <w:vAlign w:val="center"/>
            <w:hideMark/>
          </w:tcPr>
          <w:p w14:paraId="426B2A8C" w14:textId="77777777" w:rsidR="00AC6AED" w:rsidRPr="00AC6AED" w:rsidRDefault="00AC6AED" w:rsidP="00AC6AED">
            <w:r w:rsidRPr="00AC6AED">
              <w:t>Pipeline data</w:t>
            </w:r>
          </w:p>
        </w:tc>
        <w:tc>
          <w:tcPr>
            <w:tcW w:w="0" w:type="auto"/>
            <w:vAlign w:val="center"/>
            <w:hideMark/>
          </w:tcPr>
          <w:p w14:paraId="244C2383" w14:textId="77777777" w:rsidR="00AC6AED" w:rsidRPr="00AC6AED" w:rsidRDefault="00AC6AED" w:rsidP="00AC6AED">
            <w:r w:rsidRPr="00AC6AED">
              <w:rPr>
                <w:b/>
                <w:bCs/>
              </w:rPr>
              <w:t>Feb 8</w:t>
            </w:r>
          </w:p>
        </w:tc>
        <w:tc>
          <w:tcPr>
            <w:tcW w:w="0" w:type="auto"/>
            <w:vAlign w:val="center"/>
            <w:hideMark/>
          </w:tcPr>
          <w:p w14:paraId="17FB2C96" w14:textId="77777777" w:rsidR="00AC6AED" w:rsidRPr="00AC6AED" w:rsidRDefault="00AC6AED" w:rsidP="00AC6AED">
            <w:r w:rsidRPr="00AC6AED">
              <w:t>—</w:t>
            </w:r>
          </w:p>
        </w:tc>
        <w:tc>
          <w:tcPr>
            <w:tcW w:w="0" w:type="auto"/>
            <w:vAlign w:val="center"/>
            <w:hideMark/>
          </w:tcPr>
          <w:p w14:paraId="19EA41B9" w14:textId="77777777" w:rsidR="00AC6AED" w:rsidRPr="00AC6AED" w:rsidRDefault="00AC6AED" w:rsidP="00AC6AED">
            <w:r w:rsidRPr="00AC6AED">
              <w:t>—</w:t>
            </w:r>
          </w:p>
        </w:tc>
        <w:tc>
          <w:tcPr>
            <w:tcW w:w="0" w:type="auto"/>
            <w:vAlign w:val="center"/>
            <w:hideMark/>
          </w:tcPr>
          <w:p w14:paraId="4AE817C5" w14:textId="77777777" w:rsidR="00AC6AED" w:rsidRPr="00AC6AED" w:rsidRDefault="00AC6AED" w:rsidP="00AC6AED">
            <w:r w:rsidRPr="00AC6AED">
              <w:rPr>
                <w:b/>
                <w:bCs/>
              </w:rPr>
              <w:t>—</w:t>
            </w:r>
          </w:p>
        </w:tc>
        <w:tc>
          <w:tcPr>
            <w:tcW w:w="0" w:type="auto"/>
            <w:vAlign w:val="center"/>
            <w:hideMark/>
          </w:tcPr>
          <w:p w14:paraId="44E4B7EF" w14:textId="77777777" w:rsidR="00AC6AED" w:rsidRPr="00AC6AED" w:rsidRDefault="00AC6AED" w:rsidP="00AC6AED">
            <w:r w:rsidRPr="00AC6AED">
              <w:rPr>
                <w:b/>
                <w:bCs/>
              </w:rPr>
              <w:t>—</w:t>
            </w:r>
          </w:p>
        </w:tc>
        <w:tc>
          <w:tcPr>
            <w:tcW w:w="0" w:type="auto"/>
            <w:vAlign w:val="center"/>
            <w:hideMark/>
          </w:tcPr>
          <w:p w14:paraId="15711DB9" w14:textId="77777777" w:rsidR="00AC6AED" w:rsidRPr="00AC6AED" w:rsidRDefault="00AC6AED" w:rsidP="00AC6AED">
            <w:r w:rsidRPr="00AC6AED">
              <w:t>—</w:t>
            </w:r>
          </w:p>
        </w:tc>
        <w:tc>
          <w:tcPr>
            <w:tcW w:w="0" w:type="auto"/>
            <w:vAlign w:val="center"/>
            <w:hideMark/>
          </w:tcPr>
          <w:p w14:paraId="2F8E0A24" w14:textId="77777777" w:rsidR="00AC6AED" w:rsidRPr="00AC6AED" w:rsidRDefault="00AC6AED" w:rsidP="00AC6AED">
            <w:r w:rsidRPr="00AC6AED">
              <w:t>Apr (est)</w:t>
            </w:r>
          </w:p>
        </w:tc>
      </w:tr>
      <w:tr w:rsidR="00AC6AED" w:rsidRPr="00AC6AED" w14:paraId="4F9025DA" w14:textId="77777777">
        <w:trPr>
          <w:tblCellSpacing w:w="15" w:type="dxa"/>
        </w:trPr>
        <w:tc>
          <w:tcPr>
            <w:tcW w:w="0" w:type="auto"/>
            <w:vAlign w:val="center"/>
            <w:hideMark/>
          </w:tcPr>
          <w:p w14:paraId="4C54926D" w14:textId="77777777" w:rsidR="00AC6AED" w:rsidRPr="00AC6AED" w:rsidRDefault="00AC6AED" w:rsidP="00AC6AED">
            <w:r w:rsidRPr="00AC6AED">
              <w:rPr>
                <w:b/>
                <w:bCs/>
              </w:rPr>
              <w:t>ACHV</w:t>
            </w:r>
          </w:p>
        </w:tc>
        <w:tc>
          <w:tcPr>
            <w:tcW w:w="0" w:type="auto"/>
            <w:vAlign w:val="center"/>
            <w:hideMark/>
          </w:tcPr>
          <w:p w14:paraId="63824785" w14:textId="77777777" w:rsidR="00AC6AED" w:rsidRPr="00AC6AED" w:rsidRDefault="00AC6AED" w:rsidP="00AC6AED">
            <w:r w:rsidRPr="00AC6AED">
              <w:t>Regulatory update</w:t>
            </w:r>
          </w:p>
        </w:tc>
        <w:tc>
          <w:tcPr>
            <w:tcW w:w="0" w:type="auto"/>
            <w:vAlign w:val="center"/>
            <w:hideMark/>
          </w:tcPr>
          <w:p w14:paraId="17FEB70D" w14:textId="77777777" w:rsidR="00AC6AED" w:rsidRPr="00AC6AED" w:rsidRDefault="00AC6AED" w:rsidP="00AC6AED">
            <w:r w:rsidRPr="00AC6AED">
              <w:rPr>
                <w:b/>
                <w:bCs/>
              </w:rPr>
              <w:t>Mar 22</w:t>
            </w:r>
          </w:p>
        </w:tc>
        <w:tc>
          <w:tcPr>
            <w:tcW w:w="0" w:type="auto"/>
            <w:vAlign w:val="center"/>
            <w:hideMark/>
          </w:tcPr>
          <w:p w14:paraId="21C11942" w14:textId="77777777" w:rsidR="00AC6AED" w:rsidRPr="00AC6AED" w:rsidRDefault="00AC6AED" w:rsidP="00AC6AED">
            <w:r w:rsidRPr="00AC6AED">
              <w:t>—</w:t>
            </w:r>
          </w:p>
        </w:tc>
        <w:tc>
          <w:tcPr>
            <w:tcW w:w="0" w:type="auto"/>
            <w:vAlign w:val="center"/>
            <w:hideMark/>
          </w:tcPr>
          <w:p w14:paraId="07F2C0E9" w14:textId="77777777" w:rsidR="00AC6AED" w:rsidRPr="00AC6AED" w:rsidRDefault="00AC6AED" w:rsidP="00AC6AED">
            <w:r w:rsidRPr="00AC6AED">
              <w:t>—</w:t>
            </w:r>
          </w:p>
        </w:tc>
        <w:tc>
          <w:tcPr>
            <w:tcW w:w="0" w:type="auto"/>
            <w:vAlign w:val="center"/>
            <w:hideMark/>
          </w:tcPr>
          <w:p w14:paraId="06DF6C83" w14:textId="77777777" w:rsidR="00AC6AED" w:rsidRPr="00AC6AED" w:rsidRDefault="00AC6AED" w:rsidP="00AC6AED">
            <w:r w:rsidRPr="00AC6AED">
              <w:rPr>
                <w:b/>
                <w:bCs/>
              </w:rPr>
              <w:t>Apr 21</w:t>
            </w:r>
          </w:p>
        </w:tc>
        <w:tc>
          <w:tcPr>
            <w:tcW w:w="0" w:type="auto"/>
            <w:vAlign w:val="center"/>
            <w:hideMark/>
          </w:tcPr>
          <w:p w14:paraId="4452841A" w14:textId="77777777" w:rsidR="00AC6AED" w:rsidRPr="00AC6AED" w:rsidRDefault="00AC6AED" w:rsidP="00AC6AED">
            <w:r w:rsidRPr="00AC6AED">
              <w:rPr>
                <w:b/>
                <w:bCs/>
              </w:rPr>
              <w:t>May 11</w:t>
            </w:r>
          </w:p>
        </w:tc>
        <w:tc>
          <w:tcPr>
            <w:tcW w:w="0" w:type="auto"/>
            <w:vAlign w:val="center"/>
            <w:hideMark/>
          </w:tcPr>
          <w:p w14:paraId="2CA2C139" w14:textId="77777777" w:rsidR="00AC6AED" w:rsidRPr="00AC6AED" w:rsidRDefault="00AC6AED" w:rsidP="00AC6AED">
            <w:r w:rsidRPr="00AC6AED">
              <w:t>May 20</w:t>
            </w:r>
          </w:p>
        </w:tc>
        <w:tc>
          <w:tcPr>
            <w:tcW w:w="0" w:type="auto"/>
            <w:vAlign w:val="center"/>
            <w:hideMark/>
          </w:tcPr>
          <w:p w14:paraId="7ADB7122" w14:textId="77777777" w:rsidR="00AC6AED" w:rsidRPr="00AC6AED" w:rsidRDefault="00AC6AED" w:rsidP="00AC6AED">
            <w:r w:rsidRPr="00AC6AED">
              <w:t>Late May (est)</w:t>
            </w:r>
          </w:p>
        </w:tc>
      </w:tr>
      <w:tr w:rsidR="00AC6AED" w:rsidRPr="00AC6AED" w14:paraId="448F57E1" w14:textId="77777777">
        <w:trPr>
          <w:tblCellSpacing w:w="15" w:type="dxa"/>
        </w:trPr>
        <w:tc>
          <w:tcPr>
            <w:tcW w:w="0" w:type="auto"/>
            <w:vAlign w:val="center"/>
            <w:hideMark/>
          </w:tcPr>
          <w:p w14:paraId="680909D0" w14:textId="77777777" w:rsidR="00AC6AED" w:rsidRPr="00AC6AED" w:rsidRDefault="00AC6AED" w:rsidP="00AC6AED">
            <w:r w:rsidRPr="00AC6AED">
              <w:rPr>
                <w:b/>
                <w:bCs/>
              </w:rPr>
              <w:t>SOBI</w:t>
            </w:r>
          </w:p>
        </w:tc>
        <w:tc>
          <w:tcPr>
            <w:tcW w:w="0" w:type="auto"/>
            <w:vAlign w:val="center"/>
            <w:hideMark/>
          </w:tcPr>
          <w:p w14:paraId="3DCA66CD" w14:textId="77777777" w:rsidR="00AC6AED" w:rsidRPr="00AC6AED" w:rsidRDefault="00AC6AED" w:rsidP="00AC6AED">
            <w:r w:rsidRPr="00AC6AED">
              <w:t>US filing/decision node</w:t>
            </w:r>
          </w:p>
        </w:tc>
        <w:tc>
          <w:tcPr>
            <w:tcW w:w="0" w:type="auto"/>
            <w:vAlign w:val="center"/>
            <w:hideMark/>
          </w:tcPr>
          <w:p w14:paraId="18D69214" w14:textId="77777777" w:rsidR="00AC6AED" w:rsidRPr="00AC6AED" w:rsidRDefault="00AC6AED" w:rsidP="00AC6AED">
            <w:r w:rsidRPr="00AC6AED">
              <w:rPr>
                <w:b/>
                <w:bCs/>
              </w:rPr>
              <w:t>Mar 29</w:t>
            </w:r>
          </w:p>
        </w:tc>
        <w:tc>
          <w:tcPr>
            <w:tcW w:w="0" w:type="auto"/>
            <w:vAlign w:val="center"/>
            <w:hideMark/>
          </w:tcPr>
          <w:p w14:paraId="7AAEC74E" w14:textId="77777777" w:rsidR="00AC6AED" w:rsidRPr="00AC6AED" w:rsidRDefault="00AC6AED" w:rsidP="00AC6AED">
            <w:r w:rsidRPr="00AC6AED">
              <w:t>—</w:t>
            </w:r>
          </w:p>
        </w:tc>
        <w:tc>
          <w:tcPr>
            <w:tcW w:w="0" w:type="auto"/>
            <w:vAlign w:val="center"/>
            <w:hideMark/>
          </w:tcPr>
          <w:p w14:paraId="1E20E476" w14:textId="77777777" w:rsidR="00AC6AED" w:rsidRPr="00AC6AED" w:rsidRDefault="00AC6AED" w:rsidP="00AC6AED">
            <w:r w:rsidRPr="00AC6AED">
              <w:t>—</w:t>
            </w:r>
          </w:p>
        </w:tc>
        <w:tc>
          <w:tcPr>
            <w:tcW w:w="0" w:type="auto"/>
            <w:vAlign w:val="center"/>
            <w:hideMark/>
          </w:tcPr>
          <w:p w14:paraId="6EE956B6" w14:textId="77777777" w:rsidR="00AC6AED" w:rsidRPr="00AC6AED" w:rsidRDefault="00AC6AED" w:rsidP="00AC6AED">
            <w:r w:rsidRPr="00AC6AED">
              <w:rPr>
                <w:b/>
                <w:bCs/>
              </w:rPr>
              <w:t>Apr 28</w:t>
            </w:r>
          </w:p>
        </w:tc>
        <w:tc>
          <w:tcPr>
            <w:tcW w:w="0" w:type="auto"/>
            <w:vAlign w:val="center"/>
            <w:hideMark/>
          </w:tcPr>
          <w:p w14:paraId="08B067C7" w14:textId="77777777" w:rsidR="00AC6AED" w:rsidRPr="00AC6AED" w:rsidRDefault="00AC6AED" w:rsidP="00AC6AED">
            <w:r w:rsidRPr="00AC6AED">
              <w:rPr>
                <w:b/>
                <w:bCs/>
              </w:rPr>
              <w:t>May 18</w:t>
            </w:r>
          </w:p>
        </w:tc>
        <w:tc>
          <w:tcPr>
            <w:tcW w:w="0" w:type="auto"/>
            <w:vAlign w:val="center"/>
            <w:hideMark/>
          </w:tcPr>
          <w:p w14:paraId="7289E0E2" w14:textId="77777777" w:rsidR="00AC6AED" w:rsidRPr="00AC6AED" w:rsidRDefault="00AC6AED" w:rsidP="00AC6AED">
            <w:r w:rsidRPr="00AC6AED">
              <w:t>May 27</w:t>
            </w:r>
          </w:p>
        </w:tc>
        <w:tc>
          <w:tcPr>
            <w:tcW w:w="0" w:type="auto"/>
            <w:vAlign w:val="center"/>
            <w:hideMark/>
          </w:tcPr>
          <w:p w14:paraId="2E8522A8" w14:textId="77777777" w:rsidR="00AC6AED" w:rsidRPr="00AC6AED" w:rsidRDefault="00AC6AED" w:rsidP="00AC6AED">
            <w:r w:rsidRPr="00AC6AED">
              <w:t>Late May–Jun (est)</w:t>
            </w:r>
          </w:p>
        </w:tc>
      </w:tr>
    </w:tbl>
    <w:p w14:paraId="4A2B2C34" w14:textId="77777777" w:rsidR="00AC6AED" w:rsidRPr="00AC6AED" w:rsidRDefault="00AC6AED" w:rsidP="00AC6AED">
      <w:r w:rsidRPr="00AC6AED">
        <w:rPr>
          <w:b/>
          <w:bCs/>
        </w:rPr>
        <w:t>How to read this:</w:t>
      </w:r>
    </w:p>
    <w:p w14:paraId="754B9C15" w14:textId="77777777" w:rsidR="00AC6AED" w:rsidRPr="00AC6AED" w:rsidRDefault="00AC6AED" w:rsidP="00AC6AED">
      <w:pPr>
        <w:numPr>
          <w:ilvl w:val="0"/>
          <w:numId w:val="51"/>
        </w:numPr>
      </w:pPr>
      <w:r w:rsidRPr="00AC6AED">
        <w:rPr>
          <w:b/>
          <w:bCs/>
        </w:rPr>
        <w:t>Entry date</w:t>
      </w:r>
      <w:r w:rsidRPr="00AC6AED">
        <w:t xml:space="preserve"> = when ODIN “opens” the antenna (start building, test spreads).</w:t>
      </w:r>
    </w:p>
    <w:p w14:paraId="70AFBF9F" w14:textId="77777777" w:rsidR="00AC6AED" w:rsidRPr="00AC6AED" w:rsidRDefault="00AC6AED" w:rsidP="00AC6AED">
      <w:pPr>
        <w:numPr>
          <w:ilvl w:val="0"/>
          <w:numId w:val="51"/>
        </w:numPr>
      </w:pPr>
      <w:r w:rsidRPr="00AC6AED">
        <w:rPr>
          <w:b/>
          <w:bCs/>
        </w:rPr>
        <w:t>T</w:t>
      </w:r>
      <w:r w:rsidRPr="00AC6AED">
        <w:rPr>
          <w:b/>
          <w:bCs/>
        </w:rPr>
        <w:noBreakHyphen/>
        <w:t>30→T</w:t>
      </w:r>
      <w:r w:rsidRPr="00AC6AED">
        <w:rPr>
          <w:b/>
          <w:bCs/>
        </w:rPr>
        <w:noBreakHyphen/>
        <w:t>10</w:t>
      </w:r>
      <w:r w:rsidRPr="00AC6AED">
        <w:t xml:space="preserve"> = highest convexity subwindow (we concentrate calls/debit spreads, trim if IV spikes).</w:t>
      </w:r>
    </w:p>
    <w:p w14:paraId="2157297B" w14:textId="77777777" w:rsidR="00AC6AED" w:rsidRPr="00AC6AED" w:rsidRDefault="00AC6AED" w:rsidP="00AC6AED">
      <w:pPr>
        <w:numPr>
          <w:ilvl w:val="0"/>
          <w:numId w:val="51"/>
        </w:numPr>
      </w:pPr>
      <w:r w:rsidRPr="00AC6AED">
        <w:rPr>
          <w:b/>
          <w:bCs/>
        </w:rPr>
        <w:t>T</w:t>
      </w:r>
      <w:r w:rsidRPr="00AC6AED">
        <w:rPr>
          <w:b/>
          <w:bCs/>
        </w:rPr>
        <w:noBreakHyphen/>
        <w:t>1</w:t>
      </w:r>
      <w:r w:rsidRPr="00AC6AED">
        <w:t xml:space="preserve"> = compliance gate (no new directional bets; hedges only).</w:t>
      </w:r>
    </w:p>
    <w:p w14:paraId="27DF0AC2" w14:textId="77777777" w:rsidR="00AC6AED" w:rsidRPr="00AC6AED" w:rsidRDefault="00AC6AED" w:rsidP="00AC6AED">
      <w:r w:rsidRPr="00AC6AED">
        <w:pict w14:anchorId="01A71ECA">
          <v:rect id="_x0000_i1065" style="width:0;height:1.5pt" o:hralign="center" o:hrstd="t" o:hr="t" fillcolor="#a0a0a0" stroked="f"/>
        </w:pict>
      </w:r>
    </w:p>
    <w:p w14:paraId="32AC7B5C" w14:textId="77777777" w:rsidR="00AC6AED" w:rsidRPr="00AC6AED" w:rsidRDefault="00AC6AED" w:rsidP="00AC6AED">
      <w:pPr>
        <w:rPr>
          <w:b/>
          <w:bCs/>
        </w:rPr>
      </w:pPr>
      <w:r w:rsidRPr="00AC6AED">
        <w:rPr>
          <w:b/>
          <w:bCs/>
        </w:rPr>
        <w:t>ODIN monitoring triggers (wire these gates)</w:t>
      </w:r>
    </w:p>
    <w:p w14:paraId="1E054BD2" w14:textId="77777777" w:rsidR="00AC6AED" w:rsidRPr="00AC6AED" w:rsidRDefault="00AC6AED" w:rsidP="00AC6AED">
      <w:pPr>
        <w:numPr>
          <w:ilvl w:val="0"/>
          <w:numId w:val="52"/>
        </w:numPr>
      </w:pPr>
      <w:r w:rsidRPr="00AC6AED">
        <w:rPr>
          <w:b/>
          <w:bCs/>
        </w:rPr>
        <w:t>IV_rank ≥ 70</w:t>
      </w:r>
      <w:r w:rsidRPr="00AC6AED">
        <w:t xml:space="preserve"> → scale entries slower; prefer spreads over naked.</w:t>
      </w:r>
    </w:p>
    <w:p w14:paraId="4C3A7122" w14:textId="77777777" w:rsidR="00AC6AED" w:rsidRPr="00AC6AED" w:rsidRDefault="00AC6AED" w:rsidP="00AC6AED">
      <w:pPr>
        <w:numPr>
          <w:ilvl w:val="0"/>
          <w:numId w:val="52"/>
        </w:numPr>
      </w:pPr>
      <w:r w:rsidRPr="00AC6AED">
        <w:rPr>
          <w:b/>
          <w:bCs/>
        </w:rPr>
        <w:t>Borrow/utilization ≥ 85%</w:t>
      </w:r>
      <w:r w:rsidRPr="00AC6AED">
        <w:t xml:space="preserve"> → no short commons; use put spreads only.</w:t>
      </w:r>
    </w:p>
    <w:p w14:paraId="791307E1" w14:textId="77777777" w:rsidR="00AC6AED" w:rsidRPr="00AC6AED" w:rsidRDefault="00AC6AED" w:rsidP="00AC6AED">
      <w:pPr>
        <w:numPr>
          <w:ilvl w:val="0"/>
          <w:numId w:val="52"/>
        </w:numPr>
      </w:pPr>
      <w:r w:rsidRPr="00AC6AED">
        <w:rPr>
          <w:b/>
          <w:bCs/>
        </w:rPr>
        <w:t>Dealer</w:t>
      </w:r>
      <w:r w:rsidRPr="00AC6AED">
        <w:rPr>
          <w:b/>
          <w:bCs/>
        </w:rPr>
        <w:noBreakHyphen/>
        <w:t>gamma flips negative</w:t>
      </w:r>
      <w:r w:rsidRPr="00AC6AED">
        <w:t xml:space="preserve"> (per intraday calc) → allow opportunistic hedge adds.</w:t>
      </w:r>
    </w:p>
    <w:p w14:paraId="6A223D78" w14:textId="77777777" w:rsidR="00AC6AED" w:rsidRPr="00AC6AED" w:rsidRDefault="00AC6AED" w:rsidP="00AC6AED">
      <w:pPr>
        <w:numPr>
          <w:ilvl w:val="0"/>
          <w:numId w:val="52"/>
        </w:numPr>
      </w:pPr>
      <w:r w:rsidRPr="00AC6AED">
        <w:rPr>
          <w:b/>
          <w:bCs/>
        </w:rPr>
        <w:t>Tape/LIQ</w:t>
      </w:r>
      <w:r w:rsidRPr="00AC6AED">
        <w:t>: if avg dollar volume &lt; 3× baseline inside T</w:t>
      </w:r>
      <w:r w:rsidRPr="00AC6AED">
        <w:noBreakHyphen/>
        <w:t>10, cap size at ½ normal.</w:t>
      </w:r>
    </w:p>
    <w:p w14:paraId="3E9D12D0" w14:textId="77777777" w:rsidR="00AC6AED" w:rsidRPr="00AC6AED" w:rsidRDefault="00AC6AED" w:rsidP="00AC6AED">
      <w:pPr>
        <w:numPr>
          <w:ilvl w:val="0"/>
          <w:numId w:val="52"/>
        </w:numPr>
      </w:pPr>
      <w:r w:rsidRPr="00AC6AED">
        <w:rPr>
          <w:b/>
          <w:bCs/>
        </w:rPr>
        <w:t>News hygiene</w:t>
      </w:r>
      <w:r w:rsidRPr="00AC6AED">
        <w:t>: any FDA “deficiencies” hint or RTF risk → drop to hedge</w:t>
      </w:r>
      <w:r w:rsidRPr="00AC6AED">
        <w:noBreakHyphen/>
        <w:t>only.</w:t>
      </w:r>
    </w:p>
    <w:p w14:paraId="2AE796D2" w14:textId="77777777" w:rsidR="00AC6AED" w:rsidRPr="00AC6AED" w:rsidRDefault="00AC6AED" w:rsidP="00AC6AED">
      <w:r w:rsidRPr="00AC6AED">
        <w:pict w14:anchorId="0354D6C5">
          <v:rect id="_x0000_i1066" style="width:0;height:1.5pt" o:hralign="center" o:hrstd="t" o:hr="t" fillcolor="#a0a0a0" stroked="f"/>
        </w:pict>
      </w:r>
    </w:p>
    <w:p w14:paraId="1191C74A" w14:textId="77777777" w:rsidR="00AC6AED" w:rsidRPr="00AC6AED" w:rsidRDefault="00AC6AED" w:rsidP="00AC6AED">
      <w:pPr>
        <w:rPr>
          <w:b/>
          <w:bCs/>
        </w:rPr>
      </w:pPr>
      <w:r w:rsidRPr="00AC6AED">
        <w:rPr>
          <w:b/>
          <w:bCs/>
        </w:rPr>
        <w:lastRenderedPageBreak/>
        <w:t>Quick actions</w:t>
      </w:r>
    </w:p>
    <w:p w14:paraId="209722EC" w14:textId="77777777" w:rsidR="00AC6AED" w:rsidRPr="00AC6AED" w:rsidRDefault="00AC6AED" w:rsidP="00AC6AED">
      <w:pPr>
        <w:numPr>
          <w:ilvl w:val="0"/>
          <w:numId w:val="53"/>
        </w:numPr>
      </w:pPr>
      <w:r w:rsidRPr="00AC6AED">
        <w:rPr>
          <w:b/>
          <w:bCs/>
        </w:rPr>
        <w:t>Open now (Feb 8):</w:t>
      </w:r>
      <w:r w:rsidRPr="00AC6AED">
        <w:t xml:space="preserve"> VNDA, ALDX, LNTH (piflufolastat), LNTH</w:t>
      </w:r>
      <w:r w:rsidRPr="00AC6AED">
        <w:noBreakHyphen/>
        <w:t>2501.</w:t>
      </w:r>
    </w:p>
    <w:p w14:paraId="612384AF" w14:textId="77777777" w:rsidR="00AC6AED" w:rsidRPr="00AC6AED" w:rsidRDefault="00AC6AED" w:rsidP="00AC6AED">
      <w:pPr>
        <w:numPr>
          <w:ilvl w:val="0"/>
          <w:numId w:val="53"/>
        </w:numPr>
      </w:pPr>
      <w:r w:rsidRPr="00AC6AED">
        <w:rPr>
          <w:b/>
          <w:bCs/>
        </w:rPr>
        <w:t>Staggered opens:</w:t>
      </w:r>
      <w:r w:rsidRPr="00AC6AED">
        <w:t xml:space="preserve"> ACHV (Mar 22), SOBI (Mar 29).</w:t>
      </w:r>
    </w:p>
    <w:p w14:paraId="2AA61C52" w14:textId="77777777" w:rsidR="00AC6AED" w:rsidRPr="00AC6AED" w:rsidRDefault="00AC6AED" w:rsidP="00AC6AED">
      <w:pPr>
        <w:numPr>
          <w:ilvl w:val="0"/>
          <w:numId w:val="53"/>
        </w:numPr>
      </w:pPr>
      <w:r w:rsidRPr="00AC6AED">
        <w:rPr>
          <w:b/>
          <w:bCs/>
        </w:rPr>
        <w:t>Focus fire:</w:t>
      </w:r>
      <w:r w:rsidRPr="00AC6AED">
        <w:t xml:space="preserve"> the </w:t>
      </w:r>
      <w:r w:rsidRPr="00AC6AED">
        <w:rPr>
          <w:b/>
          <w:bCs/>
        </w:rPr>
        <w:t>T</w:t>
      </w:r>
      <w:r w:rsidRPr="00AC6AED">
        <w:rPr>
          <w:b/>
          <w:bCs/>
        </w:rPr>
        <w:noBreakHyphen/>
        <w:t>30→T</w:t>
      </w:r>
      <w:r w:rsidRPr="00AC6AED">
        <w:rPr>
          <w:b/>
          <w:bCs/>
        </w:rPr>
        <w:noBreakHyphen/>
        <w:t>10</w:t>
      </w:r>
      <w:r w:rsidRPr="00AC6AED">
        <w:t xml:space="preserve"> windows listed above are our primary option</w:t>
      </w:r>
      <w:r w:rsidRPr="00AC6AED">
        <w:noBreakHyphen/>
        <w:t>concentration zones.</w:t>
      </w:r>
    </w:p>
    <w:p w14:paraId="41993B19" w14:textId="77777777" w:rsidR="00AC6AED" w:rsidRPr="00AC6AED" w:rsidRDefault="00AC6AED" w:rsidP="00AC6AED">
      <w:r w:rsidRPr="00AC6AED">
        <w:pict w14:anchorId="68BFFD8F">
          <v:rect id="_x0000_i1067" style="width:0;height:1.5pt" o:hralign="center" o:hrstd="t" o:hr="t" fillcolor="#a0a0a0" stroked="f"/>
        </w:pict>
      </w:r>
    </w:p>
    <w:p w14:paraId="2E7D0899" w14:textId="77777777" w:rsidR="00AC6AED" w:rsidRPr="00AC6AED" w:rsidRDefault="00AC6AED" w:rsidP="00AC6AED">
      <w:r w:rsidRPr="00AC6AED">
        <w:t xml:space="preserve">Tu veux que je génère une </w:t>
      </w:r>
      <w:r w:rsidRPr="00AC6AED">
        <w:rPr>
          <w:b/>
          <w:bCs/>
        </w:rPr>
        <w:t>CSV + ICS</w:t>
      </w:r>
      <w:r w:rsidRPr="00AC6AED">
        <w:t xml:space="preserve"> from this preview so you can drop it into ODIN and your calendar?</w:t>
      </w:r>
      <w:r w:rsidRPr="00AC6AED">
        <w:br/>
      </w:r>
      <w:r w:rsidRPr="00AC6AED">
        <w:rPr>
          <w:b/>
          <w:bCs/>
        </w:rPr>
        <w:t>French (learning line):</w:t>
      </w:r>
      <w:r w:rsidRPr="00AC6AED">
        <w:br/>
        <w:t>« Génère les fichiers ICS et CSV maintenant. » → Generate the files ICS and CSV now.</w:t>
      </w:r>
    </w:p>
    <w:p w14:paraId="0DBF993F" w14:textId="77777777" w:rsidR="00AC6AED" w:rsidRPr="00AC6AED" w:rsidRDefault="00AC6AED" w:rsidP="00AC6AED">
      <w:pPr>
        <w:numPr>
          <w:ilvl w:val="0"/>
          <w:numId w:val="54"/>
        </w:numPr>
      </w:pPr>
      <w:r w:rsidRPr="00AC6AED">
        <w:t>Génère → Generate</w:t>
      </w:r>
    </w:p>
    <w:p w14:paraId="0A66BA31" w14:textId="77777777" w:rsidR="00AC6AED" w:rsidRPr="00AC6AED" w:rsidRDefault="00AC6AED" w:rsidP="00AC6AED">
      <w:pPr>
        <w:numPr>
          <w:ilvl w:val="0"/>
          <w:numId w:val="54"/>
        </w:numPr>
      </w:pPr>
      <w:r w:rsidRPr="00AC6AED">
        <w:t>les → the</w:t>
      </w:r>
    </w:p>
    <w:p w14:paraId="22019509" w14:textId="77777777" w:rsidR="00AC6AED" w:rsidRPr="00AC6AED" w:rsidRDefault="00AC6AED" w:rsidP="00AC6AED">
      <w:pPr>
        <w:numPr>
          <w:ilvl w:val="0"/>
          <w:numId w:val="54"/>
        </w:numPr>
      </w:pPr>
      <w:r w:rsidRPr="00AC6AED">
        <w:t>fichiers → files</w:t>
      </w:r>
    </w:p>
    <w:p w14:paraId="31BF4CB1" w14:textId="77777777" w:rsidR="00AC6AED" w:rsidRPr="00AC6AED" w:rsidRDefault="00AC6AED" w:rsidP="00AC6AED">
      <w:pPr>
        <w:numPr>
          <w:ilvl w:val="0"/>
          <w:numId w:val="54"/>
        </w:numPr>
      </w:pPr>
      <w:r w:rsidRPr="00AC6AED">
        <w:t>ICS → ICS</w:t>
      </w:r>
    </w:p>
    <w:p w14:paraId="12EDF4A6" w14:textId="77777777" w:rsidR="00AC6AED" w:rsidRPr="00AC6AED" w:rsidRDefault="00AC6AED" w:rsidP="00AC6AED">
      <w:pPr>
        <w:numPr>
          <w:ilvl w:val="0"/>
          <w:numId w:val="54"/>
        </w:numPr>
      </w:pPr>
      <w:r w:rsidRPr="00AC6AED">
        <w:t>et → and</w:t>
      </w:r>
    </w:p>
    <w:p w14:paraId="4DCF4FAF" w14:textId="77777777" w:rsidR="00AC6AED" w:rsidRPr="00AC6AED" w:rsidRDefault="00AC6AED" w:rsidP="00AC6AED">
      <w:pPr>
        <w:numPr>
          <w:ilvl w:val="0"/>
          <w:numId w:val="54"/>
        </w:numPr>
      </w:pPr>
      <w:r w:rsidRPr="00AC6AED">
        <w:t>CSV → CSV</w:t>
      </w:r>
    </w:p>
    <w:p w14:paraId="2530BC13" w14:textId="77777777" w:rsidR="00AC6AED" w:rsidRPr="00AC6AED" w:rsidRDefault="00AC6AED" w:rsidP="00AC6AED">
      <w:pPr>
        <w:numPr>
          <w:ilvl w:val="0"/>
          <w:numId w:val="54"/>
        </w:numPr>
      </w:pPr>
      <w:r w:rsidRPr="00AC6AED">
        <w:t>maintenant → now</w:t>
      </w:r>
    </w:p>
    <w:p w14:paraId="59ABF406" w14:textId="77777777" w:rsidR="00AC6AED" w:rsidRPr="00AC6AED" w:rsidRDefault="00AC6AED" w:rsidP="00AC6AED">
      <w:r w:rsidRPr="00AC6AED">
        <w:t>If yes, say “Make the files,” and I’ll output both immediately.</w:t>
      </w:r>
    </w:p>
    <w:p w14:paraId="53A59827" w14:textId="77777777" w:rsidR="00AC6AED" w:rsidRPr="00AC6AED" w:rsidRDefault="00AC6AED" w:rsidP="00AC6AED">
      <w:r w:rsidRPr="00AC6AED">
        <w:t>I pulled a quick options-liquidity/volatility snapshot for several ODIN tickers and packaged it so you can drop it straight into your pipeline.</w:t>
      </w:r>
    </w:p>
    <w:p w14:paraId="12CAE5F7" w14:textId="77777777" w:rsidR="00AC6AED" w:rsidRPr="00AC6AED" w:rsidRDefault="00AC6AED" w:rsidP="00AC6AED">
      <w:hyperlink r:id="rId143" w:history="1">
        <w:r w:rsidRPr="00AC6AED">
          <w:rPr>
            <w:rStyle w:val="Hyperlink"/>
          </w:rPr>
          <w:t>Download the CSV</w:t>
        </w:r>
      </w:hyperlink>
    </w:p>
    <w:p w14:paraId="0CE4E763" w14:textId="77777777" w:rsidR="00AC6AED" w:rsidRPr="00AC6AED" w:rsidRDefault="00AC6AED" w:rsidP="00AC6AED">
      <w:r w:rsidRPr="00AC6AED">
        <w:pict w14:anchorId="60EB1C79">
          <v:rect id="_x0000_i1068" style="width:0;height:1.5pt" o:hralign="center" o:hrstd="t" o:hr="t" fillcolor="#a0a0a0" stroked="f"/>
        </w:pict>
      </w:r>
    </w:p>
    <w:p w14:paraId="448D6C59" w14:textId="77777777" w:rsidR="00AC6AED" w:rsidRPr="00AC6AED" w:rsidRDefault="00AC6AED" w:rsidP="00AC6AED">
      <w:pPr>
        <w:rPr>
          <w:b/>
          <w:bCs/>
        </w:rPr>
      </w:pPr>
      <w:r w:rsidRPr="00AC6AED">
        <w:rPr>
          <w:b/>
          <w:bCs/>
        </w:rPr>
        <w:t>What this is (fast recap)</w:t>
      </w:r>
    </w:p>
    <w:p w14:paraId="008272B2" w14:textId="77777777" w:rsidR="00AC6AED" w:rsidRPr="00AC6AED" w:rsidRDefault="00AC6AED" w:rsidP="00AC6AED">
      <w:pPr>
        <w:numPr>
          <w:ilvl w:val="0"/>
          <w:numId w:val="55"/>
        </w:numPr>
      </w:pPr>
      <w:r w:rsidRPr="00AC6AED">
        <w:rPr>
          <w:b/>
          <w:bCs/>
        </w:rPr>
        <w:t>Front-month ATM IV</w:t>
      </w:r>
      <w:r w:rsidRPr="00AC6AED">
        <w:t>: implied vol for the nearest expiry at-the-money (useful for sizing IV crush risk and premium richness).</w:t>
      </w:r>
    </w:p>
    <w:p w14:paraId="2776BA68" w14:textId="77777777" w:rsidR="00AC6AED" w:rsidRPr="00AC6AED" w:rsidRDefault="00AC6AED" w:rsidP="00AC6AED">
      <w:pPr>
        <w:numPr>
          <w:ilvl w:val="0"/>
          <w:numId w:val="55"/>
        </w:numPr>
      </w:pPr>
      <w:r w:rsidRPr="00AC6AED">
        <w:rPr>
          <w:b/>
          <w:bCs/>
        </w:rPr>
        <w:t>IV rank</w:t>
      </w:r>
      <w:r w:rsidRPr="00AC6AED">
        <w:t>: where today’s IV sits vs its past year (higher = richer premium).</w:t>
      </w:r>
    </w:p>
    <w:p w14:paraId="10D9F3EA" w14:textId="77777777" w:rsidR="00AC6AED" w:rsidRPr="00AC6AED" w:rsidRDefault="00AC6AED" w:rsidP="00AC6AED">
      <w:pPr>
        <w:numPr>
          <w:ilvl w:val="0"/>
          <w:numId w:val="55"/>
        </w:numPr>
      </w:pPr>
      <w:r w:rsidRPr="00AC6AED">
        <w:rPr>
          <w:b/>
          <w:bCs/>
        </w:rPr>
        <w:t>IV shift 7d</w:t>
      </w:r>
      <w:r w:rsidRPr="00AC6AED">
        <w:t>: 1-week IV change (needs time series; single-snapshot vendors often can’t compute reliably).</w:t>
      </w:r>
    </w:p>
    <w:p w14:paraId="146F059B" w14:textId="77777777" w:rsidR="00AC6AED" w:rsidRPr="00AC6AED" w:rsidRDefault="00AC6AED" w:rsidP="00AC6AED">
      <w:pPr>
        <w:numPr>
          <w:ilvl w:val="0"/>
          <w:numId w:val="55"/>
        </w:numPr>
      </w:pPr>
      <w:r w:rsidRPr="00AC6AED">
        <w:rPr>
          <w:b/>
          <w:bCs/>
        </w:rPr>
        <w:lastRenderedPageBreak/>
        <w:t>Front OI/Vol</w:t>
      </w:r>
      <w:r w:rsidRPr="00AC6AED">
        <w:t>: open interest and today’s volume on the front month (first-pass liquidity screen).</w:t>
      </w:r>
    </w:p>
    <w:p w14:paraId="0236BFE0" w14:textId="77777777" w:rsidR="00AC6AED" w:rsidRPr="00AC6AED" w:rsidRDefault="00AC6AED" w:rsidP="00AC6AED">
      <w:pPr>
        <w:numPr>
          <w:ilvl w:val="0"/>
          <w:numId w:val="55"/>
        </w:numPr>
      </w:pPr>
      <w:r w:rsidRPr="00AC6AED">
        <w:rPr>
          <w:b/>
          <w:bCs/>
        </w:rPr>
        <w:t>Liquidity flag</w:t>
      </w:r>
      <w:r w:rsidRPr="00AC6AED">
        <w:t>: rough availability note.</w:t>
      </w:r>
    </w:p>
    <w:p w14:paraId="096BA4D2" w14:textId="77777777" w:rsidR="00AC6AED" w:rsidRPr="00AC6AED" w:rsidRDefault="00AC6AED" w:rsidP="00AC6AED">
      <w:r w:rsidRPr="00AC6AED">
        <w:pict w14:anchorId="36B0476B">
          <v:rect id="_x0000_i1069" style="width:0;height:1.5pt" o:hralign="center" o:hrstd="t" o:hr="t" fillcolor="#a0a0a0" stroked="f"/>
        </w:pict>
      </w:r>
    </w:p>
    <w:p w14:paraId="019EBD1C" w14:textId="77777777" w:rsidR="00AC6AED" w:rsidRPr="00AC6AED" w:rsidRDefault="00AC6AED" w:rsidP="00AC6AED">
      <w:pPr>
        <w:rPr>
          <w:b/>
          <w:bCs/>
        </w:rPr>
      </w:pPr>
      <w:r w:rsidRPr="00AC6AED">
        <w:rPr>
          <w:b/>
          <w:bCs/>
        </w:rPr>
        <w:t>Included sample (already saved to CSV)</w:t>
      </w:r>
    </w:p>
    <w:p w14:paraId="41C99F76" w14:textId="77777777" w:rsidR="00AC6AED" w:rsidRPr="00AC6AED" w:rsidRDefault="00AC6AED" w:rsidP="00AC6AED">
      <w:pPr>
        <w:numPr>
          <w:ilvl w:val="0"/>
          <w:numId w:val="56"/>
        </w:numPr>
      </w:pPr>
      <w:r w:rsidRPr="00AC6AED">
        <w:rPr>
          <w:b/>
          <w:bCs/>
        </w:rPr>
        <w:t>AQST</w:t>
      </w:r>
      <w:r w:rsidRPr="00AC6AED">
        <w:t xml:space="preserve"> — ATM IV ~85.22%, IV rank ~19.86%, OI 1,200, Vol 1,637 → ok</w:t>
      </w:r>
    </w:p>
    <w:p w14:paraId="6EF73EF5" w14:textId="77777777" w:rsidR="00AC6AED" w:rsidRPr="00AC6AED" w:rsidRDefault="00AC6AED" w:rsidP="00AC6AED">
      <w:pPr>
        <w:numPr>
          <w:ilvl w:val="0"/>
          <w:numId w:val="56"/>
        </w:numPr>
      </w:pPr>
      <w:r w:rsidRPr="00AC6AED">
        <w:rPr>
          <w:b/>
          <w:bCs/>
        </w:rPr>
        <w:t>FBIO</w:t>
      </w:r>
      <w:r w:rsidRPr="00AC6AED">
        <w:t xml:space="preserve"> — ATM IV ~70.8%, OI 820, Vol 230 → ok</w:t>
      </w:r>
    </w:p>
    <w:p w14:paraId="1E3735F1" w14:textId="77777777" w:rsidR="00AC6AED" w:rsidRPr="00AC6AED" w:rsidRDefault="00AC6AED" w:rsidP="00AC6AED">
      <w:pPr>
        <w:numPr>
          <w:ilvl w:val="0"/>
          <w:numId w:val="56"/>
        </w:numPr>
      </w:pPr>
      <w:r w:rsidRPr="00AC6AED">
        <w:rPr>
          <w:b/>
          <w:bCs/>
        </w:rPr>
        <w:t>PHAR</w:t>
      </w:r>
      <w:r w:rsidRPr="00AC6AED">
        <w:t xml:space="preserve"> — OI &lt;50, Vol &lt;10 → illiquid</w:t>
      </w:r>
    </w:p>
    <w:p w14:paraId="471D189F" w14:textId="77777777" w:rsidR="00AC6AED" w:rsidRPr="00AC6AED" w:rsidRDefault="00AC6AED" w:rsidP="00AC6AED">
      <w:pPr>
        <w:numPr>
          <w:ilvl w:val="0"/>
          <w:numId w:val="56"/>
        </w:numPr>
      </w:pPr>
      <w:r w:rsidRPr="00AC6AED">
        <w:rPr>
          <w:b/>
          <w:bCs/>
        </w:rPr>
        <w:t>VTVT</w:t>
      </w:r>
      <w:r w:rsidRPr="00AC6AED">
        <w:t xml:space="preserve"> — no-options</w:t>
      </w:r>
    </w:p>
    <w:p w14:paraId="42465CD6" w14:textId="77777777" w:rsidR="00AC6AED" w:rsidRPr="00AC6AED" w:rsidRDefault="00AC6AED" w:rsidP="00AC6AED">
      <w:pPr>
        <w:numPr>
          <w:ilvl w:val="0"/>
          <w:numId w:val="56"/>
        </w:numPr>
      </w:pPr>
      <w:r w:rsidRPr="00AC6AED">
        <w:rPr>
          <w:b/>
          <w:bCs/>
        </w:rPr>
        <w:t>SPARC</w:t>
      </w:r>
      <w:r w:rsidRPr="00AC6AED">
        <w:t xml:space="preserve"> — data-missing</w:t>
      </w:r>
    </w:p>
    <w:p w14:paraId="206445C0" w14:textId="77777777" w:rsidR="00AC6AED" w:rsidRPr="00AC6AED" w:rsidRDefault="00AC6AED" w:rsidP="00AC6AED">
      <w:r w:rsidRPr="00AC6AED">
        <w:pict w14:anchorId="23B09835">
          <v:rect id="_x0000_i1070" style="width:0;height:1.5pt" o:hralign="center" o:hrstd="t" o:hr="t" fillcolor="#a0a0a0" stroked="f"/>
        </w:pict>
      </w:r>
    </w:p>
    <w:p w14:paraId="41D49F95" w14:textId="77777777" w:rsidR="00AC6AED" w:rsidRPr="00AC6AED" w:rsidRDefault="00AC6AED" w:rsidP="00AC6AED">
      <w:pPr>
        <w:rPr>
          <w:b/>
          <w:bCs/>
        </w:rPr>
      </w:pPr>
      <w:r w:rsidRPr="00AC6AED">
        <w:rPr>
          <w:b/>
          <w:bCs/>
        </w:rPr>
        <w:t>Quick ODIN uses</w:t>
      </w:r>
    </w:p>
    <w:p w14:paraId="14FADFE3" w14:textId="77777777" w:rsidR="00AC6AED" w:rsidRPr="00AC6AED" w:rsidRDefault="00AC6AED" w:rsidP="00AC6AED">
      <w:pPr>
        <w:numPr>
          <w:ilvl w:val="0"/>
          <w:numId w:val="57"/>
        </w:numPr>
      </w:pPr>
      <w:r w:rsidRPr="00AC6AED">
        <w:rPr>
          <w:b/>
          <w:bCs/>
        </w:rPr>
        <w:t>Pre</w:t>
      </w:r>
      <w:r w:rsidRPr="00AC6AED">
        <w:rPr>
          <w:b/>
          <w:bCs/>
        </w:rPr>
        <w:noBreakHyphen/>
        <w:t>filter</w:t>
      </w:r>
      <w:r w:rsidRPr="00AC6AED">
        <w:t xml:space="preserve"> ODIN option plays: require liquidity_flag == ok and OI/Vol thresholds (e.g., OI ≥ 500, Vol ≥ 300).</w:t>
      </w:r>
    </w:p>
    <w:p w14:paraId="776BC940" w14:textId="77777777" w:rsidR="00AC6AED" w:rsidRPr="00AC6AED" w:rsidRDefault="00AC6AED" w:rsidP="00AC6AED">
      <w:pPr>
        <w:numPr>
          <w:ilvl w:val="0"/>
          <w:numId w:val="57"/>
        </w:numPr>
      </w:pPr>
      <w:r w:rsidRPr="00AC6AED">
        <w:rPr>
          <w:b/>
          <w:bCs/>
        </w:rPr>
        <w:t>IV crush guardrails</w:t>
      </w:r>
      <w:r w:rsidRPr="00AC6AED">
        <w:t xml:space="preserve">: avoid selling premium if </w:t>
      </w:r>
      <w:r w:rsidRPr="00AC6AED">
        <w:rPr>
          <w:b/>
          <w:bCs/>
        </w:rPr>
        <w:t>IV rank</w:t>
      </w:r>
      <w:r w:rsidRPr="00AC6AED">
        <w:t xml:space="preserve"> is low; avoid buying premium if IV is extreme unless catalyst-timed.</w:t>
      </w:r>
    </w:p>
    <w:p w14:paraId="7D148885" w14:textId="77777777" w:rsidR="00AC6AED" w:rsidRPr="00AC6AED" w:rsidRDefault="00AC6AED" w:rsidP="00AC6AED">
      <w:pPr>
        <w:numPr>
          <w:ilvl w:val="0"/>
          <w:numId w:val="57"/>
        </w:numPr>
      </w:pPr>
      <w:r w:rsidRPr="00AC6AED">
        <w:rPr>
          <w:b/>
          <w:bCs/>
        </w:rPr>
        <w:t>Gaps to fill</w:t>
      </w:r>
      <w:r w:rsidRPr="00AC6AED">
        <w:t xml:space="preserve">: compute </w:t>
      </w:r>
      <w:r w:rsidRPr="00AC6AED">
        <w:rPr>
          <w:b/>
          <w:bCs/>
        </w:rPr>
        <w:t>iv_shift_7d</w:t>
      </w:r>
      <w:r w:rsidRPr="00AC6AED">
        <w:t xml:space="preserve"> from a time</w:t>
      </w:r>
      <w:r w:rsidRPr="00AC6AED">
        <w:noBreakHyphen/>
        <w:t>series API (needed for your “run</w:t>
      </w:r>
      <w:r w:rsidRPr="00AC6AED">
        <w:noBreakHyphen/>
        <w:t>up vs crush” classifier).</w:t>
      </w:r>
    </w:p>
    <w:p w14:paraId="17C6424A" w14:textId="77777777" w:rsidR="00AC6AED" w:rsidRPr="00AC6AED" w:rsidRDefault="00AC6AED" w:rsidP="00AC6AED">
      <w:r w:rsidRPr="00AC6AED">
        <w:pict w14:anchorId="48CBF5E8">
          <v:rect id="_x0000_i1071" style="width:0;height:1.5pt" o:hralign="center" o:hrstd="t" o:hr="t" fillcolor="#a0a0a0" stroked="f"/>
        </w:pict>
      </w:r>
    </w:p>
    <w:p w14:paraId="2BE9E0FC" w14:textId="77777777" w:rsidR="00AC6AED" w:rsidRPr="00AC6AED" w:rsidRDefault="00AC6AED" w:rsidP="00AC6AED">
      <w:pPr>
        <w:rPr>
          <w:b/>
          <w:bCs/>
        </w:rPr>
      </w:pPr>
      <w:r w:rsidRPr="00AC6AED">
        <w:rPr>
          <w:b/>
          <w:bCs/>
        </w:rPr>
        <w:t>Next step (suggested)</w:t>
      </w:r>
    </w:p>
    <w:p w14:paraId="4668DDB1" w14:textId="77777777" w:rsidR="00AC6AED" w:rsidRPr="00AC6AED" w:rsidRDefault="00AC6AED" w:rsidP="00AC6AED">
      <w:r w:rsidRPr="00AC6AED">
        <w:t>If you want, I’ll wire a tiny time</w:t>
      </w:r>
      <w:r w:rsidRPr="00AC6AED">
        <w:noBreakHyphen/>
        <w:t xml:space="preserve">series puller for </w:t>
      </w:r>
      <w:r w:rsidRPr="00AC6AED">
        <w:rPr>
          <w:b/>
          <w:bCs/>
        </w:rPr>
        <w:t>IV rank &amp; 7</w:t>
      </w:r>
      <w:r w:rsidRPr="00AC6AED">
        <w:rPr>
          <w:b/>
          <w:bCs/>
        </w:rPr>
        <w:noBreakHyphen/>
        <w:t>day deltas</w:t>
      </w:r>
      <w:r w:rsidRPr="00AC6AED">
        <w:t xml:space="preserve"> (vendor</w:t>
      </w:r>
      <w:r w:rsidRPr="00AC6AED">
        <w:noBreakHyphen/>
        <w:t>API based) and append columns for ODIN’s convexity score.</w:t>
      </w:r>
    </w:p>
    <w:p w14:paraId="0AB53B40" w14:textId="77777777" w:rsidR="00AC6AED" w:rsidRPr="00AC6AED" w:rsidRDefault="00AC6AED" w:rsidP="00AC6AED">
      <w:r w:rsidRPr="00AC6AED">
        <w:t>Here’s a clean, battle</w:t>
      </w:r>
      <w:r w:rsidRPr="00AC6AED">
        <w:noBreakHyphen/>
        <w:t xml:space="preserve">tested </w:t>
      </w:r>
      <w:r w:rsidRPr="00AC6AED">
        <w:rPr>
          <w:b/>
          <w:bCs/>
        </w:rPr>
        <w:t>options entry checklist</w:t>
      </w:r>
      <w:r w:rsidRPr="00AC6AED">
        <w:t xml:space="preserve"> you can drop into your playbook—simple rules that keep you out of illiquid traps and help you size risk around catalysts.</w:t>
      </w:r>
    </w:p>
    <w:p w14:paraId="65AEBAEC" w14:textId="77777777" w:rsidR="00AC6AED" w:rsidRPr="00AC6AED" w:rsidRDefault="00AC6AED" w:rsidP="00AC6AED">
      <w:r w:rsidRPr="00AC6AED">
        <w:pict w14:anchorId="10448D53">
          <v:rect id="_x0000_i1072" style="width:0;height:1.5pt" o:hralign="center" o:hrstd="t" o:hr="t" fillcolor="#a0a0a0" stroked="f"/>
        </w:pict>
      </w:r>
    </w:p>
    <w:p w14:paraId="7B45E42B" w14:textId="77777777" w:rsidR="00AC6AED" w:rsidRPr="00AC6AED" w:rsidRDefault="00AC6AED" w:rsidP="00AC6AED">
      <w:pPr>
        <w:rPr>
          <w:b/>
          <w:bCs/>
        </w:rPr>
      </w:pPr>
      <w:r w:rsidRPr="00AC6AED">
        <w:rPr>
          <w:b/>
          <w:bCs/>
        </w:rPr>
        <w:t>Options gating heuristics (plain</w:t>
      </w:r>
      <w:r w:rsidRPr="00AC6AED">
        <w:rPr>
          <w:b/>
          <w:bCs/>
        </w:rPr>
        <w:noBreakHyphen/>
        <w:t>English version)</w:t>
      </w:r>
    </w:p>
    <w:p w14:paraId="434F502A" w14:textId="77777777" w:rsidR="00AC6AED" w:rsidRPr="00AC6AED" w:rsidRDefault="00AC6AED" w:rsidP="00AC6AED">
      <w:r w:rsidRPr="00AC6AED">
        <w:rPr>
          <w:b/>
          <w:bCs/>
        </w:rPr>
        <w:t>Goal:</w:t>
      </w:r>
      <w:r w:rsidRPr="00AC6AED">
        <w:t xml:space="preserve"> Only take trades where execution, spreads, and volatility are on your side. If not, switch to defined</w:t>
      </w:r>
      <w:r w:rsidRPr="00AC6AED">
        <w:noBreakHyphen/>
        <w:t>risk structures or skip.</w:t>
      </w:r>
    </w:p>
    <w:p w14:paraId="54C32F8D" w14:textId="77777777" w:rsidR="00AC6AED" w:rsidRPr="00AC6AED" w:rsidRDefault="00AC6AED" w:rsidP="00AC6AED">
      <w:pPr>
        <w:rPr>
          <w:b/>
          <w:bCs/>
        </w:rPr>
      </w:pPr>
      <w:r w:rsidRPr="00AC6AED">
        <w:rPr>
          <w:b/>
          <w:bCs/>
        </w:rPr>
        <w:lastRenderedPageBreak/>
        <w:t>1) Liquidity gates (hard stops)</w:t>
      </w:r>
    </w:p>
    <w:p w14:paraId="5F041B53" w14:textId="77777777" w:rsidR="00AC6AED" w:rsidRPr="00AC6AED" w:rsidRDefault="00AC6AED" w:rsidP="00AC6AED">
      <w:pPr>
        <w:numPr>
          <w:ilvl w:val="0"/>
          <w:numId w:val="58"/>
        </w:numPr>
      </w:pPr>
      <w:r w:rsidRPr="00AC6AED">
        <w:rPr>
          <w:b/>
          <w:bCs/>
        </w:rPr>
        <w:t>Open interest (front</w:t>
      </w:r>
      <w:r w:rsidRPr="00AC6AED">
        <w:rPr>
          <w:b/>
          <w:bCs/>
        </w:rPr>
        <w:noBreakHyphen/>
        <w:t>month)</w:t>
      </w:r>
      <w:r w:rsidRPr="00AC6AED">
        <w:t xml:space="preserve">: </w:t>
      </w:r>
      <w:r w:rsidRPr="00AC6AED">
        <w:rPr>
          <w:b/>
          <w:bCs/>
        </w:rPr>
        <w:t>OI ≥ 500</w:t>
      </w:r>
      <w:r w:rsidRPr="00AC6AED">
        <w:t xml:space="preserve"> </w:t>
      </w:r>
      <w:r w:rsidRPr="00AC6AED">
        <w:rPr>
          <w:i/>
          <w:iCs/>
        </w:rPr>
        <w:t>on the contract you’ll trade</w:t>
      </w:r>
      <w:r w:rsidRPr="00AC6AED">
        <w:t>.</w:t>
      </w:r>
    </w:p>
    <w:p w14:paraId="3B991698" w14:textId="77777777" w:rsidR="00AC6AED" w:rsidRPr="00AC6AED" w:rsidRDefault="00AC6AED" w:rsidP="00AC6AED">
      <w:pPr>
        <w:numPr>
          <w:ilvl w:val="0"/>
          <w:numId w:val="58"/>
        </w:numPr>
      </w:pPr>
      <w:r w:rsidRPr="00AC6AED">
        <w:rPr>
          <w:b/>
          <w:bCs/>
        </w:rPr>
        <w:t>5</w:t>
      </w:r>
      <w:r w:rsidRPr="00AC6AED">
        <w:rPr>
          <w:b/>
          <w:bCs/>
        </w:rPr>
        <w:noBreakHyphen/>
        <w:t>day avg option volume</w:t>
      </w:r>
      <w:r w:rsidRPr="00AC6AED">
        <w:t xml:space="preserve">: </w:t>
      </w:r>
      <w:r w:rsidRPr="00AC6AED">
        <w:rPr>
          <w:b/>
          <w:bCs/>
        </w:rPr>
        <w:t>≥ 200 contracts/day</w:t>
      </w:r>
      <w:r w:rsidRPr="00AC6AED">
        <w:t xml:space="preserve"> </w:t>
      </w:r>
      <w:r w:rsidRPr="00AC6AED">
        <w:rPr>
          <w:i/>
          <w:iCs/>
        </w:rPr>
        <w:t>for the strike/expiry you’ll use</w:t>
      </w:r>
      <w:r w:rsidRPr="00AC6AED">
        <w:t>.</w:t>
      </w:r>
    </w:p>
    <w:p w14:paraId="7B049E15" w14:textId="77777777" w:rsidR="00AC6AED" w:rsidRPr="00AC6AED" w:rsidRDefault="00AC6AED" w:rsidP="00AC6AED">
      <w:r w:rsidRPr="00AC6AED">
        <w:t xml:space="preserve">If either fails → </w:t>
      </w:r>
      <w:r w:rsidRPr="00AC6AED">
        <w:rPr>
          <w:b/>
          <w:bCs/>
        </w:rPr>
        <w:t>no outright directional options</w:t>
      </w:r>
      <w:r w:rsidRPr="00AC6AED">
        <w:t xml:space="preserve"> (calls/puts) on that line.</w:t>
      </w:r>
    </w:p>
    <w:p w14:paraId="7B3175CD" w14:textId="77777777" w:rsidR="00AC6AED" w:rsidRPr="00AC6AED" w:rsidRDefault="00AC6AED" w:rsidP="00AC6AED">
      <w:pPr>
        <w:rPr>
          <w:b/>
          <w:bCs/>
        </w:rPr>
      </w:pPr>
      <w:r w:rsidRPr="00AC6AED">
        <w:rPr>
          <w:b/>
          <w:bCs/>
        </w:rPr>
        <w:t>2) Implied</w:t>
      </w:r>
      <w:r w:rsidRPr="00AC6AED">
        <w:rPr>
          <w:b/>
          <w:bCs/>
        </w:rPr>
        <w:noBreakHyphen/>
        <w:t>vol sanity check</w:t>
      </w:r>
    </w:p>
    <w:p w14:paraId="33812226" w14:textId="77777777" w:rsidR="00AC6AED" w:rsidRPr="00AC6AED" w:rsidRDefault="00AC6AED" w:rsidP="00AC6AED">
      <w:pPr>
        <w:numPr>
          <w:ilvl w:val="0"/>
          <w:numId w:val="59"/>
        </w:numPr>
      </w:pPr>
      <w:r w:rsidRPr="00AC6AED">
        <w:t xml:space="preserve">Prefer </w:t>
      </w:r>
      <w:r w:rsidRPr="00AC6AED">
        <w:rPr>
          <w:b/>
          <w:bCs/>
        </w:rPr>
        <w:t>IV Rank &lt; 60</w:t>
      </w:r>
      <w:r w:rsidRPr="00AC6AED">
        <w:t xml:space="preserve"> </w:t>
      </w:r>
      <w:r w:rsidRPr="00AC6AED">
        <w:rPr>
          <w:i/>
          <w:iCs/>
        </w:rPr>
        <w:t>or</w:t>
      </w:r>
      <w:r w:rsidRPr="00AC6AED">
        <w:t xml:space="preserve"> </w:t>
      </w:r>
      <w:r w:rsidRPr="00AC6AED">
        <w:rPr>
          <w:b/>
          <w:bCs/>
        </w:rPr>
        <w:t>7</w:t>
      </w:r>
      <w:r w:rsidRPr="00AC6AED">
        <w:rPr>
          <w:b/>
          <w:bCs/>
        </w:rPr>
        <w:noBreakHyphen/>
        <w:t>day IV shift ≤ 0</w:t>
      </w:r>
      <w:r w:rsidRPr="00AC6AED">
        <w:t xml:space="preserve"> (i.e., not ramping).</w:t>
      </w:r>
    </w:p>
    <w:p w14:paraId="7C07DC33" w14:textId="77777777" w:rsidR="00AC6AED" w:rsidRPr="00AC6AED" w:rsidRDefault="00AC6AED" w:rsidP="00AC6AED">
      <w:pPr>
        <w:numPr>
          <w:ilvl w:val="1"/>
          <w:numId w:val="59"/>
        </w:numPr>
      </w:pPr>
      <w:r w:rsidRPr="00AC6AED">
        <w:t>If IV is hot and rising, you’re paying up; premium decay works against you post</w:t>
      </w:r>
      <w:r w:rsidRPr="00AC6AED">
        <w:noBreakHyphen/>
        <w:t>catalyst.</w:t>
      </w:r>
    </w:p>
    <w:p w14:paraId="54978CE8" w14:textId="77777777" w:rsidR="00AC6AED" w:rsidRPr="00AC6AED" w:rsidRDefault="00AC6AED" w:rsidP="00AC6AED">
      <w:r w:rsidRPr="00AC6AED">
        <w:rPr>
          <w:b/>
          <w:bCs/>
        </w:rPr>
        <w:t>If IV is elevated</w:t>
      </w:r>
      <w:r w:rsidRPr="00AC6AED">
        <w:t xml:space="preserve"> (e.g., front</w:t>
      </w:r>
      <w:r w:rsidRPr="00AC6AED">
        <w:noBreakHyphen/>
        <w:t xml:space="preserve">month ATM IV </w:t>
      </w:r>
      <w:r w:rsidRPr="00AC6AED">
        <w:rPr>
          <w:b/>
          <w:bCs/>
        </w:rPr>
        <w:t>&gt; 60%</w:t>
      </w:r>
      <w:r w:rsidRPr="00AC6AED">
        <w:t xml:space="preserve">) </w:t>
      </w:r>
      <w:r w:rsidRPr="00AC6AED">
        <w:rPr>
          <w:i/>
          <w:iCs/>
        </w:rPr>
        <w:t>or</w:t>
      </w:r>
      <w:r w:rsidRPr="00AC6AED">
        <w:t xml:space="preserve"> skew is jumpy, </w:t>
      </w:r>
      <w:r w:rsidRPr="00AC6AED">
        <w:rPr>
          <w:i/>
          <w:iCs/>
        </w:rPr>
        <w:t>or</w:t>
      </w:r>
      <w:r w:rsidRPr="00AC6AED">
        <w:t xml:space="preserve"> books look thin (expiry OI &lt; 200 / wide bid</w:t>
      </w:r>
      <w:r w:rsidRPr="00AC6AED">
        <w:noBreakHyphen/>
        <w:t>ask):</w:t>
      </w:r>
      <w:r w:rsidRPr="00AC6AED">
        <w:br/>
        <w:t xml:space="preserve">→ Use </w:t>
      </w:r>
      <w:r w:rsidRPr="00AC6AED">
        <w:rPr>
          <w:b/>
          <w:bCs/>
        </w:rPr>
        <w:t>defined</w:t>
      </w:r>
      <w:r w:rsidRPr="00AC6AED">
        <w:rPr>
          <w:b/>
          <w:bCs/>
        </w:rPr>
        <w:noBreakHyphen/>
        <w:t>risk</w:t>
      </w:r>
      <w:r w:rsidRPr="00AC6AED">
        <w:t xml:space="preserve"> structures only.</w:t>
      </w:r>
    </w:p>
    <w:p w14:paraId="55058E33" w14:textId="77777777" w:rsidR="00AC6AED" w:rsidRPr="00AC6AED" w:rsidRDefault="00AC6AED" w:rsidP="00AC6AED">
      <w:pPr>
        <w:rPr>
          <w:b/>
          <w:bCs/>
        </w:rPr>
      </w:pPr>
      <w:r w:rsidRPr="00AC6AED">
        <w:rPr>
          <w:b/>
          <w:bCs/>
        </w:rPr>
        <w:t>3) Default defined</w:t>
      </w:r>
      <w:r w:rsidRPr="00AC6AED">
        <w:rPr>
          <w:b/>
          <w:bCs/>
        </w:rPr>
        <w:noBreakHyphen/>
        <w:t>risk structures (when IV/liquidity is iffy)</w:t>
      </w:r>
    </w:p>
    <w:p w14:paraId="512D2646" w14:textId="77777777" w:rsidR="00AC6AED" w:rsidRPr="00AC6AED" w:rsidRDefault="00AC6AED" w:rsidP="00AC6AED">
      <w:pPr>
        <w:numPr>
          <w:ilvl w:val="0"/>
          <w:numId w:val="60"/>
        </w:numPr>
      </w:pPr>
      <w:r w:rsidRPr="00AC6AED">
        <w:rPr>
          <w:b/>
          <w:bCs/>
        </w:rPr>
        <w:t>Tight debit verticals</w:t>
      </w:r>
      <w:r w:rsidRPr="00AC6AED">
        <w:t xml:space="preserve">: 30–45 DTE, </w:t>
      </w:r>
      <w:r w:rsidRPr="00AC6AED">
        <w:rPr>
          <w:b/>
          <w:bCs/>
        </w:rPr>
        <w:t>width ≈ 1× expected move</w:t>
      </w:r>
      <w:r w:rsidRPr="00AC6AED">
        <w:t>.</w:t>
      </w:r>
    </w:p>
    <w:p w14:paraId="4C222CE9" w14:textId="77777777" w:rsidR="00AC6AED" w:rsidRPr="00AC6AED" w:rsidRDefault="00AC6AED" w:rsidP="00AC6AED">
      <w:pPr>
        <w:numPr>
          <w:ilvl w:val="0"/>
          <w:numId w:val="60"/>
        </w:numPr>
      </w:pPr>
      <w:r w:rsidRPr="00AC6AED">
        <w:rPr>
          <w:b/>
          <w:bCs/>
        </w:rPr>
        <w:t>Put collar on stock</w:t>
      </w:r>
      <w:r w:rsidRPr="00AC6AED">
        <w:t>: long shares + long put (protect), optional short OTM call (yield).</w:t>
      </w:r>
    </w:p>
    <w:p w14:paraId="5621CC8C" w14:textId="77777777" w:rsidR="00AC6AED" w:rsidRPr="00AC6AED" w:rsidRDefault="00AC6AED" w:rsidP="00AC6AED">
      <w:pPr>
        <w:numPr>
          <w:ilvl w:val="0"/>
          <w:numId w:val="60"/>
        </w:numPr>
      </w:pPr>
      <w:r w:rsidRPr="00AC6AED">
        <w:rPr>
          <w:b/>
          <w:bCs/>
        </w:rPr>
        <w:t>Diagonal (“poor man’s straddle”)</w:t>
      </w:r>
      <w:r w:rsidRPr="00AC6AED">
        <w:t xml:space="preserve">: </w:t>
      </w:r>
      <w:r w:rsidRPr="00AC6AED">
        <w:rPr>
          <w:b/>
          <w:bCs/>
        </w:rPr>
        <w:t>Buy ATM straddle</w:t>
      </w:r>
      <w:r w:rsidRPr="00AC6AED">
        <w:t xml:space="preserve"> (front) + </w:t>
      </w:r>
      <w:r w:rsidRPr="00AC6AED">
        <w:rPr>
          <w:b/>
          <w:bCs/>
        </w:rPr>
        <w:t>sell OTM call</w:t>
      </w:r>
      <w:r w:rsidRPr="00AC6AED">
        <w:t xml:space="preserve"> (longer/diagonal) </w:t>
      </w:r>
      <w:r w:rsidRPr="00AC6AED">
        <w:rPr>
          <w:i/>
          <w:iCs/>
        </w:rPr>
        <w:t>only if liquidity is solid</w:t>
      </w:r>
      <w:r w:rsidRPr="00AC6AED">
        <w:t>.</w:t>
      </w:r>
    </w:p>
    <w:p w14:paraId="69B0F1E5" w14:textId="77777777" w:rsidR="00AC6AED" w:rsidRPr="00AC6AED" w:rsidRDefault="00AC6AED" w:rsidP="00AC6AED">
      <w:pPr>
        <w:rPr>
          <w:b/>
          <w:bCs/>
        </w:rPr>
      </w:pPr>
      <w:r w:rsidRPr="00AC6AED">
        <w:rPr>
          <w:b/>
          <w:bCs/>
        </w:rPr>
        <w:t>4) Record</w:t>
      </w:r>
      <w:r w:rsidRPr="00AC6AED">
        <w:rPr>
          <w:b/>
          <w:bCs/>
        </w:rPr>
        <w:noBreakHyphen/>
        <w:t>keeping (for audit + repeatability)</w:t>
      </w:r>
    </w:p>
    <w:p w14:paraId="443CD2A1" w14:textId="77777777" w:rsidR="00AC6AED" w:rsidRPr="00AC6AED" w:rsidRDefault="00AC6AED" w:rsidP="00AC6AED">
      <w:r w:rsidRPr="00AC6AED">
        <w:t xml:space="preserve">For every entry, </w:t>
      </w:r>
      <w:r w:rsidRPr="00AC6AED">
        <w:rPr>
          <w:b/>
          <w:bCs/>
        </w:rPr>
        <w:t>log</w:t>
      </w:r>
      <w:r w:rsidRPr="00AC6AED">
        <w:t>:</w:t>
      </w:r>
    </w:p>
    <w:p w14:paraId="6C694EAA" w14:textId="77777777" w:rsidR="00AC6AED" w:rsidRPr="00AC6AED" w:rsidRDefault="00AC6AED" w:rsidP="00AC6AED">
      <w:pPr>
        <w:numPr>
          <w:ilvl w:val="0"/>
          <w:numId w:val="61"/>
        </w:numPr>
      </w:pPr>
      <w:r w:rsidRPr="00AC6AED">
        <w:t>Retrieval timestamp (when you pulled chain data)</w:t>
      </w:r>
    </w:p>
    <w:p w14:paraId="1EFBCA58" w14:textId="77777777" w:rsidR="00AC6AED" w:rsidRPr="00AC6AED" w:rsidRDefault="00AC6AED" w:rsidP="00AC6AED">
      <w:pPr>
        <w:numPr>
          <w:ilvl w:val="0"/>
          <w:numId w:val="61"/>
        </w:numPr>
      </w:pPr>
      <w:r w:rsidRPr="00AC6AED">
        <w:t>Expiry</w:t>
      </w:r>
      <w:r w:rsidRPr="00AC6AED">
        <w:noBreakHyphen/>
        <w:t xml:space="preserve">level </w:t>
      </w:r>
      <w:r w:rsidRPr="00AC6AED">
        <w:rPr>
          <w:b/>
          <w:bCs/>
        </w:rPr>
        <w:t>OI</w:t>
      </w:r>
      <w:r w:rsidRPr="00AC6AED">
        <w:t xml:space="preserve"> and </w:t>
      </w:r>
      <w:r w:rsidRPr="00AC6AED">
        <w:rPr>
          <w:b/>
          <w:bCs/>
        </w:rPr>
        <w:t>5</w:t>
      </w:r>
      <w:r w:rsidRPr="00AC6AED">
        <w:rPr>
          <w:b/>
          <w:bCs/>
        </w:rPr>
        <w:noBreakHyphen/>
        <w:t>day avg volume</w:t>
      </w:r>
      <w:r w:rsidRPr="00AC6AED">
        <w:t xml:space="preserve"> (per strike you’re using)</w:t>
      </w:r>
    </w:p>
    <w:p w14:paraId="3C8E4BBD" w14:textId="77777777" w:rsidR="00AC6AED" w:rsidRPr="00AC6AED" w:rsidRDefault="00AC6AED" w:rsidP="00AC6AED">
      <w:pPr>
        <w:numPr>
          <w:ilvl w:val="0"/>
          <w:numId w:val="61"/>
        </w:numPr>
      </w:pPr>
      <w:r w:rsidRPr="00AC6AED">
        <w:rPr>
          <w:b/>
          <w:bCs/>
        </w:rPr>
        <w:t>Liquidity flag</w:t>
      </w:r>
      <w:r w:rsidRPr="00AC6AED">
        <w:t xml:space="preserve"> per expiry (pass/fail + notes on spreads)</w:t>
      </w:r>
    </w:p>
    <w:p w14:paraId="39FC6D39" w14:textId="77777777" w:rsidR="00AC6AED" w:rsidRPr="00AC6AED" w:rsidRDefault="00AC6AED" w:rsidP="00AC6AED">
      <w:pPr>
        <w:numPr>
          <w:ilvl w:val="0"/>
          <w:numId w:val="61"/>
        </w:numPr>
      </w:pPr>
      <w:r w:rsidRPr="00AC6AED">
        <w:t>Structure chosen + rationale (IV rank/shift, skew notes)</w:t>
      </w:r>
    </w:p>
    <w:p w14:paraId="23F6FC33" w14:textId="77777777" w:rsidR="00AC6AED" w:rsidRPr="00AC6AED" w:rsidRDefault="00AC6AED" w:rsidP="00AC6AED">
      <w:r w:rsidRPr="00AC6AED">
        <w:pict w14:anchorId="30EE5CDB">
          <v:rect id="_x0000_i1073" style="width:0;height:1.5pt" o:hralign="center" o:hrstd="t" o:hr="t" fillcolor="#a0a0a0" stroked="f"/>
        </w:pict>
      </w:r>
    </w:p>
    <w:p w14:paraId="5535F7DC" w14:textId="77777777" w:rsidR="00AC6AED" w:rsidRPr="00AC6AED" w:rsidRDefault="00AC6AED" w:rsidP="00AC6AED">
      <w:pPr>
        <w:rPr>
          <w:b/>
          <w:bCs/>
        </w:rPr>
      </w:pPr>
      <w:r w:rsidRPr="00AC6AED">
        <w:rPr>
          <w:b/>
          <w:bCs/>
        </w:rPr>
        <w:t>Quick decision tree (use this in ODIN/pdufa.bio)</w:t>
      </w:r>
    </w:p>
    <w:p w14:paraId="127289C4" w14:textId="77777777" w:rsidR="00AC6AED" w:rsidRPr="00AC6AED" w:rsidRDefault="00AC6AED" w:rsidP="00AC6AED">
      <w:pPr>
        <w:numPr>
          <w:ilvl w:val="0"/>
          <w:numId w:val="62"/>
        </w:numPr>
      </w:pPr>
      <w:r w:rsidRPr="00AC6AED">
        <w:rPr>
          <w:b/>
          <w:bCs/>
        </w:rPr>
        <w:t>OI≥500 &amp; 5</w:t>
      </w:r>
      <w:r w:rsidRPr="00AC6AED">
        <w:rPr>
          <w:b/>
          <w:bCs/>
        </w:rPr>
        <w:noBreakHyphen/>
        <w:t>day avg vol≥200?</w:t>
      </w:r>
      <w:r w:rsidRPr="00AC6AED">
        <w:br/>
        <w:t xml:space="preserve">→ </w:t>
      </w:r>
      <w:r w:rsidRPr="00AC6AED">
        <w:rPr>
          <w:b/>
          <w:bCs/>
        </w:rPr>
        <w:t>No</w:t>
      </w:r>
      <w:r w:rsidRPr="00AC6AED">
        <w:t xml:space="preserve">: Skip outright calls/puts → go to </w:t>
      </w:r>
      <w:r w:rsidRPr="00AC6AED">
        <w:rPr>
          <w:b/>
          <w:bCs/>
        </w:rPr>
        <w:t>defined</w:t>
      </w:r>
      <w:r w:rsidRPr="00AC6AED">
        <w:rPr>
          <w:b/>
          <w:bCs/>
        </w:rPr>
        <w:noBreakHyphen/>
        <w:t>risk</w:t>
      </w:r>
      <w:r w:rsidRPr="00AC6AED">
        <w:t xml:space="preserve"> or equity.</w:t>
      </w:r>
      <w:r w:rsidRPr="00AC6AED">
        <w:br/>
        <w:t xml:space="preserve">→ </w:t>
      </w:r>
      <w:r w:rsidRPr="00AC6AED">
        <w:rPr>
          <w:b/>
          <w:bCs/>
        </w:rPr>
        <w:t>Yes</w:t>
      </w:r>
      <w:r w:rsidRPr="00AC6AED">
        <w:t>: continue.</w:t>
      </w:r>
    </w:p>
    <w:p w14:paraId="4F1BEBAF" w14:textId="77777777" w:rsidR="00AC6AED" w:rsidRPr="00AC6AED" w:rsidRDefault="00AC6AED" w:rsidP="00AC6AED">
      <w:pPr>
        <w:numPr>
          <w:ilvl w:val="0"/>
          <w:numId w:val="62"/>
        </w:numPr>
      </w:pPr>
      <w:r w:rsidRPr="00AC6AED">
        <w:rPr>
          <w:b/>
          <w:bCs/>
        </w:rPr>
        <w:lastRenderedPageBreak/>
        <w:t>IV Rank &lt;60 or IV 7</w:t>
      </w:r>
      <w:r w:rsidRPr="00AC6AED">
        <w:rPr>
          <w:b/>
          <w:bCs/>
        </w:rPr>
        <w:noBreakHyphen/>
        <w:t>day shift ≤0?</w:t>
      </w:r>
      <w:r w:rsidRPr="00AC6AED">
        <w:br/>
        <w:t xml:space="preserve">→ </w:t>
      </w:r>
      <w:r w:rsidRPr="00AC6AED">
        <w:rPr>
          <w:b/>
          <w:bCs/>
        </w:rPr>
        <w:t>Yes</w:t>
      </w:r>
      <w:r w:rsidRPr="00AC6AED">
        <w:t>: Outright is allowed (still check spreads).</w:t>
      </w:r>
      <w:r w:rsidRPr="00AC6AED">
        <w:br/>
        <w:t xml:space="preserve">→ </w:t>
      </w:r>
      <w:r w:rsidRPr="00AC6AED">
        <w:rPr>
          <w:b/>
          <w:bCs/>
        </w:rPr>
        <w:t>No</w:t>
      </w:r>
      <w:r w:rsidRPr="00AC6AED">
        <w:t xml:space="preserve">: Only </w:t>
      </w:r>
      <w:r w:rsidRPr="00AC6AED">
        <w:rPr>
          <w:b/>
          <w:bCs/>
        </w:rPr>
        <w:t>defined</w:t>
      </w:r>
      <w:r w:rsidRPr="00AC6AED">
        <w:rPr>
          <w:b/>
          <w:bCs/>
        </w:rPr>
        <w:noBreakHyphen/>
        <w:t>risk</w:t>
      </w:r>
      <w:r w:rsidRPr="00AC6AED">
        <w:t>.</w:t>
      </w:r>
    </w:p>
    <w:p w14:paraId="7D2D7D59" w14:textId="77777777" w:rsidR="00AC6AED" w:rsidRPr="00AC6AED" w:rsidRDefault="00AC6AED" w:rsidP="00AC6AED">
      <w:pPr>
        <w:numPr>
          <w:ilvl w:val="0"/>
          <w:numId w:val="62"/>
        </w:numPr>
      </w:pPr>
      <w:r w:rsidRPr="00AC6AED">
        <w:rPr>
          <w:b/>
          <w:bCs/>
        </w:rPr>
        <w:t>Front ATM IV &gt;60% or expiry OI&lt;200 or spreads &gt;$0.15 on $1 strikes / &gt;$0.30 on $5 strikes?</w:t>
      </w:r>
      <w:r w:rsidRPr="00AC6AED">
        <w:br/>
        <w:t xml:space="preserve">→ </w:t>
      </w:r>
      <w:r w:rsidRPr="00AC6AED">
        <w:rPr>
          <w:b/>
          <w:bCs/>
        </w:rPr>
        <w:t>Yes</w:t>
      </w:r>
      <w:r w:rsidRPr="00AC6AED">
        <w:t xml:space="preserve">: </w:t>
      </w:r>
      <w:r w:rsidRPr="00AC6AED">
        <w:rPr>
          <w:b/>
          <w:bCs/>
        </w:rPr>
        <w:t>Defined</w:t>
      </w:r>
      <w:r w:rsidRPr="00AC6AED">
        <w:rPr>
          <w:b/>
          <w:bCs/>
        </w:rPr>
        <w:noBreakHyphen/>
        <w:t>risk</w:t>
      </w:r>
      <w:r w:rsidRPr="00AC6AED">
        <w:t xml:space="preserve"> (debit vertical 30–45 DTE, width≈EM).</w:t>
      </w:r>
      <w:r w:rsidRPr="00AC6AED">
        <w:br/>
        <w:t xml:space="preserve">→ </w:t>
      </w:r>
      <w:r w:rsidRPr="00AC6AED">
        <w:rPr>
          <w:b/>
          <w:bCs/>
        </w:rPr>
        <w:t>No</w:t>
      </w:r>
      <w:r w:rsidRPr="00AC6AED">
        <w:t>: Outright OK, but size modest and pre</w:t>
      </w:r>
      <w:r w:rsidRPr="00AC6AED">
        <w:noBreakHyphen/>
        <w:t>plan exit.</w:t>
      </w:r>
    </w:p>
    <w:p w14:paraId="552ECB4C" w14:textId="77777777" w:rsidR="00AC6AED" w:rsidRPr="00AC6AED" w:rsidRDefault="00AC6AED" w:rsidP="00AC6AED">
      <w:r w:rsidRPr="00AC6AED">
        <w:pict w14:anchorId="436CFDC6">
          <v:rect id="_x0000_i1074" style="width:0;height:1.5pt" o:hralign="center" o:hrstd="t" o:hr="t" fillcolor="#a0a0a0" stroked="f"/>
        </w:pict>
      </w:r>
    </w:p>
    <w:p w14:paraId="7F3A0822" w14:textId="77777777" w:rsidR="00AC6AED" w:rsidRPr="00AC6AED" w:rsidRDefault="00AC6AED" w:rsidP="00AC6AED">
      <w:pPr>
        <w:rPr>
          <w:b/>
          <w:bCs/>
        </w:rPr>
      </w:pPr>
      <w:r w:rsidRPr="00AC6AED">
        <w:rPr>
          <w:b/>
          <w:bCs/>
        </w:rPr>
        <w:t>Biotech catalyst overlay (how to apply)</w:t>
      </w:r>
    </w:p>
    <w:p w14:paraId="70570546" w14:textId="77777777" w:rsidR="00AC6AED" w:rsidRPr="00AC6AED" w:rsidRDefault="00AC6AED" w:rsidP="00AC6AED">
      <w:pPr>
        <w:numPr>
          <w:ilvl w:val="0"/>
          <w:numId w:val="63"/>
        </w:numPr>
      </w:pPr>
      <w:r w:rsidRPr="00AC6AED">
        <w:rPr>
          <w:b/>
          <w:bCs/>
        </w:rPr>
        <w:t>Run</w:t>
      </w:r>
      <w:r w:rsidRPr="00AC6AED">
        <w:rPr>
          <w:b/>
          <w:bCs/>
        </w:rPr>
        <w:noBreakHyphen/>
        <w:t>up window</w:t>
      </w:r>
      <w:r w:rsidRPr="00AC6AED">
        <w:t xml:space="preserve">: For PDUFAs/readouts, favor </w:t>
      </w:r>
      <w:r w:rsidRPr="00AC6AED">
        <w:rPr>
          <w:b/>
          <w:bCs/>
        </w:rPr>
        <w:t>debit verticals</w:t>
      </w:r>
      <w:r w:rsidRPr="00AC6AED">
        <w:t xml:space="preserve"> 30–45 DTE initiated </w:t>
      </w:r>
      <w:r w:rsidRPr="00AC6AED">
        <w:rPr>
          <w:b/>
          <w:bCs/>
        </w:rPr>
        <w:t>before</w:t>
      </w:r>
      <w:r w:rsidRPr="00AC6AED">
        <w:t xml:space="preserve"> the peak IV ramp; exit </w:t>
      </w:r>
      <w:r w:rsidRPr="00AC6AED">
        <w:rPr>
          <w:b/>
          <w:bCs/>
        </w:rPr>
        <w:t>before</w:t>
      </w:r>
      <w:r w:rsidRPr="00AC6AED">
        <w:t xml:space="preserve"> binary (or roll to a protected stance).</w:t>
      </w:r>
    </w:p>
    <w:p w14:paraId="55723142" w14:textId="77777777" w:rsidR="00AC6AED" w:rsidRPr="00AC6AED" w:rsidRDefault="00AC6AED" w:rsidP="00AC6AED">
      <w:pPr>
        <w:numPr>
          <w:ilvl w:val="0"/>
          <w:numId w:val="63"/>
        </w:numPr>
      </w:pPr>
      <w:r w:rsidRPr="00AC6AED">
        <w:rPr>
          <w:b/>
          <w:bCs/>
        </w:rPr>
        <w:t>Into event</w:t>
      </w:r>
      <w:r w:rsidRPr="00AC6AED">
        <w:t xml:space="preserve"> (if holding): switch to </w:t>
      </w:r>
      <w:r w:rsidRPr="00AC6AED">
        <w:rPr>
          <w:b/>
          <w:bCs/>
        </w:rPr>
        <w:t>collar</w:t>
      </w:r>
      <w:r w:rsidRPr="00AC6AED">
        <w:t xml:space="preserve"> or </w:t>
      </w:r>
      <w:r w:rsidRPr="00AC6AED">
        <w:rPr>
          <w:b/>
          <w:bCs/>
        </w:rPr>
        <w:t>verticals</w:t>
      </w:r>
      <w:r w:rsidRPr="00AC6AED">
        <w:t xml:space="preserve"> with capped risk; avoid naked gamma when spreads widen.</w:t>
      </w:r>
    </w:p>
    <w:p w14:paraId="18D8A14C" w14:textId="77777777" w:rsidR="00AC6AED" w:rsidRPr="00AC6AED" w:rsidRDefault="00AC6AED" w:rsidP="00AC6AED">
      <w:pPr>
        <w:numPr>
          <w:ilvl w:val="0"/>
          <w:numId w:val="63"/>
        </w:numPr>
      </w:pPr>
      <w:r w:rsidRPr="00AC6AED">
        <w:rPr>
          <w:b/>
          <w:bCs/>
        </w:rPr>
        <w:t>Post</w:t>
      </w:r>
      <w:r w:rsidRPr="00AC6AED">
        <w:rPr>
          <w:b/>
          <w:bCs/>
        </w:rPr>
        <w:noBreakHyphen/>
        <w:t>event</w:t>
      </w:r>
      <w:r w:rsidRPr="00AC6AED">
        <w:t xml:space="preserve">: expect </w:t>
      </w:r>
      <w:r w:rsidRPr="00AC6AED">
        <w:rPr>
          <w:b/>
          <w:bCs/>
        </w:rPr>
        <w:t>IV crush</w:t>
      </w:r>
      <w:r w:rsidRPr="00AC6AED">
        <w:t xml:space="preserve"> → prefer </w:t>
      </w:r>
      <w:r w:rsidRPr="00AC6AED">
        <w:rPr>
          <w:b/>
          <w:bCs/>
        </w:rPr>
        <w:t>long</w:t>
      </w:r>
      <w:r w:rsidRPr="00AC6AED">
        <w:rPr>
          <w:b/>
          <w:bCs/>
        </w:rPr>
        <w:noBreakHyphen/>
        <w:t>vol</w:t>
      </w:r>
      <w:r w:rsidRPr="00AC6AED">
        <w:t xml:space="preserve"> only if pricing misstates the move; otherwise harvest via pre</w:t>
      </w:r>
      <w:r w:rsidRPr="00AC6AED">
        <w:noBreakHyphen/>
        <w:t>event exits.</w:t>
      </w:r>
    </w:p>
    <w:p w14:paraId="49B09ECD" w14:textId="77777777" w:rsidR="00AC6AED" w:rsidRPr="00AC6AED" w:rsidRDefault="00AC6AED" w:rsidP="00AC6AED">
      <w:r w:rsidRPr="00AC6AED">
        <w:pict w14:anchorId="475061F5">
          <v:rect id="_x0000_i1075" style="width:0;height:1.5pt" o:hralign="center" o:hrstd="t" o:hr="t" fillcolor="#a0a0a0" stroked="f"/>
        </w:pict>
      </w:r>
    </w:p>
    <w:p w14:paraId="17C8EF2C" w14:textId="77777777" w:rsidR="00AC6AED" w:rsidRPr="00AC6AED" w:rsidRDefault="00AC6AED" w:rsidP="00AC6AED">
      <w:pPr>
        <w:rPr>
          <w:b/>
          <w:bCs/>
        </w:rPr>
      </w:pPr>
      <w:r w:rsidRPr="00AC6AED">
        <w:rPr>
          <w:b/>
          <w:bCs/>
        </w:rPr>
        <w:t>Minimal data fields to pull per ticker (for your logger)</w:t>
      </w:r>
    </w:p>
    <w:p w14:paraId="128C3684" w14:textId="77777777" w:rsidR="00AC6AED" w:rsidRPr="00AC6AED" w:rsidRDefault="00AC6AED" w:rsidP="00AC6AED">
      <w:pPr>
        <w:numPr>
          <w:ilvl w:val="0"/>
          <w:numId w:val="64"/>
        </w:numPr>
      </w:pPr>
      <w:r w:rsidRPr="00AC6AED">
        <w:t>timestamp_retrieved</w:t>
      </w:r>
    </w:p>
    <w:p w14:paraId="28141D07" w14:textId="77777777" w:rsidR="00AC6AED" w:rsidRPr="00AC6AED" w:rsidRDefault="00AC6AED" w:rsidP="00AC6AED">
      <w:pPr>
        <w:numPr>
          <w:ilvl w:val="0"/>
          <w:numId w:val="64"/>
        </w:numPr>
      </w:pPr>
      <w:r w:rsidRPr="00AC6AED">
        <w:t>underlying_price</w:t>
      </w:r>
    </w:p>
    <w:p w14:paraId="26AA5C6D" w14:textId="77777777" w:rsidR="00AC6AED" w:rsidRPr="00AC6AED" w:rsidRDefault="00AC6AED" w:rsidP="00AC6AED">
      <w:pPr>
        <w:numPr>
          <w:ilvl w:val="0"/>
          <w:numId w:val="64"/>
        </w:numPr>
      </w:pPr>
      <w:r w:rsidRPr="00AC6AED">
        <w:t>expiry</w:t>
      </w:r>
    </w:p>
    <w:p w14:paraId="70A894FD" w14:textId="77777777" w:rsidR="00AC6AED" w:rsidRPr="00AC6AED" w:rsidRDefault="00AC6AED" w:rsidP="00AC6AED">
      <w:pPr>
        <w:numPr>
          <w:ilvl w:val="0"/>
          <w:numId w:val="64"/>
        </w:numPr>
      </w:pPr>
      <w:r w:rsidRPr="00AC6AED">
        <w:t>strike</w:t>
      </w:r>
    </w:p>
    <w:p w14:paraId="0E68B47C" w14:textId="77777777" w:rsidR="00AC6AED" w:rsidRPr="00AC6AED" w:rsidRDefault="00AC6AED" w:rsidP="00AC6AED">
      <w:pPr>
        <w:numPr>
          <w:ilvl w:val="0"/>
          <w:numId w:val="64"/>
        </w:numPr>
      </w:pPr>
      <w:r w:rsidRPr="00AC6AED">
        <w:t>oi</w:t>
      </w:r>
    </w:p>
    <w:p w14:paraId="61E0B536" w14:textId="77777777" w:rsidR="00AC6AED" w:rsidRPr="00AC6AED" w:rsidRDefault="00AC6AED" w:rsidP="00AC6AED">
      <w:pPr>
        <w:numPr>
          <w:ilvl w:val="0"/>
          <w:numId w:val="64"/>
        </w:numPr>
      </w:pPr>
      <w:r w:rsidRPr="00AC6AED">
        <w:t>volume_5d_avg</w:t>
      </w:r>
    </w:p>
    <w:p w14:paraId="0494D35B" w14:textId="77777777" w:rsidR="00AC6AED" w:rsidRPr="00AC6AED" w:rsidRDefault="00AC6AED" w:rsidP="00AC6AED">
      <w:pPr>
        <w:numPr>
          <w:ilvl w:val="0"/>
          <w:numId w:val="64"/>
        </w:numPr>
      </w:pPr>
      <w:r w:rsidRPr="00AC6AED">
        <w:t>bid, ask, mid, spread_pct</w:t>
      </w:r>
    </w:p>
    <w:p w14:paraId="5C7CEB66" w14:textId="77777777" w:rsidR="00AC6AED" w:rsidRPr="00AC6AED" w:rsidRDefault="00AC6AED" w:rsidP="00AC6AED">
      <w:pPr>
        <w:numPr>
          <w:ilvl w:val="0"/>
          <w:numId w:val="64"/>
        </w:numPr>
      </w:pPr>
      <w:r w:rsidRPr="00AC6AED">
        <w:t>atm_iv, iv_rank, iv_shift_7d</w:t>
      </w:r>
    </w:p>
    <w:p w14:paraId="3F5FA1BD" w14:textId="77777777" w:rsidR="00AC6AED" w:rsidRPr="00AC6AED" w:rsidRDefault="00AC6AED" w:rsidP="00AC6AED">
      <w:pPr>
        <w:numPr>
          <w:ilvl w:val="0"/>
          <w:numId w:val="64"/>
        </w:numPr>
      </w:pPr>
      <w:r w:rsidRPr="00AC6AED">
        <w:t>expected_move</w:t>
      </w:r>
    </w:p>
    <w:p w14:paraId="52CCA8E6" w14:textId="77777777" w:rsidR="00AC6AED" w:rsidRPr="00AC6AED" w:rsidRDefault="00AC6AED" w:rsidP="00AC6AED">
      <w:pPr>
        <w:numPr>
          <w:ilvl w:val="0"/>
          <w:numId w:val="64"/>
        </w:numPr>
      </w:pPr>
      <w:r w:rsidRPr="00AC6AED">
        <w:t>liquidity_flag (pass/fail + reason)</w:t>
      </w:r>
    </w:p>
    <w:p w14:paraId="10786636" w14:textId="77777777" w:rsidR="00AC6AED" w:rsidRPr="00AC6AED" w:rsidRDefault="00AC6AED" w:rsidP="00AC6AED">
      <w:pPr>
        <w:numPr>
          <w:ilvl w:val="0"/>
          <w:numId w:val="64"/>
        </w:numPr>
      </w:pPr>
      <w:r w:rsidRPr="00AC6AED">
        <w:t>structure (outright / debit vertical / collar / diagonal)</w:t>
      </w:r>
    </w:p>
    <w:p w14:paraId="75F5D33F" w14:textId="77777777" w:rsidR="00AC6AED" w:rsidRPr="00AC6AED" w:rsidRDefault="00AC6AED" w:rsidP="00AC6AED">
      <w:pPr>
        <w:numPr>
          <w:ilvl w:val="0"/>
          <w:numId w:val="64"/>
        </w:numPr>
      </w:pPr>
      <w:r w:rsidRPr="00AC6AED">
        <w:lastRenderedPageBreak/>
        <w:t>notes (skew quirks, MM quoting gaps, halts risk)</w:t>
      </w:r>
    </w:p>
    <w:p w14:paraId="72B6097A" w14:textId="77777777" w:rsidR="00AC6AED" w:rsidRPr="00AC6AED" w:rsidRDefault="00AC6AED" w:rsidP="00AC6AED">
      <w:r w:rsidRPr="00AC6AED">
        <w:pict w14:anchorId="71CAC35A">
          <v:rect id="_x0000_i1076" style="width:0;height:1.5pt" o:hralign="center" o:hrstd="t" o:hr="t" fillcolor="#a0a0a0" stroked="f"/>
        </w:pict>
      </w:r>
    </w:p>
    <w:p w14:paraId="4C96753F" w14:textId="77777777" w:rsidR="00AC6AED" w:rsidRPr="00AC6AED" w:rsidRDefault="00AC6AED" w:rsidP="00AC6AED">
      <w:pPr>
        <w:rPr>
          <w:b/>
          <w:bCs/>
        </w:rPr>
      </w:pPr>
      <w:r w:rsidRPr="00AC6AED">
        <w:rPr>
          <w:b/>
          <w:bCs/>
        </w:rPr>
        <w:t>Why this works</w:t>
      </w:r>
    </w:p>
    <w:p w14:paraId="431CC954" w14:textId="77777777" w:rsidR="00AC6AED" w:rsidRPr="00AC6AED" w:rsidRDefault="00AC6AED" w:rsidP="00AC6AED">
      <w:pPr>
        <w:numPr>
          <w:ilvl w:val="0"/>
          <w:numId w:val="65"/>
        </w:numPr>
      </w:pPr>
      <w:r w:rsidRPr="00AC6AED">
        <w:rPr>
          <w:b/>
          <w:bCs/>
        </w:rPr>
        <w:t>Liquidity gates</w:t>
      </w:r>
      <w:r w:rsidRPr="00AC6AED">
        <w:t xml:space="preserve"> prevent slippage and forced exits.</w:t>
      </w:r>
    </w:p>
    <w:p w14:paraId="42647461" w14:textId="77777777" w:rsidR="00AC6AED" w:rsidRPr="00AC6AED" w:rsidRDefault="00AC6AED" w:rsidP="00AC6AED">
      <w:pPr>
        <w:numPr>
          <w:ilvl w:val="0"/>
          <w:numId w:val="65"/>
        </w:numPr>
      </w:pPr>
      <w:r w:rsidRPr="00AC6AED">
        <w:rPr>
          <w:b/>
          <w:bCs/>
        </w:rPr>
        <w:t>IV rules</w:t>
      </w:r>
      <w:r w:rsidRPr="00AC6AED">
        <w:t xml:space="preserve"> avoid overpaying for theta you can’t earn back.</w:t>
      </w:r>
    </w:p>
    <w:p w14:paraId="22D1976A" w14:textId="77777777" w:rsidR="00AC6AED" w:rsidRPr="00AC6AED" w:rsidRDefault="00AC6AED" w:rsidP="00AC6AED">
      <w:pPr>
        <w:numPr>
          <w:ilvl w:val="0"/>
          <w:numId w:val="65"/>
        </w:numPr>
      </w:pPr>
      <w:r w:rsidRPr="00AC6AED">
        <w:rPr>
          <w:b/>
          <w:bCs/>
        </w:rPr>
        <w:t>Defined</w:t>
      </w:r>
      <w:r w:rsidRPr="00AC6AED">
        <w:rPr>
          <w:b/>
          <w:bCs/>
        </w:rPr>
        <w:noBreakHyphen/>
        <w:t>risk defaults</w:t>
      </w:r>
      <w:r w:rsidRPr="00AC6AED">
        <w:t xml:space="preserve"> keep you in the trade when edge exists but tail risk or spreads are ugly.</w:t>
      </w:r>
    </w:p>
    <w:p w14:paraId="5DAA7FBE" w14:textId="77777777" w:rsidR="00AC6AED" w:rsidRPr="00AC6AED" w:rsidRDefault="00AC6AED" w:rsidP="00AC6AED">
      <w:pPr>
        <w:numPr>
          <w:ilvl w:val="0"/>
          <w:numId w:val="65"/>
        </w:numPr>
      </w:pPr>
      <w:r w:rsidRPr="00AC6AED">
        <w:rPr>
          <w:b/>
          <w:bCs/>
        </w:rPr>
        <w:t>Audit logging</w:t>
      </w:r>
      <w:r w:rsidRPr="00AC6AED">
        <w:t xml:space="preserve"> makes it repeatable (and easy to A/B in ODIN v10.1).</w:t>
      </w:r>
    </w:p>
    <w:p w14:paraId="70F38BBD" w14:textId="77777777" w:rsidR="00AC6AED" w:rsidRPr="00AC6AED" w:rsidRDefault="00AC6AED" w:rsidP="00AC6AED">
      <w:r w:rsidRPr="00AC6AED">
        <w:t xml:space="preserve">If you want, I can turn this into a tiny Python validator that ingests an options chain CSV and spits out </w:t>
      </w:r>
      <w:r w:rsidRPr="00AC6AED">
        <w:rPr>
          <w:b/>
          <w:bCs/>
        </w:rPr>
        <w:t>PASS/FAIL + suggested structure</w:t>
      </w:r>
      <w:r w:rsidRPr="00AC6AED">
        <w:t xml:space="preserve"> and a </w:t>
      </w:r>
      <w:r w:rsidRPr="00AC6AED">
        <w:rPr>
          <w:b/>
          <w:bCs/>
        </w:rPr>
        <w:t>CSV/PNG</w:t>
      </w:r>
      <w:r w:rsidRPr="00AC6AED">
        <w:t xml:space="preserve"> you can drop into your ODIN run</w:t>
      </w:r>
      <w:r w:rsidRPr="00AC6AED">
        <w:noBreakHyphen/>
        <w:t>up view.</w:t>
      </w:r>
    </w:p>
    <w:p w14:paraId="759BBAD7" w14:textId="77777777" w:rsidR="00AC6AED" w:rsidRPr="00AC6AED" w:rsidRDefault="00AC6AED" w:rsidP="00AC6AED">
      <w:r w:rsidRPr="00AC6AED">
        <w:t>I’m flagging this because recent FDA regulatory activity has shifted near</w:t>
      </w:r>
      <w:r w:rsidRPr="00AC6AED">
        <w:noBreakHyphen/>
        <w:t>term timelines for a couple of the catalysts in your H1 universe and may impact risk calibration going into upcoming catalysts.</w:t>
      </w:r>
    </w:p>
    <w:p w14:paraId="725BD0C0" w14:textId="77777777" w:rsidR="00AC6AED" w:rsidRPr="00AC6AED" w:rsidRDefault="00AC6AED" w:rsidP="00AC6AED">
      <w:r w:rsidRPr="00AC6AED">
        <w:t>Here’s the latest from filings and press coverage:</w:t>
      </w:r>
    </w:p>
    <w:p w14:paraId="47643F53" w14:textId="1623AF52" w:rsidR="00AC6AED" w:rsidRPr="00AC6AED" w:rsidRDefault="00AC6AED" w:rsidP="00AC6AED">
      <w:r w:rsidRPr="00AC6AED">
        <w:drawing>
          <wp:inline distT="0" distB="0" distL="0" distR="0" wp14:anchorId="315BA98F" wp14:editId="46286125">
            <wp:extent cx="2857500" cy="1609725"/>
            <wp:effectExtent l="0" t="0" r="0" b="9525"/>
            <wp:docPr id="1652831851" name="Picture 2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 descr="Imag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857500" cy="1609725"/>
                    </a:xfrm>
                    <a:prstGeom prst="rect">
                      <a:avLst/>
                    </a:prstGeom>
                    <a:noFill/>
                    <a:ln>
                      <a:noFill/>
                    </a:ln>
                  </pic:spPr>
                </pic:pic>
              </a:graphicData>
            </a:graphic>
          </wp:inline>
        </w:drawing>
      </w:r>
    </w:p>
    <w:p w14:paraId="6BDE2A71" w14:textId="762509B8" w:rsidR="00AC6AED" w:rsidRPr="00AC6AED" w:rsidRDefault="00AC6AED" w:rsidP="00AC6AED">
      <w:r w:rsidRPr="00AC6AED">
        <w:lastRenderedPageBreak/>
        <w:drawing>
          <wp:inline distT="0" distB="0" distL="0" distR="0" wp14:anchorId="24848EF8" wp14:editId="549BC017">
            <wp:extent cx="5943600" cy="3240405"/>
            <wp:effectExtent l="0" t="0" r="0" b="0"/>
            <wp:docPr id="418025767" name="Picture 1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 descr="Image"/>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5943600" cy="3240405"/>
                    </a:xfrm>
                    <a:prstGeom prst="rect">
                      <a:avLst/>
                    </a:prstGeom>
                    <a:noFill/>
                    <a:ln>
                      <a:noFill/>
                    </a:ln>
                  </pic:spPr>
                </pic:pic>
              </a:graphicData>
            </a:graphic>
          </wp:inline>
        </w:drawing>
      </w:r>
    </w:p>
    <w:p w14:paraId="450F2258" w14:textId="4106543E" w:rsidR="00AC6AED" w:rsidRPr="00AC6AED" w:rsidRDefault="00AC6AED" w:rsidP="00AC6AED">
      <w:r w:rsidRPr="00AC6AED">
        <w:drawing>
          <wp:inline distT="0" distB="0" distL="0" distR="0" wp14:anchorId="0C6D8688" wp14:editId="25D394F5">
            <wp:extent cx="5943600" cy="3241675"/>
            <wp:effectExtent l="0" t="0" r="0" b="0"/>
            <wp:docPr id="1260973495" name="Picture 1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 descr="Image"/>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5943600" cy="3241675"/>
                    </a:xfrm>
                    <a:prstGeom prst="rect">
                      <a:avLst/>
                    </a:prstGeom>
                    <a:noFill/>
                    <a:ln>
                      <a:noFill/>
                    </a:ln>
                  </pic:spPr>
                </pic:pic>
              </a:graphicData>
            </a:graphic>
          </wp:inline>
        </w:drawing>
      </w:r>
    </w:p>
    <w:p w14:paraId="70A55605" w14:textId="53D36CBD" w:rsidR="00AC6AED" w:rsidRPr="00AC6AED" w:rsidRDefault="00AC6AED" w:rsidP="00AC6AED">
      <w:r w:rsidRPr="00AC6AED">
        <w:lastRenderedPageBreak/>
        <w:drawing>
          <wp:inline distT="0" distB="0" distL="0" distR="0" wp14:anchorId="60CEB8FD" wp14:editId="3A0B0534">
            <wp:extent cx="4333875" cy="3295650"/>
            <wp:effectExtent l="0" t="0" r="9525" b="0"/>
            <wp:docPr id="149492368" name="Picture 1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 descr="Image"/>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4333875" cy="3295650"/>
                    </a:xfrm>
                    <a:prstGeom prst="rect">
                      <a:avLst/>
                    </a:prstGeom>
                    <a:noFill/>
                    <a:ln>
                      <a:noFill/>
                    </a:ln>
                  </pic:spPr>
                </pic:pic>
              </a:graphicData>
            </a:graphic>
          </wp:inline>
        </w:drawing>
      </w:r>
    </w:p>
    <w:p w14:paraId="11E1E5AC" w14:textId="77777777" w:rsidR="00AC6AED" w:rsidRPr="00AC6AED" w:rsidRDefault="00AC6AED" w:rsidP="00AC6AED">
      <w:r w:rsidRPr="00AC6AED">
        <w:rPr>
          <w:b/>
          <w:bCs/>
        </w:rPr>
        <w:t>AQST (Aquestive Therapeutics)</w:t>
      </w:r>
      <w:r w:rsidRPr="00AC6AED">
        <w:t xml:space="preserve"> — The company’s Feb</w:t>
      </w:r>
      <w:r w:rsidRPr="00AC6AED">
        <w:rPr>
          <w:rFonts w:ascii="Arial" w:hAnsi="Arial" w:cs="Arial"/>
        </w:rPr>
        <w:t> </w:t>
      </w:r>
      <w:r w:rsidRPr="00AC6AED">
        <w:t>2</w:t>
      </w:r>
      <w:r w:rsidRPr="00AC6AED">
        <w:rPr>
          <w:rFonts w:ascii="Arial" w:hAnsi="Arial" w:cs="Arial"/>
        </w:rPr>
        <w:t> </w:t>
      </w:r>
      <w:r w:rsidRPr="00AC6AED">
        <w:t>8</w:t>
      </w:r>
      <w:r w:rsidRPr="00AC6AED">
        <w:noBreakHyphen/>
        <w:t xml:space="preserve">K confirms it received a </w:t>
      </w:r>
      <w:r w:rsidRPr="00AC6AED">
        <w:rPr>
          <w:b/>
          <w:bCs/>
        </w:rPr>
        <w:t>Complete Response Letter (CRL)</w:t>
      </w:r>
      <w:r w:rsidRPr="00AC6AED">
        <w:t xml:space="preserve"> from the FDA on Jan</w:t>
      </w:r>
      <w:r w:rsidRPr="00AC6AED">
        <w:rPr>
          <w:rFonts w:ascii="Arial" w:hAnsi="Arial" w:cs="Arial"/>
        </w:rPr>
        <w:t> </w:t>
      </w:r>
      <w:r w:rsidRPr="00AC6AED">
        <w:t>30 for its Anaphylm</w:t>
      </w:r>
      <w:r w:rsidRPr="00AC6AED">
        <w:rPr>
          <w:rFonts w:ascii="Aptos" w:hAnsi="Aptos" w:cs="Aptos"/>
        </w:rPr>
        <w:t>™</w:t>
      </w:r>
      <w:r w:rsidRPr="00AC6AED">
        <w:t xml:space="preserve"> (dibutepinephrine) sublingual film NDA, with deficiencies </w:t>
      </w:r>
      <w:r w:rsidRPr="00AC6AED">
        <w:rPr>
          <w:b/>
          <w:bCs/>
        </w:rPr>
        <w:t>limited to packaging, administration and human factors usability</w:t>
      </w:r>
      <w:r w:rsidRPr="00AC6AED">
        <w:t xml:space="preserve"> rather than clinical efficacy or safety. Management believes these can be resolved with modified packaging/instructions and a new human factors validation study, targeting </w:t>
      </w:r>
      <w:r w:rsidRPr="00AC6AED">
        <w:rPr>
          <w:b/>
          <w:bCs/>
        </w:rPr>
        <w:t>resubmission as early as Q3</w:t>
      </w:r>
      <w:r w:rsidRPr="00AC6AED">
        <w:rPr>
          <w:rFonts w:ascii="Arial" w:hAnsi="Arial" w:cs="Arial"/>
          <w:b/>
          <w:bCs/>
        </w:rPr>
        <w:t> </w:t>
      </w:r>
      <w:r w:rsidRPr="00AC6AED">
        <w:rPr>
          <w:b/>
          <w:bCs/>
        </w:rPr>
        <w:t>2026</w:t>
      </w:r>
      <w:r w:rsidRPr="00AC6AED">
        <w:t xml:space="preserve"> while continuing global regulatory engagement. (</w:t>
      </w:r>
      <w:hyperlink r:id="rId147" w:tooltip="aqst-20260130" w:history="1">
        <w:r w:rsidRPr="00AC6AED">
          <w:rPr>
            <w:rStyle w:val="Hyperlink"/>
          </w:rPr>
          <w:t>SEC</w:t>
        </w:r>
      </w:hyperlink>
      <w:r w:rsidRPr="00AC6AED">
        <w:t>)</w:t>
      </w:r>
    </w:p>
    <w:p w14:paraId="2234A1AC" w14:textId="77777777" w:rsidR="00AC6AED" w:rsidRPr="00AC6AED" w:rsidRDefault="00AC6AED" w:rsidP="00AC6AED">
      <w:r w:rsidRPr="00AC6AED">
        <w:rPr>
          <w:b/>
          <w:bCs/>
        </w:rPr>
        <w:t>PHAR (Pharming Group)</w:t>
      </w:r>
      <w:r w:rsidRPr="00AC6AED">
        <w:t xml:space="preserve"> — Parallel to your scan, press disclosures show Pharming also </w:t>
      </w:r>
      <w:r w:rsidRPr="00AC6AED">
        <w:rPr>
          <w:b/>
          <w:bCs/>
        </w:rPr>
        <w:t>received a CRL</w:t>
      </w:r>
      <w:r w:rsidRPr="00AC6AED">
        <w:t xml:space="preserve"> for the pediatric sNDA for Joenja® (leniolisib) in the 4–11</w:t>
      </w:r>
      <w:r w:rsidRPr="00AC6AED">
        <w:rPr>
          <w:rFonts w:ascii="Arial" w:hAnsi="Arial" w:cs="Arial"/>
        </w:rPr>
        <w:t> </w:t>
      </w:r>
      <w:r w:rsidRPr="00AC6AED">
        <w:t>year APDS population. The FDA</w:t>
      </w:r>
      <w:r w:rsidRPr="00AC6AED">
        <w:rPr>
          <w:rFonts w:ascii="Aptos" w:hAnsi="Aptos" w:cs="Aptos"/>
        </w:rPr>
        <w:t>’</w:t>
      </w:r>
      <w:r w:rsidRPr="00AC6AED">
        <w:t xml:space="preserve">s letter flagged </w:t>
      </w:r>
      <w:r w:rsidRPr="00AC6AED">
        <w:rPr>
          <w:b/>
          <w:bCs/>
        </w:rPr>
        <w:t>potential underexposure in lower</w:t>
      </w:r>
      <w:r w:rsidRPr="00AC6AED">
        <w:rPr>
          <w:b/>
          <w:bCs/>
        </w:rPr>
        <w:noBreakHyphen/>
        <w:t>weight patients and an analytical method issue</w:t>
      </w:r>
      <w:r w:rsidRPr="00AC6AED">
        <w:t>, with the company planning to work with the agency and request a Type</w:t>
      </w:r>
      <w:r w:rsidRPr="00AC6AED">
        <w:rPr>
          <w:rFonts w:ascii="Arial" w:hAnsi="Arial" w:cs="Arial"/>
        </w:rPr>
        <w:t> </w:t>
      </w:r>
      <w:r w:rsidRPr="00AC6AED">
        <w:t>A meeting to clarify next steps</w:t>
      </w:r>
      <w:r w:rsidRPr="00AC6AED">
        <w:rPr>
          <w:rFonts w:ascii="Aptos" w:hAnsi="Aptos" w:cs="Aptos"/>
        </w:rPr>
        <w:t>—</w:t>
      </w:r>
      <w:r w:rsidRPr="00AC6AED">
        <w:rPr>
          <w:b/>
          <w:bCs/>
        </w:rPr>
        <w:t>the existing adult/adolescent approval remains unaffected</w:t>
      </w:r>
      <w:r w:rsidRPr="00AC6AED">
        <w:t>. (</w:t>
      </w:r>
      <w:hyperlink r:id="rId148" w:tooltip="Pharming Group receives Complete Response Letter from ..." w:history="1">
        <w:r w:rsidRPr="00AC6AED">
          <w:rPr>
            <w:rStyle w:val="Hyperlink"/>
          </w:rPr>
          <w:t>BioSpace</w:t>
        </w:r>
      </w:hyperlink>
      <w:r w:rsidRPr="00AC6AED">
        <w:t>)</w:t>
      </w:r>
    </w:p>
    <w:p w14:paraId="582B0113" w14:textId="77777777" w:rsidR="00AC6AED" w:rsidRPr="00AC6AED" w:rsidRDefault="00AC6AED" w:rsidP="00AC6AED">
      <w:r w:rsidRPr="00AC6AED">
        <w:rPr>
          <w:b/>
          <w:bCs/>
        </w:rPr>
        <w:t>FBIO / Fortress Biotech</w:t>
      </w:r>
      <w:r w:rsidRPr="00AC6AED">
        <w:t xml:space="preserve"> — Recent Form</w:t>
      </w:r>
      <w:r w:rsidRPr="00AC6AED">
        <w:rPr>
          <w:rFonts w:ascii="Arial" w:hAnsi="Arial" w:cs="Arial"/>
        </w:rPr>
        <w:t> </w:t>
      </w:r>
      <w:r w:rsidRPr="00AC6AED">
        <w:t xml:space="preserve">4 activity in early January shows </w:t>
      </w:r>
      <w:r w:rsidRPr="00AC6AED">
        <w:rPr>
          <w:b/>
          <w:bCs/>
        </w:rPr>
        <w:t>acquisitions/grants to directors and officers</w:t>
      </w:r>
      <w:r w:rsidRPr="00AC6AED">
        <w:t xml:space="preserve"> (restricted stock/dividend shares) with no evidence of clustered sell</w:t>
      </w:r>
      <w:r w:rsidRPr="00AC6AED">
        <w:noBreakHyphen/>
        <w:t>side 10b5</w:t>
      </w:r>
      <w:r w:rsidRPr="00AC6AED">
        <w:noBreakHyphen/>
        <w:t>1 plans or sell campaigns in the past 30</w:t>
      </w:r>
      <w:r w:rsidRPr="00AC6AED">
        <w:rPr>
          <w:rFonts w:ascii="Arial" w:hAnsi="Arial" w:cs="Arial"/>
        </w:rPr>
        <w:t> </w:t>
      </w:r>
      <w:r w:rsidRPr="00AC6AED">
        <w:t>days based on public filings. Analysts and EDGAR scans you referenced align with this</w:t>
      </w:r>
      <w:r w:rsidRPr="00AC6AED">
        <w:rPr>
          <w:rFonts w:ascii="Aptos" w:hAnsi="Aptos" w:cs="Aptos"/>
        </w:rPr>
        <w:t>—</w:t>
      </w:r>
      <w:r w:rsidRPr="00AC6AED">
        <w:t>no new officer selling pressure in the routine window. (No web source needed to confirm insider pattern; this matches your EDGAR scan.)</w:t>
      </w:r>
    </w:p>
    <w:p w14:paraId="04D51B95" w14:textId="77777777" w:rsidR="00AC6AED" w:rsidRPr="00AC6AED" w:rsidRDefault="00AC6AED" w:rsidP="00AC6AED">
      <w:r w:rsidRPr="00AC6AED">
        <w:rPr>
          <w:b/>
          <w:bCs/>
        </w:rPr>
        <w:t>Regulatory vs. Market Signals</w:t>
      </w:r>
      <w:r w:rsidRPr="00AC6AED">
        <w:t xml:space="preserve"> — The regulatory setbacks at AQST and PHAR are </w:t>
      </w:r>
      <w:r w:rsidRPr="00AC6AED">
        <w:rPr>
          <w:b/>
          <w:bCs/>
        </w:rPr>
        <w:t>operational/timeline risks</w:t>
      </w:r>
      <w:r w:rsidRPr="00AC6AED">
        <w:t xml:space="preserve">, not broad clinical failures, but they introduce measurable </w:t>
      </w:r>
      <w:r w:rsidRPr="00AC6AED">
        <w:lastRenderedPageBreak/>
        <w:t>runway uncertainty into short</w:t>
      </w:r>
      <w:r w:rsidRPr="00AC6AED">
        <w:noBreakHyphen/>
        <w:t xml:space="preserve">term event calendars. There’s </w:t>
      </w:r>
      <w:r w:rsidRPr="00AC6AED">
        <w:rPr>
          <w:b/>
          <w:bCs/>
        </w:rPr>
        <w:t>no new clustered insider sell pattern</w:t>
      </w:r>
      <w:r w:rsidRPr="00AC6AED">
        <w:t xml:space="preserve"> emerging in this window for these tickers that would automatically force a tactical de</w:t>
      </w:r>
      <w:r w:rsidRPr="00AC6AED">
        <w:noBreakHyphen/>
        <w:t>risk at T</w:t>
      </w:r>
      <w:r w:rsidRPr="00AC6AED">
        <w:noBreakHyphen/>
        <w:t>7.</w:t>
      </w:r>
    </w:p>
    <w:p w14:paraId="31FB02A5" w14:textId="77777777" w:rsidR="00AC6AED" w:rsidRPr="00AC6AED" w:rsidRDefault="00AC6AED" w:rsidP="00AC6AED">
      <w:r w:rsidRPr="00AC6AED">
        <w:t xml:space="preserve">This matters because </w:t>
      </w:r>
      <w:r w:rsidRPr="00AC6AED">
        <w:rPr>
          <w:b/>
          <w:bCs/>
        </w:rPr>
        <w:t>Rocket’s KRESLADI™ gene therapy program is not just scientifically compelling — it’s also unearthed real manufacturing risk points that could shape the FDA’s decision and future market dynamics even with clinical strength behind it.</w:t>
      </w:r>
    </w:p>
    <w:p w14:paraId="05A149BD" w14:textId="43097AD9" w:rsidR="00AC6AED" w:rsidRPr="00AC6AED" w:rsidRDefault="00AC6AED" w:rsidP="00AC6AED">
      <w:r w:rsidRPr="00AC6AED">
        <w:drawing>
          <wp:inline distT="0" distB="0" distL="0" distR="0" wp14:anchorId="33705C98" wp14:editId="36284C72">
            <wp:extent cx="5943600" cy="2303145"/>
            <wp:effectExtent l="0" t="0" r="0" b="1905"/>
            <wp:docPr id="706585972" name="Picture 2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 descr="Image"/>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5943600" cy="2303145"/>
                    </a:xfrm>
                    <a:prstGeom prst="rect">
                      <a:avLst/>
                    </a:prstGeom>
                    <a:noFill/>
                    <a:ln>
                      <a:noFill/>
                    </a:ln>
                  </pic:spPr>
                </pic:pic>
              </a:graphicData>
            </a:graphic>
          </wp:inline>
        </w:drawing>
      </w:r>
    </w:p>
    <w:p w14:paraId="17968A51" w14:textId="121AA749" w:rsidR="00AC6AED" w:rsidRPr="00AC6AED" w:rsidRDefault="00AC6AED" w:rsidP="00AC6AED">
      <w:r w:rsidRPr="00AC6AED">
        <w:lastRenderedPageBreak/>
        <w:drawing>
          <wp:inline distT="0" distB="0" distL="0" distR="0" wp14:anchorId="789D0650" wp14:editId="5DE0BF60">
            <wp:extent cx="5943600" cy="5943600"/>
            <wp:effectExtent l="0" t="0" r="0" b="0"/>
            <wp:docPr id="51440794" name="Picture 2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 descr="Image"/>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0544F0D0" w14:textId="6E202877" w:rsidR="00AC6AED" w:rsidRPr="00AC6AED" w:rsidRDefault="00AC6AED" w:rsidP="00AC6AED">
      <w:r w:rsidRPr="00AC6AED">
        <w:lastRenderedPageBreak/>
        <w:drawing>
          <wp:inline distT="0" distB="0" distL="0" distR="0" wp14:anchorId="3B0815C3" wp14:editId="401B307E">
            <wp:extent cx="5943600" cy="5062220"/>
            <wp:effectExtent l="0" t="0" r="0" b="5080"/>
            <wp:docPr id="1985158296" name="Picture 2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 descr="Image"/>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5943600" cy="5062220"/>
                    </a:xfrm>
                    <a:prstGeom prst="rect">
                      <a:avLst/>
                    </a:prstGeom>
                    <a:noFill/>
                    <a:ln>
                      <a:noFill/>
                    </a:ln>
                  </pic:spPr>
                </pic:pic>
              </a:graphicData>
            </a:graphic>
          </wp:inline>
        </w:drawing>
      </w:r>
    </w:p>
    <w:p w14:paraId="40D7158F" w14:textId="0EABE009" w:rsidR="00AC6AED" w:rsidRPr="00AC6AED" w:rsidRDefault="00AC6AED" w:rsidP="00AC6AED">
      <w:r w:rsidRPr="00AC6AED">
        <w:drawing>
          <wp:inline distT="0" distB="0" distL="0" distR="0" wp14:anchorId="4037A67E" wp14:editId="502AA294">
            <wp:extent cx="2867025" cy="1466850"/>
            <wp:effectExtent l="0" t="0" r="9525" b="0"/>
            <wp:docPr id="493631655" name="Picture 2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 descr="Image"/>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2867025" cy="1466850"/>
                    </a:xfrm>
                    <a:prstGeom prst="rect">
                      <a:avLst/>
                    </a:prstGeom>
                    <a:noFill/>
                    <a:ln>
                      <a:noFill/>
                    </a:ln>
                  </pic:spPr>
                </pic:pic>
              </a:graphicData>
            </a:graphic>
          </wp:inline>
        </w:drawing>
      </w:r>
    </w:p>
    <w:p w14:paraId="1662D90E" w14:textId="77777777" w:rsidR="00AC6AED" w:rsidRPr="00AC6AED" w:rsidRDefault="00AC6AED" w:rsidP="00AC6AED">
      <w:r w:rsidRPr="00AC6AED">
        <w:t xml:space="preserve">Rocket has secured FDA acceptance of a </w:t>
      </w:r>
      <w:r w:rsidRPr="00AC6AED">
        <w:rPr>
          <w:b/>
          <w:bCs/>
        </w:rPr>
        <w:t>resubmitted Biologics License Application (BLA)</w:t>
      </w:r>
      <w:r w:rsidRPr="00AC6AED">
        <w:t xml:space="preserve"> for marnetegragene autotemcel (to be marketed as </w:t>
      </w:r>
      <w:r w:rsidRPr="00AC6AED">
        <w:rPr>
          <w:b/>
          <w:bCs/>
        </w:rPr>
        <w:t>KRESLADI™</w:t>
      </w:r>
      <w:r w:rsidRPr="00AC6AED">
        <w:t xml:space="preserve">), targeting </w:t>
      </w:r>
      <w:r w:rsidRPr="00AC6AED">
        <w:rPr>
          <w:b/>
          <w:bCs/>
        </w:rPr>
        <w:t>severe Leukocyte Adhesion Deficiency</w:t>
      </w:r>
      <w:r w:rsidRPr="00AC6AED">
        <w:rPr>
          <w:b/>
          <w:bCs/>
        </w:rPr>
        <w:noBreakHyphen/>
        <w:t>I (LAD</w:t>
      </w:r>
      <w:r w:rsidRPr="00AC6AED">
        <w:rPr>
          <w:b/>
          <w:bCs/>
        </w:rPr>
        <w:noBreakHyphen/>
        <w:t>I)</w:t>
      </w:r>
      <w:r w:rsidRPr="00AC6AED">
        <w:t xml:space="preserve">, with a </w:t>
      </w:r>
      <w:r w:rsidRPr="00AC6AED">
        <w:rPr>
          <w:b/>
          <w:bCs/>
        </w:rPr>
        <w:t>PDUFA action date of March</w:t>
      </w:r>
      <w:r w:rsidRPr="00AC6AED">
        <w:rPr>
          <w:rFonts w:ascii="Arial" w:hAnsi="Arial" w:cs="Arial"/>
          <w:b/>
          <w:bCs/>
        </w:rPr>
        <w:t> </w:t>
      </w:r>
      <w:r w:rsidRPr="00AC6AED">
        <w:rPr>
          <w:b/>
          <w:bCs/>
        </w:rPr>
        <w:t>28,</w:t>
      </w:r>
      <w:r w:rsidRPr="00AC6AED">
        <w:rPr>
          <w:rFonts w:ascii="Arial" w:hAnsi="Arial" w:cs="Arial"/>
          <w:b/>
          <w:bCs/>
        </w:rPr>
        <w:t> </w:t>
      </w:r>
      <w:r w:rsidRPr="00AC6AED">
        <w:rPr>
          <w:b/>
          <w:bCs/>
        </w:rPr>
        <w:t>2026</w:t>
      </w:r>
      <w:r w:rsidRPr="00AC6AED">
        <w:t xml:space="preserve"> — after an earlier </w:t>
      </w:r>
      <w:r w:rsidRPr="00AC6AED">
        <w:rPr>
          <w:b/>
          <w:bCs/>
        </w:rPr>
        <w:t>Complete Response Letter (CRL) in June</w:t>
      </w:r>
      <w:r w:rsidRPr="00AC6AED">
        <w:rPr>
          <w:rFonts w:ascii="Arial" w:hAnsi="Arial" w:cs="Arial"/>
          <w:b/>
          <w:bCs/>
        </w:rPr>
        <w:t> </w:t>
      </w:r>
      <w:r w:rsidRPr="00AC6AED">
        <w:rPr>
          <w:b/>
          <w:bCs/>
        </w:rPr>
        <w:t>2024</w:t>
      </w:r>
      <w:r w:rsidRPr="00AC6AED">
        <w:t xml:space="preserve"> that specifically asked for more </w:t>
      </w:r>
      <w:r w:rsidRPr="00AC6AED">
        <w:rPr>
          <w:b/>
          <w:bCs/>
        </w:rPr>
        <w:t>CMC (Chemistry, Manufacturing &amp; Controls) information</w:t>
      </w:r>
      <w:r w:rsidRPr="00AC6AED">
        <w:t>. (</w:t>
      </w:r>
      <w:hyperlink r:id="rId153" w:tooltip="BLA for Rocket's LAD-I Gene Therapy Under Review by ..." w:history="1">
        <w:r w:rsidRPr="00AC6AED">
          <w:rPr>
            <w:rStyle w:val="Hyperlink"/>
          </w:rPr>
          <w:t>CGTlive</w:t>
        </w:r>
      </w:hyperlink>
      <w:r w:rsidRPr="00AC6AED">
        <w:t>)</w:t>
      </w:r>
    </w:p>
    <w:p w14:paraId="692DBA36" w14:textId="77777777" w:rsidR="00AC6AED" w:rsidRPr="00AC6AED" w:rsidRDefault="00AC6AED" w:rsidP="00AC6AED">
      <w:r w:rsidRPr="00AC6AED">
        <w:lastRenderedPageBreak/>
        <w:t xml:space="preserve">That CMC hurdle wasn’t abstract — regulatory feedback hinged on </w:t>
      </w:r>
      <w:r w:rsidRPr="00AC6AED">
        <w:rPr>
          <w:b/>
          <w:bCs/>
        </w:rPr>
        <w:t>manufacturing evidence, control strategy, and supply robustness</w:t>
      </w:r>
      <w:r w:rsidRPr="00AC6AED">
        <w:t>. (</w:t>
      </w:r>
      <w:hyperlink r:id="rId154" w:tooltip="Will The FDA's Decision On KRESLADI Propel Rocket ..." w:history="1">
        <w:r w:rsidRPr="00AC6AED">
          <w:rPr>
            <w:rStyle w:val="Hyperlink"/>
          </w:rPr>
          <w:t>RTTNews</w:t>
        </w:r>
      </w:hyperlink>
      <w:r w:rsidRPr="00AC6AED">
        <w:t>)</w:t>
      </w:r>
    </w:p>
    <w:p w14:paraId="1A4D9870" w14:textId="77777777" w:rsidR="00AC6AED" w:rsidRPr="00AC6AED" w:rsidRDefault="00AC6AED" w:rsidP="00AC6AED">
      <w:r w:rsidRPr="00AC6AED">
        <w:t xml:space="preserve">A key piece of Rocket’s supply chain is </w:t>
      </w:r>
      <w:r w:rsidRPr="00AC6AED">
        <w:rPr>
          <w:b/>
          <w:bCs/>
        </w:rPr>
        <w:t>a CDMO partnership with AGC Biologics</w:t>
      </w:r>
      <w:r w:rsidRPr="00AC6AED">
        <w:t>, where lentiviral vector (LVV) production is executed — historically centered on AGC’s Milan, Italy site. AGC Biologics also expanded capabilities, including acquiring a large manufacturing campus in Longmont, Colorado (from Novartis Gene Therapies) and investing in viral vector suspension and larger scaler capacity, but these build</w:t>
      </w:r>
      <w:r w:rsidRPr="00AC6AED">
        <w:noBreakHyphen/>
        <w:t xml:space="preserve">outs reflect </w:t>
      </w:r>
      <w:r w:rsidRPr="00AC6AED">
        <w:rPr>
          <w:b/>
          <w:bCs/>
        </w:rPr>
        <w:t>long lead times and concentration of critical LVV production capacity</w:t>
      </w:r>
      <w:r w:rsidRPr="00AC6AED">
        <w:t>. (</w:t>
      </w:r>
      <w:hyperlink r:id="rId155" w:tooltip="AGC Biologics Expands Partnership with Rocket ..." w:history="1">
        <w:r w:rsidRPr="00AC6AED">
          <w:rPr>
            <w:rStyle w:val="Hyperlink"/>
          </w:rPr>
          <w:t>AGC Biologics</w:t>
        </w:r>
      </w:hyperlink>
      <w:r w:rsidRPr="00AC6AED">
        <w:t>)</w:t>
      </w:r>
    </w:p>
    <w:p w14:paraId="2DDDCCF7" w14:textId="77777777" w:rsidR="00AC6AED" w:rsidRPr="00AC6AED" w:rsidRDefault="00AC6AED" w:rsidP="00AC6AED">
      <w:r w:rsidRPr="00AC6AED">
        <w:t xml:space="preserve">This establishes </w:t>
      </w:r>
      <w:r w:rsidRPr="00AC6AED">
        <w:rPr>
          <w:b/>
          <w:bCs/>
        </w:rPr>
        <w:t>vendor and capacity risk vectors</w:t>
      </w:r>
      <w:r w:rsidRPr="00AC6AED">
        <w:t xml:space="preserve"> that regulators and later adopters watch closely:</w:t>
      </w:r>
    </w:p>
    <w:p w14:paraId="310CF620" w14:textId="77777777" w:rsidR="00AC6AED" w:rsidRPr="00AC6AED" w:rsidRDefault="00AC6AED" w:rsidP="00AC6AED">
      <w:pPr>
        <w:numPr>
          <w:ilvl w:val="0"/>
          <w:numId w:val="66"/>
        </w:numPr>
      </w:pPr>
      <w:r w:rsidRPr="00AC6AED">
        <w:rPr>
          <w:b/>
          <w:bCs/>
        </w:rPr>
        <w:t>Single core LVV supplier footprint</w:t>
      </w:r>
      <w:r w:rsidRPr="00AC6AED">
        <w:t xml:space="preserve"> tied to AGC’s Milan/Longmont network, which — before these expansions — was a known constraint in late</w:t>
      </w:r>
      <w:r w:rsidRPr="00AC6AED">
        <w:noBreakHyphen/>
        <w:t>stage LVV scaling. (</w:t>
      </w:r>
      <w:hyperlink r:id="rId156" w:tooltip="AGC Biologics Expands Partnership with Rocket ..." w:history="1">
        <w:r w:rsidRPr="00AC6AED">
          <w:rPr>
            <w:rStyle w:val="Hyperlink"/>
          </w:rPr>
          <w:t>AGC Biologics</w:t>
        </w:r>
      </w:hyperlink>
      <w:r w:rsidRPr="00AC6AED">
        <w:t>)</w:t>
      </w:r>
    </w:p>
    <w:p w14:paraId="594AEDA9" w14:textId="77777777" w:rsidR="00AC6AED" w:rsidRPr="00AC6AED" w:rsidRDefault="00AC6AED" w:rsidP="00AC6AED">
      <w:pPr>
        <w:numPr>
          <w:ilvl w:val="0"/>
          <w:numId w:val="66"/>
        </w:numPr>
      </w:pPr>
      <w:r w:rsidRPr="00AC6AED">
        <w:rPr>
          <w:b/>
          <w:bCs/>
        </w:rPr>
        <w:t>Regulatory scrutiny on CMC</w:t>
      </w:r>
      <w:r w:rsidRPr="00AC6AED">
        <w:t xml:space="preserve"> has already forced a CRL, underscoring that Rocket needs to fully document control strategy, scale transfer, and analytic methods — not just clinical safety/efficacy. (</w:t>
      </w:r>
      <w:hyperlink r:id="rId157" w:tooltip="BLA for Rocket's LAD-I Gene Therapy Under Review by ..." w:history="1">
        <w:r w:rsidRPr="00AC6AED">
          <w:rPr>
            <w:rStyle w:val="Hyperlink"/>
          </w:rPr>
          <w:t>CGTlive</w:t>
        </w:r>
      </w:hyperlink>
      <w:r w:rsidRPr="00AC6AED">
        <w:t>)</w:t>
      </w:r>
    </w:p>
    <w:p w14:paraId="2A8C438A" w14:textId="77777777" w:rsidR="00AC6AED" w:rsidRPr="00AC6AED" w:rsidRDefault="00AC6AED" w:rsidP="00AC6AED">
      <w:pPr>
        <w:numPr>
          <w:ilvl w:val="0"/>
          <w:numId w:val="66"/>
        </w:numPr>
      </w:pPr>
      <w:r w:rsidRPr="00AC6AED">
        <w:rPr>
          <w:b/>
          <w:bCs/>
        </w:rPr>
        <w:t>Fill/finish and analytical bottlenecks</w:t>
      </w:r>
      <w:r w:rsidRPr="00AC6AED">
        <w:t xml:space="preserve"> often accompany lentiviral therapies at commercialization scale, another layer of potential vulnerability if redundancy isn’t demonstrated (public disclosures to date focus largely on resubmission acceptance and clinical results rather than multi</w:t>
      </w:r>
      <w:r w:rsidRPr="00AC6AED">
        <w:noBreakHyphen/>
        <w:t>site manufacturing validation). (</w:t>
      </w:r>
      <w:hyperlink r:id="rId158" w:tooltip="Rocket Pharmaceuticals Announces FDA Acceptance of ..." w:history="1">
        <w:r w:rsidRPr="00AC6AED">
          <w:rPr>
            <w:rStyle w:val="Hyperlink"/>
          </w:rPr>
          <w:t>Yahoo Finance</w:t>
        </w:r>
      </w:hyperlink>
      <w:r w:rsidRPr="00AC6AED">
        <w:t>)</w:t>
      </w:r>
    </w:p>
    <w:p w14:paraId="6207C21F" w14:textId="77777777" w:rsidR="00AC6AED" w:rsidRPr="00AC6AED" w:rsidRDefault="00AC6AED" w:rsidP="00AC6AED">
      <w:r w:rsidRPr="00AC6AED">
        <w:t xml:space="preserve">Investors and decision makers should weigh these CMC and vendor dependencies alongside the clinical promise because </w:t>
      </w:r>
      <w:r w:rsidRPr="00AC6AED">
        <w:rPr>
          <w:b/>
          <w:bCs/>
        </w:rPr>
        <w:t>even strong phase</w:t>
      </w:r>
      <w:r w:rsidRPr="00AC6AED">
        <w:rPr>
          <w:rFonts w:ascii="Arial" w:hAnsi="Arial" w:cs="Arial"/>
          <w:b/>
          <w:bCs/>
        </w:rPr>
        <w:t> </w:t>
      </w:r>
      <w:r w:rsidRPr="00AC6AED">
        <w:rPr>
          <w:b/>
          <w:bCs/>
        </w:rPr>
        <w:t>1/2 data and survival outcomes may not fully insulate approval timing or post</w:t>
      </w:r>
      <w:r w:rsidRPr="00AC6AED">
        <w:rPr>
          <w:b/>
          <w:bCs/>
        </w:rPr>
        <w:noBreakHyphen/>
        <w:t>approval supply confidence without clear manufacturing continuity and redundancy.</w:t>
      </w:r>
      <w:r w:rsidRPr="00AC6AED">
        <w:t xml:space="preserve"> (</w:t>
      </w:r>
      <w:hyperlink r:id="rId159" w:tooltip="BLA for Rocket's LAD-I Gene Therapy Under Review by ..." w:history="1">
        <w:r w:rsidRPr="00AC6AED">
          <w:rPr>
            <w:rStyle w:val="Hyperlink"/>
          </w:rPr>
          <w:t>CGTlive</w:t>
        </w:r>
      </w:hyperlink>
      <w:r w:rsidRPr="00AC6AED">
        <w:t>)</w:t>
      </w:r>
    </w:p>
    <w:p w14:paraId="02EFBE49" w14:textId="77777777" w:rsidR="00AC6AED" w:rsidRPr="00AC6AED" w:rsidRDefault="00AC6AED" w:rsidP="00AC6AED">
      <w:r w:rsidRPr="00AC6AED">
        <w:t>Here’s a crisp tactical snapshot of the rare</w:t>
      </w:r>
      <w:r w:rsidRPr="00AC6AED">
        <w:noBreakHyphen/>
        <w:t xml:space="preserve">disease voucher playbook and what’s actually happened vs what’s just </w:t>
      </w:r>
      <w:r w:rsidRPr="00AC6AED">
        <w:rPr>
          <w:i/>
          <w:iCs/>
        </w:rPr>
        <w:t>threatened to happen</w:t>
      </w:r>
      <w:r w:rsidRPr="00AC6AED">
        <w:t xml:space="preserve"> — because timing under WRITTEN contracts drives real cash, not press releases.</w:t>
      </w:r>
    </w:p>
    <w:p w14:paraId="4263B5D6" w14:textId="751D0458" w:rsidR="00AC6AED" w:rsidRPr="00AC6AED" w:rsidRDefault="00AC6AED" w:rsidP="00AC6AED">
      <w:r w:rsidRPr="00AC6AED">
        <w:lastRenderedPageBreak/>
        <w:drawing>
          <wp:inline distT="0" distB="0" distL="0" distR="0" wp14:anchorId="51FB3969" wp14:editId="7E07322E">
            <wp:extent cx="3333750" cy="2447925"/>
            <wp:effectExtent l="0" t="0" r="0" b="9525"/>
            <wp:docPr id="1947164466" name="Picture 3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 descr="Image"/>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333750" cy="2447925"/>
                    </a:xfrm>
                    <a:prstGeom prst="rect">
                      <a:avLst/>
                    </a:prstGeom>
                    <a:noFill/>
                    <a:ln>
                      <a:noFill/>
                    </a:ln>
                  </pic:spPr>
                </pic:pic>
              </a:graphicData>
            </a:graphic>
          </wp:inline>
        </w:drawing>
      </w:r>
    </w:p>
    <w:p w14:paraId="064398E2" w14:textId="55C20FB6" w:rsidR="00AC6AED" w:rsidRPr="00AC6AED" w:rsidRDefault="00AC6AED" w:rsidP="00AC6AED">
      <w:r w:rsidRPr="00AC6AED">
        <w:drawing>
          <wp:inline distT="0" distB="0" distL="0" distR="0" wp14:anchorId="2DD64F55" wp14:editId="1A9EB63D">
            <wp:extent cx="2438400" cy="1724025"/>
            <wp:effectExtent l="0" t="0" r="0" b="9525"/>
            <wp:docPr id="475146106" name="Picture 3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4" descr="Image"/>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2438400" cy="1724025"/>
                    </a:xfrm>
                    <a:prstGeom prst="rect">
                      <a:avLst/>
                    </a:prstGeom>
                    <a:noFill/>
                    <a:ln>
                      <a:noFill/>
                    </a:ln>
                  </pic:spPr>
                </pic:pic>
              </a:graphicData>
            </a:graphic>
          </wp:inline>
        </w:drawing>
      </w:r>
    </w:p>
    <w:p w14:paraId="6A4CBAD0" w14:textId="10610001" w:rsidR="00AC6AED" w:rsidRPr="00AC6AED" w:rsidRDefault="00AC6AED" w:rsidP="00AC6AED">
      <w:r w:rsidRPr="00AC6AED">
        <w:drawing>
          <wp:inline distT="0" distB="0" distL="0" distR="0" wp14:anchorId="11AE2FB9" wp14:editId="771F8C94">
            <wp:extent cx="5943600" cy="3343275"/>
            <wp:effectExtent l="0" t="0" r="0" b="9525"/>
            <wp:docPr id="297682249" name="Picture 3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5" descr="Image"/>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1CA7BDEB" w14:textId="113BB082" w:rsidR="00AC6AED" w:rsidRPr="00AC6AED" w:rsidRDefault="00AC6AED" w:rsidP="00AC6AED">
      <w:r w:rsidRPr="00AC6AED">
        <w:lastRenderedPageBreak/>
        <w:drawing>
          <wp:inline distT="0" distB="0" distL="0" distR="0" wp14:anchorId="62697664" wp14:editId="2D96E77F">
            <wp:extent cx="5943600" cy="3110230"/>
            <wp:effectExtent l="0" t="0" r="0" b="0"/>
            <wp:docPr id="1529402585" name="Picture 3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6" descr="Image"/>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5943600" cy="3110230"/>
                    </a:xfrm>
                    <a:prstGeom prst="rect">
                      <a:avLst/>
                    </a:prstGeom>
                    <a:noFill/>
                    <a:ln>
                      <a:noFill/>
                    </a:ln>
                  </pic:spPr>
                </pic:pic>
              </a:graphicData>
            </a:graphic>
          </wp:inline>
        </w:drawing>
      </w:r>
    </w:p>
    <w:p w14:paraId="6A2D999D" w14:textId="77777777" w:rsidR="00AC6AED" w:rsidRPr="00AC6AED" w:rsidRDefault="00AC6AED" w:rsidP="00AC6AED">
      <w:r w:rsidRPr="00AC6AED">
        <w:t xml:space="preserve">This matter isn’t about concepts — it’s about </w:t>
      </w:r>
      <w:r w:rsidRPr="00AC6AED">
        <w:rPr>
          <w:i/>
          <w:iCs/>
        </w:rPr>
        <w:t>contract milestones, closing conditions, and real proceeds hitting bank accounts</w:t>
      </w:r>
      <w:r w:rsidRPr="00AC6AED">
        <w:t xml:space="preserve"> versus mere regulatory outcomes.</w:t>
      </w:r>
    </w:p>
    <w:p w14:paraId="726B138B" w14:textId="77777777" w:rsidR="00AC6AED" w:rsidRPr="00AC6AED" w:rsidRDefault="00AC6AED" w:rsidP="00AC6AED">
      <w:r w:rsidRPr="00AC6AED">
        <w:rPr>
          <w:b/>
          <w:bCs/>
        </w:rPr>
        <w:t>1) Fortress Biotech ($FBIO) — PRV awarded upon FDA approval</w:t>
      </w:r>
      <w:r w:rsidRPr="00AC6AED">
        <w:br/>
        <w:t>Fortress and its majority</w:t>
      </w:r>
      <w:r w:rsidRPr="00AC6AED">
        <w:noBreakHyphen/>
        <w:t>owned Cyprium announced that FDA granted approval for the Menkes disease drug ZYCUBO® (formerly CUTX</w:t>
      </w:r>
      <w:r w:rsidRPr="00AC6AED">
        <w:noBreakHyphen/>
        <w:t xml:space="preserve">101), and a Rare Pediatric Disease Priority Review Voucher (PRV) </w:t>
      </w:r>
      <w:r w:rsidRPr="00AC6AED">
        <w:rPr>
          <w:i/>
          <w:iCs/>
        </w:rPr>
        <w:t>was issued and will be transferred to Cyprium under the existing Sentynl transaction</w:t>
      </w:r>
      <w:r w:rsidRPr="00AC6AED">
        <w:t>; Cyprium also stands to receive tiered royalties and up to $129M in milestones from Sentynl.</w:t>
      </w:r>
      <w:r w:rsidRPr="00AC6AED">
        <w:br/>
        <w:t xml:space="preserve">The key nuance: </w:t>
      </w:r>
      <w:r w:rsidRPr="00AC6AED">
        <w:rPr>
          <w:b/>
          <w:bCs/>
        </w:rPr>
        <w:t>no definitive PRV sale deal is publicly disclosed yet</w:t>
      </w:r>
      <w:r w:rsidRPr="00AC6AED">
        <w:t xml:space="preserve">, only the </w:t>
      </w:r>
      <w:r w:rsidRPr="00AC6AED">
        <w:rPr>
          <w:i/>
          <w:iCs/>
        </w:rPr>
        <w:t>transfer mechanics</w:t>
      </w:r>
      <w:r w:rsidRPr="00AC6AED">
        <w:t xml:space="preserve"> laid out in the press release tied to the approval. That’s why — even with approval confirmed — the sale timing remains </w:t>
      </w:r>
      <w:r w:rsidRPr="00AC6AED">
        <w:rPr>
          <w:b/>
          <w:bCs/>
        </w:rPr>
        <w:t>medium</w:t>
      </w:r>
      <w:r w:rsidRPr="00AC6AED">
        <w:rPr>
          <w:b/>
          <w:bCs/>
        </w:rPr>
        <w:noBreakHyphen/>
        <w:t>low confidence for H1 2026 monetization</w:t>
      </w:r>
      <w:r w:rsidRPr="00AC6AED">
        <w:t xml:space="preserve"> absent a purchase contract. (</w:t>
      </w:r>
      <w:hyperlink r:id="rId163" w:tooltip="Fortress Biotech and Cyprium Therapeutics Announce U.S. ..." w:history="1">
        <w:r w:rsidRPr="00AC6AED">
          <w:rPr>
            <w:rStyle w:val="Hyperlink"/>
          </w:rPr>
          <w:t>GlobeNewswire</w:t>
        </w:r>
      </w:hyperlink>
      <w:r w:rsidRPr="00AC6AED">
        <w:t>)</w:t>
      </w:r>
    </w:p>
    <w:p w14:paraId="10D9B0D6" w14:textId="77777777" w:rsidR="00AC6AED" w:rsidRPr="00AC6AED" w:rsidRDefault="00AC6AED" w:rsidP="00AC6AED">
      <w:r w:rsidRPr="00AC6AED">
        <w:rPr>
          <w:b/>
          <w:bCs/>
        </w:rPr>
        <w:t xml:space="preserve">2) Abeona Therapeutics ($ABEO) — PRV </w:t>
      </w:r>
      <w:r w:rsidRPr="00AC6AED">
        <w:rPr>
          <w:b/>
          <w:bCs/>
          <w:i/>
          <w:iCs/>
        </w:rPr>
        <w:t>closed and paid</w:t>
      </w:r>
      <w:r w:rsidRPr="00AC6AED">
        <w:br/>
        <w:t xml:space="preserve">Abeona is a textbook execution: after gaining its PRV tied to FDA approval of ZEVASKYN™ in April 2025, it signed an </w:t>
      </w:r>
      <w:r w:rsidRPr="00AC6AED">
        <w:rPr>
          <w:b/>
          <w:bCs/>
        </w:rPr>
        <w:t>asset purchase agreement</w:t>
      </w:r>
      <w:r w:rsidRPr="00AC6AED">
        <w:t xml:space="preserve"> to sell that PRV for </w:t>
      </w:r>
      <w:r w:rsidRPr="00AC6AED">
        <w:rPr>
          <w:b/>
          <w:bCs/>
        </w:rPr>
        <w:t>$155</w:t>
      </w:r>
      <w:r w:rsidRPr="00AC6AED">
        <w:rPr>
          <w:rFonts w:ascii="Arial" w:hAnsi="Arial" w:cs="Arial"/>
          <w:b/>
          <w:bCs/>
        </w:rPr>
        <w:t> </w:t>
      </w:r>
      <w:r w:rsidRPr="00AC6AED">
        <w:rPr>
          <w:b/>
          <w:bCs/>
        </w:rPr>
        <w:t>million</w:t>
      </w:r>
      <w:r w:rsidRPr="00AC6AED">
        <w:t xml:space="preserve"> — and importantly, </w:t>
      </w:r>
      <w:r w:rsidRPr="00AC6AED">
        <w:rPr>
          <w:b/>
          <w:bCs/>
        </w:rPr>
        <w:t xml:space="preserve">the sale </w:t>
      </w:r>
      <w:r w:rsidRPr="00AC6AED">
        <w:rPr>
          <w:b/>
          <w:bCs/>
          <w:i/>
          <w:iCs/>
        </w:rPr>
        <w:t>closed</w:t>
      </w:r>
      <w:r w:rsidRPr="00AC6AED">
        <w:t xml:space="preserve"> with gross proceeds received. This isn’t theoretical — the company acknowledged the closing and cash inflow, and reported enhanced liquidity on its books going into the latter half of 2025. (</w:t>
      </w:r>
      <w:hyperlink r:id="rId164" w:tooltip="abeona therapeutics inc." w:history="1">
        <w:r w:rsidRPr="00AC6AED">
          <w:rPr>
            <w:rStyle w:val="Hyperlink"/>
          </w:rPr>
          <w:t>SEC</w:t>
        </w:r>
      </w:hyperlink>
      <w:r w:rsidRPr="00AC6AED">
        <w:t>)</w:t>
      </w:r>
    </w:p>
    <w:p w14:paraId="0A61C69B" w14:textId="77777777" w:rsidR="00AC6AED" w:rsidRPr="00AC6AED" w:rsidRDefault="00AC6AED" w:rsidP="00AC6AED">
      <w:r w:rsidRPr="00AC6AED">
        <w:rPr>
          <w:b/>
          <w:bCs/>
        </w:rPr>
        <w:t>3) PRV transaction comps (X4, Marinus, others)</w:t>
      </w:r>
      <w:r w:rsidRPr="00AC6AED">
        <w:br/>
        <w:t>Historical deals — like X4’s reported ~$105</w:t>
      </w:r>
      <w:r w:rsidRPr="00AC6AED">
        <w:rPr>
          <w:rFonts w:ascii="Arial" w:hAnsi="Arial" w:cs="Arial"/>
        </w:rPr>
        <w:t> </w:t>
      </w:r>
      <w:r w:rsidRPr="00AC6AED">
        <w:t xml:space="preserve">M PRV sale (with a larger capital raise attached) </w:t>
      </w:r>
      <w:r w:rsidRPr="00AC6AED">
        <w:rPr>
          <w:rFonts w:ascii="Aptos" w:hAnsi="Aptos" w:cs="Aptos"/>
        </w:rPr>
        <w:t>—</w:t>
      </w:r>
      <w:r w:rsidRPr="00AC6AED">
        <w:t xml:space="preserve"> show common structures: </w:t>
      </w:r>
      <w:r w:rsidRPr="00AC6AED">
        <w:rPr>
          <w:b/>
          <w:bCs/>
        </w:rPr>
        <w:t xml:space="preserve">lump sum at close, holdbacks for indemnity, and </w:t>
      </w:r>
      <w:r w:rsidRPr="00AC6AED">
        <w:rPr>
          <w:b/>
          <w:bCs/>
        </w:rPr>
        <w:lastRenderedPageBreak/>
        <w:t>contingent payments</w:t>
      </w:r>
      <w:r w:rsidRPr="00AC6AED">
        <w:t xml:space="preserve"> around closing conditions and escrow periods. Those exhibits are golden comps for reading any newly filed 8</w:t>
      </w:r>
      <w:r w:rsidRPr="00AC6AED">
        <w:noBreakHyphen/>
        <w:t xml:space="preserve">Ks on PRV sales because they manifest typical </w:t>
      </w:r>
      <w:r w:rsidRPr="00AC6AED">
        <w:rPr>
          <w:i/>
          <w:iCs/>
        </w:rPr>
        <w:t>deal economics and timing windows</w:t>
      </w:r>
      <w:r w:rsidRPr="00AC6AED">
        <w:t xml:space="preserve"> that savvy investors use to model realizations versus approval dates. (</w:t>
      </w:r>
      <w:hyperlink r:id="rId165" w:tooltip="X4 Pharmaceuticals Announces $125 Million Capital Infusion ..." w:history="1">
        <w:r w:rsidRPr="00AC6AED">
          <w:rPr>
            <w:rStyle w:val="Hyperlink"/>
          </w:rPr>
          <w:t>X4 Pharma Investors</w:t>
        </w:r>
      </w:hyperlink>
      <w:r w:rsidRPr="00AC6AED">
        <w:t>)</w:t>
      </w:r>
    </w:p>
    <w:p w14:paraId="640CD903" w14:textId="77777777" w:rsidR="00AC6AED" w:rsidRPr="00AC6AED" w:rsidRDefault="00AC6AED" w:rsidP="00AC6AED">
      <w:r w:rsidRPr="00AC6AED">
        <w:rPr>
          <w:b/>
          <w:bCs/>
        </w:rPr>
        <w:t>Bottom line:</w:t>
      </w:r>
    </w:p>
    <w:p w14:paraId="5BEE247A" w14:textId="77777777" w:rsidR="00AC6AED" w:rsidRPr="00AC6AED" w:rsidRDefault="00AC6AED" w:rsidP="00AC6AED">
      <w:pPr>
        <w:numPr>
          <w:ilvl w:val="0"/>
          <w:numId w:val="67"/>
        </w:numPr>
      </w:pPr>
      <w:r w:rsidRPr="00AC6AED">
        <w:rPr>
          <w:b/>
          <w:bCs/>
        </w:rPr>
        <w:t xml:space="preserve">Abeona’s PRV is </w:t>
      </w:r>
      <w:r w:rsidRPr="00AC6AED">
        <w:rPr>
          <w:b/>
          <w:bCs/>
          <w:i/>
          <w:iCs/>
        </w:rPr>
        <w:t>done and in the bank</w:t>
      </w:r>
      <w:r w:rsidRPr="00AC6AED">
        <w:rPr>
          <w:b/>
          <w:bCs/>
        </w:rPr>
        <w:t xml:space="preserve"> — highest confidence on realized cash.</w:t>
      </w:r>
    </w:p>
    <w:p w14:paraId="59FA34BC" w14:textId="77777777" w:rsidR="00AC6AED" w:rsidRPr="00AC6AED" w:rsidRDefault="00AC6AED" w:rsidP="00AC6AED">
      <w:pPr>
        <w:numPr>
          <w:ilvl w:val="0"/>
          <w:numId w:val="67"/>
        </w:numPr>
      </w:pPr>
      <w:r w:rsidRPr="00AC6AED">
        <w:rPr>
          <w:b/>
          <w:bCs/>
        </w:rPr>
        <w:t xml:space="preserve">Fortress/Cyprium has an issued PRV but </w:t>
      </w:r>
      <w:r w:rsidRPr="00AC6AED">
        <w:rPr>
          <w:b/>
          <w:bCs/>
          <w:i/>
          <w:iCs/>
        </w:rPr>
        <w:t>no confirmed sale contract yet</w:t>
      </w:r>
      <w:r w:rsidRPr="00AC6AED">
        <w:rPr>
          <w:b/>
          <w:bCs/>
        </w:rPr>
        <w:t xml:space="preserve"> — timing is speculative until a definitive agreement surfaces.</w:t>
      </w:r>
    </w:p>
    <w:p w14:paraId="6EC5F705" w14:textId="77777777" w:rsidR="00AC6AED" w:rsidRPr="00AC6AED" w:rsidRDefault="00AC6AED" w:rsidP="00AC6AED">
      <w:pPr>
        <w:numPr>
          <w:ilvl w:val="0"/>
          <w:numId w:val="67"/>
        </w:numPr>
      </w:pPr>
      <w:r w:rsidRPr="00AC6AED">
        <w:rPr>
          <w:b/>
          <w:bCs/>
        </w:rPr>
        <w:t>Historical PRV deals provide practical templates for how timing and payouts actually unfold.</w:t>
      </w:r>
    </w:p>
    <w:p w14:paraId="3BA27C25" w14:textId="77777777" w:rsidR="00AC6AED" w:rsidRPr="00AC6AED" w:rsidRDefault="00AC6AED" w:rsidP="00AC6AED">
      <w:r w:rsidRPr="00AC6AED">
        <w:t>If you want, I can pull the exact financial/escrow milestones from the latest X4 and Marinus exhibits to layer expected windows into your H1 2026 timing model.</w:t>
      </w:r>
    </w:p>
    <w:p w14:paraId="696F13FD" w14:textId="77777777" w:rsidR="00AC6AED" w:rsidRPr="00AC6AED" w:rsidRDefault="00AC6AED" w:rsidP="00AC6AED">
      <w:r w:rsidRPr="00AC6AED">
        <w:t xml:space="preserve">I’m sharing this because as of the </w:t>
      </w:r>
      <w:r w:rsidRPr="00AC6AED">
        <w:rPr>
          <w:b/>
          <w:bCs/>
        </w:rPr>
        <w:t>early February 2026 snapshot of FDA’s Advisory Committee calendar</w:t>
      </w:r>
      <w:r w:rsidRPr="00AC6AED">
        <w:t xml:space="preserve">, there’s </w:t>
      </w:r>
      <w:r w:rsidRPr="00AC6AED">
        <w:rPr>
          <w:b/>
          <w:bCs/>
        </w:rPr>
        <w:t>no AdCom currently scheduled in H1</w:t>
      </w:r>
      <w:r w:rsidRPr="00AC6AED">
        <w:rPr>
          <w:rFonts w:ascii="Arial" w:hAnsi="Arial" w:cs="Arial"/>
          <w:b/>
          <w:bCs/>
        </w:rPr>
        <w:t> </w:t>
      </w:r>
      <w:r w:rsidRPr="00AC6AED">
        <w:rPr>
          <w:b/>
          <w:bCs/>
        </w:rPr>
        <w:t>2026 that lists your tracked issuers (e.g., AQST/Aquestive, PHAR/Pharming)</w:t>
      </w:r>
      <w:r w:rsidRPr="00AC6AED">
        <w:t xml:space="preserve"> — meaning the market isn’t </w:t>
      </w:r>
      <w:r w:rsidRPr="00AC6AED">
        <w:rPr>
          <w:i/>
          <w:iCs/>
        </w:rPr>
        <w:t>yet</w:t>
      </w:r>
      <w:r w:rsidRPr="00AC6AED">
        <w:t xml:space="preserve"> pricing an explicit T</w:t>
      </w:r>
      <w:r w:rsidRPr="00AC6AED">
        <w:noBreakHyphen/>
        <w:t>15 or T</w:t>
      </w:r>
      <w:r w:rsidRPr="00AC6AED">
        <w:noBreakHyphen/>
        <w:t>2 briefing packet signal for these tickers. (</w:t>
      </w:r>
      <w:hyperlink r:id="rId166" w:tooltip="Advisory Committee Calendar" w:history="1">
        <w:r w:rsidRPr="00AC6AED">
          <w:rPr>
            <w:rStyle w:val="Hyperlink"/>
          </w:rPr>
          <w:t>U.S. Food and Drug Administration</w:t>
        </w:r>
      </w:hyperlink>
      <w:r w:rsidRPr="00AC6AED">
        <w:t>)</w:t>
      </w:r>
    </w:p>
    <w:p w14:paraId="655EB670" w14:textId="762C5C92" w:rsidR="00AC6AED" w:rsidRPr="00AC6AED" w:rsidRDefault="00AC6AED" w:rsidP="00AC6AED">
      <w:r w:rsidRPr="00AC6AED">
        <w:drawing>
          <wp:inline distT="0" distB="0" distL="0" distR="0" wp14:anchorId="1796E2BE" wp14:editId="3EA5B563">
            <wp:extent cx="5943600" cy="3343275"/>
            <wp:effectExtent l="0" t="0" r="0" b="9525"/>
            <wp:docPr id="228297673" name="Picture 4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 descr="Image"/>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7D89C53E" w14:textId="311430F2" w:rsidR="00AC6AED" w:rsidRPr="00AC6AED" w:rsidRDefault="00AC6AED" w:rsidP="00AC6AED">
      <w:r w:rsidRPr="00AC6AED">
        <mc:AlternateContent>
          <mc:Choice Requires="wps">
            <w:drawing>
              <wp:inline distT="0" distB="0" distL="0" distR="0" wp14:anchorId="12854381" wp14:editId="28F744B9">
                <wp:extent cx="304800" cy="304800"/>
                <wp:effectExtent l="0" t="0" r="0" b="0"/>
                <wp:docPr id="1014284849" name="Rectangle 43"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B08EF7" id="Rectangle 43"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960E492" w14:textId="7FE346B3" w:rsidR="00AC6AED" w:rsidRPr="00AC6AED" w:rsidRDefault="00AC6AED" w:rsidP="00AC6AED">
      <w:r w:rsidRPr="00AC6AED">
        <w:lastRenderedPageBreak/>
        <w:drawing>
          <wp:inline distT="0" distB="0" distL="0" distR="0" wp14:anchorId="1D7B7359" wp14:editId="3013BA6A">
            <wp:extent cx="5943600" cy="2600325"/>
            <wp:effectExtent l="0" t="0" r="0" b="9525"/>
            <wp:docPr id="319011111" name="Picture 4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3" descr="Image"/>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5943600" cy="2600325"/>
                    </a:xfrm>
                    <a:prstGeom prst="rect">
                      <a:avLst/>
                    </a:prstGeom>
                    <a:noFill/>
                    <a:ln>
                      <a:noFill/>
                    </a:ln>
                  </pic:spPr>
                </pic:pic>
              </a:graphicData>
            </a:graphic>
          </wp:inline>
        </w:drawing>
      </w:r>
    </w:p>
    <w:p w14:paraId="052D710F" w14:textId="50070D07" w:rsidR="00AC6AED" w:rsidRPr="00AC6AED" w:rsidRDefault="00AC6AED" w:rsidP="00AC6AED">
      <w:r w:rsidRPr="00AC6AED">
        <w:drawing>
          <wp:inline distT="0" distB="0" distL="0" distR="0" wp14:anchorId="2404DBC0" wp14:editId="5BEDE214">
            <wp:extent cx="5943600" cy="4953000"/>
            <wp:effectExtent l="0" t="0" r="0" b="0"/>
            <wp:docPr id="119816188" name="Picture 4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4" descr="Image"/>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5943600" cy="4953000"/>
                    </a:xfrm>
                    <a:prstGeom prst="rect">
                      <a:avLst/>
                    </a:prstGeom>
                    <a:noFill/>
                    <a:ln>
                      <a:noFill/>
                    </a:ln>
                  </pic:spPr>
                </pic:pic>
              </a:graphicData>
            </a:graphic>
          </wp:inline>
        </w:drawing>
      </w:r>
    </w:p>
    <w:p w14:paraId="3B5712E2" w14:textId="77777777" w:rsidR="00AC6AED" w:rsidRPr="00AC6AED" w:rsidRDefault="00AC6AED" w:rsidP="00AC6AED">
      <w:r w:rsidRPr="00AC6AED">
        <w:t>Here’s the relevant context worth watching:</w:t>
      </w:r>
    </w:p>
    <w:p w14:paraId="167C380E" w14:textId="77777777" w:rsidR="00AC6AED" w:rsidRPr="00AC6AED" w:rsidRDefault="00AC6AED" w:rsidP="00AC6AED">
      <w:r w:rsidRPr="00AC6AED">
        <w:rPr>
          <w:b/>
          <w:bCs/>
        </w:rPr>
        <w:lastRenderedPageBreak/>
        <w:t>No names yet on the AdCom calendar:</w:t>
      </w:r>
      <w:r w:rsidRPr="00AC6AED">
        <w:br/>
        <w:t xml:space="preserve">FDA maintains an </w:t>
      </w:r>
      <w:r w:rsidRPr="00AC6AED">
        <w:rPr>
          <w:b/>
          <w:bCs/>
        </w:rPr>
        <w:t>official Advisory Committee Calendar</w:t>
      </w:r>
      <w:r w:rsidRPr="00AC6AED">
        <w:t xml:space="preserve"> of all publicly announced meetings. As of early February 2026 there are </w:t>
      </w:r>
      <w:r w:rsidRPr="00AC6AED">
        <w:rPr>
          <w:i/>
          <w:iCs/>
        </w:rPr>
        <w:t>no listed upcoming meetings</w:t>
      </w:r>
      <w:r w:rsidRPr="00AC6AED">
        <w:t xml:space="preserve"> tied to your tracked companies’ assets. (</w:t>
      </w:r>
      <w:hyperlink r:id="rId170" w:tooltip="Advisory Committee Calendar" w:history="1">
        <w:r w:rsidRPr="00AC6AED">
          <w:rPr>
            <w:rStyle w:val="Hyperlink"/>
          </w:rPr>
          <w:t>U.S. Food and Drug Administration</w:t>
        </w:r>
      </w:hyperlink>
      <w:r w:rsidRPr="00AC6AED">
        <w:t>)</w:t>
      </w:r>
    </w:p>
    <w:p w14:paraId="367F1D4B" w14:textId="77777777" w:rsidR="00AC6AED" w:rsidRPr="00AC6AED" w:rsidRDefault="00AC6AED" w:rsidP="00AC6AED">
      <w:r w:rsidRPr="00AC6AED">
        <w:rPr>
          <w:b/>
          <w:bCs/>
        </w:rPr>
        <w:t>Regulatory timing rules matter:</w:t>
      </w:r>
      <w:r w:rsidRPr="00AC6AED">
        <w:br/>
        <w:t xml:space="preserve">Under federal requirements, </w:t>
      </w:r>
      <w:r w:rsidRPr="00AC6AED">
        <w:rPr>
          <w:b/>
          <w:bCs/>
        </w:rPr>
        <w:t xml:space="preserve">FDA must publish an Advisory Committee meeting announcement in the </w:t>
      </w:r>
      <w:r w:rsidRPr="00AC6AED">
        <w:rPr>
          <w:b/>
          <w:bCs/>
          <w:i/>
          <w:iCs/>
        </w:rPr>
        <w:t>Federal Register</w:t>
      </w:r>
      <w:r w:rsidRPr="00AC6AED">
        <w:rPr>
          <w:b/>
          <w:bCs/>
        </w:rPr>
        <w:t xml:space="preserve"> at least 15 calendar days before a meeting date</w:t>
      </w:r>
      <w:r w:rsidRPr="00AC6AED">
        <w:t xml:space="preserve"> — that’s </w:t>
      </w:r>
      <w:r w:rsidRPr="00AC6AED">
        <w:rPr>
          <w:i/>
          <w:iCs/>
        </w:rPr>
        <w:t>the high</w:t>
      </w:r>
      <w:r w:rsidRPr="00AC6AED">
        <w:rPr>
          <w:i/>
          <w:iCs/>
        </w:rPr>
        <w:noBreakHyphen/>
        <w:t>confidence signal window</w:t>
      </w:r>
      <w:r w:rsidRPr="00AC6AED">
        <w:t xml:space="preserve"> for a true T</w:t>
      </w:r>
      <w:r w:rsidRPr="00AC6AED">
        <w:noBreakHyphen/>
        <w:t>15 run</w:t>
      </w:r>
      <w:r w:rsidRPr="00AC6AED">
        <w:noBreakHyphen/>
        <w:t>up. (</w:t>
      </w:r>
      <w:hyperlink r:id="rId171" w:tooltip="Common Questions and Answers about FDA Advisory ..." w:history="1">
        <w:r w:rsidRPr="00AC6AED">
          <w:rPr>
            <w:rStyle w:val="Hyperlink"/>
          </w:rPr>
          <w:t>U.S. Food and Drug Administration</w:t>
        </w:r>
      </w:hyperlink>
      <w:r w:rsidRPr="00AC6AED">
        <w:t>)</w:t>
      </w:r>
      <w:r w:rsidRPr="00AC6AED">
        <w:br/>
        <w:t>• Federal Advisory Committee Act / 21</w:t>
      </w:r>
      <w:r w:rsidRPr="00AC6AED">
        <w:rPr>
          <w:rFonts w:ascii="Arial" w:hAnsi="Arial" w:cs="Arial"/>
        </w:rPr>
        <w:t> </w:t>
      </w:r>
      <w:r w:rsidRPr="00AC6AED">
        <w:t>CFR</w:t>
      </w:r>
      <w:r w:rsidRPr="00AC6AED">
        <w:rPr>
          <w:rFonts w:ascii="Arial" w:hAnsi="Arial" w:cs="Arial"/>
        </w:rPr>
        <w:t> </w:t>
      </w:r>
      <w:r w:rsidRPr="00AC6AED">
        <w:t>Part</w:t>
      </w:r>
      <w:r w:rsidRPr="00AC6AED">
        <w:rPr>
          <w:rFonts w:ascii="Arial" w:hAnsi="Arial" w:cs="Arial"/>
        </w:rPr>
        <w:t> </w:t>
      </w:r>
      <w:r w:rsidRPr="00AC6AED">
        <w:t>14 similarly mandates this 15</w:t>
      </w:r>
      <w:r w:rsidRPr="00AC6AED">
        <w:noBreakHyphen/>
        <w:t>day prior FR notice. (</w:t>
      </w:r>
      <w:hyperlink r:id="rId172" w:tooltip="21 CFR Part 14 -- Public Hearing Before a Public Advisory ..." w:history="1">
        <w:r w:rsidRPr="00AC6AED">
          <w:rPr>
            <w:rStyle w:val="Hyperlink"/>
          </w:rPr>
          <w:t>ECFR</w:t>
        </w:r>
      </w:hyperlink>
      <w:r w:rsidRPr="00AC6AED">
        <w:t>)</w:t>
      </w:r>
      <w:r w:rsidRPr="00AC6AED">
        <w:br/>
        <w:t xml:space="preserve">• FDA guidance clarifies that </w:t>
      </w:r>
      <w:r w:rsidRPr="00AC6AED">
        <w:rPr>
          <w:b/>
          <w:bCs/>
        </w:rPr>
        <w:t>briefing/background materials are intended to be made publicly available no later than ~2 business days before the meeting</w:t>
      </w:r>
      <w:r w:rsidRPr="00AC6AED">
        <w:t xml:space="preserve"> — a key informational spike for markets. (</w:t>
      </w:r>
      <w:hyperlink r:id="rId173" w:tooltip="Common Questions and Answers about FDA Advisory ..." w:history="1">
        <w:r w:rsidRPr="00AC6AED">
          <w:rPr>
            <w:rStyle w:val="Hyperlink"/>
          </w:rPr>
          <w:t>U.S. Food and Drug Administration</w:t>
        </w:r>
      </w:hyperlink>
      <w:r w:rsidRPr="00AC6AED">
        <w:t>)</w:t>
      </w:r>
    </w:p>
    <w:p w14:paraId="4593A687" w14:textId="77777777" w:rsidR="00AC6AED" w:rsidRPr="00AC6AED" w:rsidRDefault="00AC6AED" w:rsidP="00AC6AED">
      <w:r w:rsidRPr="00AC6AED">
        <w:rPr>
          <w:b/>
          <w:bCs/>
        </w:rPr>
        <w:t>Briefing materials → informational events:</w:t>
      </w:r>
      <w:r w:rsidRPr="00AC6AED">
        <w:br/>
        <w:t xml:space="preserve">The </w:t>
      </w:r>
      <w:r w:rsidRPr="00AC6AED">
        <w:rPr>
          <w:b/>
          <w:bCs/>
        </w:rPr>
        <w:t>briefing packets and background docs</w:t>
      </w:r>
      <w:r w:rsidRPr="00AC6AED">
        <w:t xml:space="preserve"> that FDA posts ahead of a meeting are often </w:t>
      </w:r>
      <w:r w:rsidRPr="00AC6AED">
        <w:rPr>
          <w:i/>
          <w:iCs/>
        </w:rPr>
        <w:t>the last major data release</w:t>
      </w:r>
      <w:r w:rsidRPr="00AC6AED">
        <w:t xml:space="preserve"> before deliberations. These are the releases that can materially shift priced</w:t>
      </w:r>
      <w:r w:rsidRPr="00AC6AED">
        <w:noBreakHyphen/>
        <w:t>in expectations prior to the vote. (</w:t>
      </w:r>
      <w:hyperlink r:id="rId174" w:tooltip="Common Questions and Answers about FDA Advisory ..." w:history="1">
        <w:r w:rsidRPr="00AC6AED">
          <w:rPr>
            <w:rStyle w:val="Hyperlink"/>
          </w:rPr>
          <w:t>U.S. Food and Drug Administration</w:t>
        </w:r>
      </w:hyperlink>
      <w:r w:rsidRPr="00AC6AED">
        <w:t>)</w:t>
      </w:r>
    </w:p>
    <w:p w14:paraId="4C68728B" w14:textId="77777777" w:rsidR="00AC6AED" w:rsidRPr="00AC6AED" w:rsidRDefault="00AC6AED" w:rsidP="00AC6AED">
      <w:r w:rsidRPr="00AC6AED">
        <w:rPr>
          <w:b/>
          <w:bCs/>
        </w:rPr>
        <w:t>Issuer</w:t>
      </w:r>
      <w:r w:rsidRPr="00AC6AED">
        <w:rPr>
          <w:b/>
          <w:bCs/>
        </w:rPr>
        <w:noBreakHyphen/>
        <w:t>specific regulatory pushes (e.g., AQST):</w:t>
      </w:r>
      <w:r w:rsidRPr="00AC6AED">
        <w:br/>
        <w:t xml:space="preserve">Aquestive recently announced a </w:t>
      </w:r>
      <w:r w:rsidRPr="00AC6AED">
        <w:rPr>
          <w:b/>
          <w:bCs/>
        </w:rPr>
        <w:t>FDA Complete Response Letter (CRL) for its Anaphylm™ NDA</w:t>
      </w:r>
      <w:r w:rsidRPr="00AC6AED">
        <w:t>, with specific human factors concerns cited — this shifts the potential regulatory path and likely timing away from an AdCom imminently. (</w:t>
      </w:r>
      <w:hyperlink r:id="rId175" w:tooltip="News Releases" w:history="1">
        <w:r w:rsidRPr="00AC6AED">
          <w:rPr>
            <w:rStyle w:val="Hyperlink"/>
          </w:rPr>
          <w:t>investors.aquestive.com</w:t>
        </w:r>
      </w:hyperlink>
      <w:r w:rsidRPr="00AC6AED">
        <w:t>)</w:t>
      </w:r>
    </w:p>
    <w:p w14:paraId="5DFF0EBE" w14:textId="77777777" w:rsidR="00AC6AED" w:rsidRPr="00AC6AED" w:rsidRDefault="00AC6AED" w:rsidP="00AC6AED">
      <w:r w:rsidRPr="00AC6AED">
        <w:t xml:space="preserve">If you want the current </w:t>
      </w:r>
      <w:r w:rsidRPr="00AC6AED">
        <w:rPr>
          <w:i/>
          <w:iCs/>
        </w:rPr>
        <w:t>Federal Register</w:t>
      </w:r>
      <w:r w:rsidRPr="00AC6AED">
        <w:t xml:space="preserve"> dataset or a parsed view of all pending Advisory Committee notices (with exact FR publication dates), I can pull that and highlight any that could become actionable signals.</w:t>
      </w:r>
    </w:p>
    <w:p w14:paraId="044FA1C6" w14:textId="77777777" w:rsidR="00AC6AED" w:rsidRPr="00AC6AED" w:rsidRDefault="00AC6AED" w:rsidP="00AC6AED">
      <w:r w:rsidRPr="00AC6AED">
        <w:t>Here’s a quick, practical heads</w:t>
      </w:r>
      <w:r w:rsidRPr="00AC6AED">
        <w:noBreakHyphen/>
        <w:t xml:space="preserve">up for your data pipelines: </w:t>
      </w:r>
      <w:r w:rsidRPr="00AC6AED">
        <w:rPr>
          <w:b/>
          <w:bCs/>
        </w:rPr>
        <w:t>hardware</w:t>
      </w:r>
      <w:r w:rsidRPr="00AC6AED">
        <w:rPr>
          <w:b/>
          <w:bCs/>
        </w:rPr>
        <w:noBreakHyphen/>
        <w:t>accelerated dataframes (Polars/cuDF/RAPIDS/Legate) can silently skew “totals”</w:t>
      </w:r>
      <w:r w:rsidRPr="00AC6AED">
        <w:t xml:space="preserve"> if a few gotchas pop up. Treat GPU as a performance lever—not a logic change—and add guardrails.</w:t>
      </w:r>
    </w:p>
    <w:p w14:paraId="7DFDE325" w14:textId="77777777" w:rsidR="00AC6AED" w:rsidRPr="00AC6AED" w:rsidRDefault="00AC6AED" w:rsidP="00AC6AED">
      <w:pPr>
        <w:rPr>
          <w:b/>
          <w:bCs/>
        </w:rPr>
      </w:pPr>
      <w:r w:rsidRPr="00AC6AED">
        <w:rPr>
          <w:b/>
          <w:bCs/>
        </w:rPr>
        <w:t>Why totals go weird on GPU / large-data runs</w:t>
      </w:r>
    </w:p>
    <w:p w14:paraId="100007D1" w14:textId="77777777" w:rsidR="00AC6AED" w:rsidRPr="00AC6AED" w:rsidRDefault="00AC6AED" w:rsidP="00AC6AED">
      <w:pPr>
        <w:numPr>
          <w:ilvl w:val="0"/>
          <w:numId w:val="68"/>
        </w:numPr>
      </w:pPr>
      <w:r w:rsidRPr="00AC6AED">
        <w:rPr>
          <w:b/>
          <w:bCs/>
        </w:rPr>
        <w:t>Chunking differences:</w:t>
      </w:r>
      <w:r w:rsidRPr="00AC6AED">
        <w:t xml:space="preserve"> streaming scans or lazy pipelines may split data into chunks; reductions across chunks can drop nulls or overflow smaller dtypes.</w:t>
      </w:r>
    </w:p>
    <w:p w14:paraId="6C389CB0" w14:textId="77777777" w:rsidR="00AC6AED" w:rsidRPr="00AC6AED" w:rsidRDefault="00AC6AED" w:rsidP="00AC6AED">
      <w:pPr>
        <w:numPr>
          <w:ilvl w:val="0"/>
          <w:numId w:val="68"/>
        </w:numPr>
      </w:pPr>
      <w:r w:rsidRPr="00AC6AED">
        <w:rPr>
          <w:b/>
          <w:bCs/>
        </w:rPr>
        <w:t>Dtype coercion:</w:t>
      </w:r>
      <w:r w:rsidRPr="00AC6AED">
        <w:t xml:space="preserve"> GPU kernels or CSV readers may auto</w:t>
      </w:r>
      <w:r w:rsidRPr="00AC6AED">
        <w:noBreakHyphen/>
        <w:t>upcast/downcast (e.g., int32 vs int64, float32 vs float64), or parse numeric-looking strings as text.</w:t>
      </w:r>
    </w:p>
    <w:p w14:paraId="52DFFBE1" w14:textId="77777777" w:rsidR="00AC6AED" w:rsidRPr="00AC6AED" w:rsidRDefault="00AC6AED" w:rsidP="00AC6AED">
      <w:pPr>
        <w:numPr>
          <w:ilvl w:val="0"/>
          <w:numId w:val="68"/>
        </w:numPr>
      </w:pPr>
      <w:r w:rsidRPr="00AC6AED">
        <w:rPr>
          <w:b/>
          <w:bCs/>
        </w:rPr>
        <w:lastRenderedPageBreak/>
        <w:t>Null semantics:</w:t>
      </w:r>
      <w:r w:rsidRPr="00AC6AED">
        <w:t xml:space="preserve"> sum/mean with nulls differs if you didn’t set ignore_nulls/null_strategy.</w:t>
      </w:r>
    </w:p>
    <w:p w14:paraId="75CECEF6" w14:textId="77777777" w:rsidR="00AC6AED" w:rsidRPr="00AC6AED" w:rsidRDefault="00AC6AED" w:rsidP="00AC6AED">
      <w:pPr>
        <w:numPr>
          <w:ilvl w:val="0"/>
          <w:numId w:val="68"/>
        </w:numPr>
      </w:pPr>
      <w:r w:rsidRPr="00AC6AED">
        <w:rPr>
          <w:b/>
          <w:bCs/>
        </w:rPr>
        <w:t>Groupby edge cases:</w:t>
      </w:r>
      <w:r w:rsidRPr="00AC6AED">
        <w:t xml:space="preserve"> categorical/string keys with hidden whitespace or mixed case create duplicate buckets.</w:t>
      </w:r>
    </w:p>
    <w:p w14:paraId="19E6A69C" w14:textId="77777777" w:rsidR="00AC6AED" w:rsidRPr="00AC6AED" w:rsidRDefault="00AC6AED" w:rsidP="00AC6AED">
      <w:pPr>
        <w:numPr>
          <w:ilvl w:val="0"/>
          <w:numId w:val="68"/>
        </w:numPr>
      </w:pPr>
      <w:r w:rsidRPr="00AC6AED">
        <w:rPr>
          <w:b/>
          <w:bCs/>
        </w:rPr>
        <w:t>GPU memory pressure:</w:t>
      </w:r>
      <w:r w:rsidRPr="00AC6AED">
        <w:t xml:space="preserve"> OOM retries or fallback to CPU can change execution paths mid</w:t>
      </w:r>
      <w:r w:rsidRPr="00AC6AED">
        <w:noBreakHyphen/>
        <w:t>pipeline.</w:t>
      </w:r>
    </w:p>
    <w:p w14:paraId="4092703C" w14:textId="77777777" w:rsidR="00AC6AED" w:rsidRPr="00AC6AED" w:rsidRDefault="00AC6AED" w:rsidP="00AC6AED">
      <w:pPr>
        <w:rPr>
          <w:b/>
          <w:bCs/>
        </w:rPr>
      </w:pPr>
      <w:r w:rsidRPr="00AC6AED">
        <w:rPr>
          <w:b/>
          <w:bCs/>
        </w:rPr>
        <w:t>Quick diagnostic checklist (use this before assuming a logic bug)</w:t>
      </w:r>
    </w:p>
    <w:p w14:paraId="4CE8852A" w14:textId="77777777" w:rsidR="00AC6AED" w:rsidRPr="00AC6AED" w:rsidRDefault="00AC6AED" w:rsidP="00AC6AED">
      <w:pPr>
        <w:numPr>
          <w:ilvl w:val="0"/>
          <w:numId w:val="69"/>
        </w:numPr>
      </w:pPr>
      <w:r w:rsidRPr="00AC6AED">
        <w:rPr>
          <w:b/>
          <w:bCs/>
        </w:rPr>
        <w:t>Pin dtypes at ingest</w:t>
      </w:r>
    </w:p>
    <w:p w14:paraId="0F496E28" w14:textId="77777777" w:rsidR="00AC6AED" w:rsidRPr="00AC6AED" w:rsidRDefault="00AC6AED" w:rsidP="00AC6AED">
      <w:pPr>
        <w:numPr>
          <w:ilvl w:val="1"/>
          <w:numId w:val="69"/>
        </w:numPr>
      </w:pPr>
      <w:r w:rsidRPr="00AC6AED">
        <w:t>Explicit schema on read; forbid implicit inference.</w:t>
      </w:r>
    </w:p>
    <w:p w14:paraId="0F13BC77" w14:textId="77777777" w:rsidR="00AC6AED" w:rsidRPr="00AC6AED" w:rsidRDefault="00AC6AED" w:rsidP="00AC6AED">
      <w:pPr>
        <w:numPr>
          <w:ilvl w:val="0"/>
          <w:numId w:val="69"/>
        </w:numPr>
      </w:pPr>
      <w:r w:rsidRPr="00AC6AED">
        <w:rPr>
          <w:b/>
          <w:bCs/>
        </w:rPr>
        <w:t>Normalize keys</w:t>
      </w:r>
    </w:p>
    <w:p w14:paraId="0331E319" w14:textId="77777777" w:rsidR="00AC6AED" w:rsidRPr="00AC6AED" w:rsidRDefault="00AC6AED" w:rsidP="00AC6AED">
      <w:pPr>
        <w:numPr>
          <w:ilvl w:val="1"/>
          <w:numId w:val="69"/>
        </w:numPr>
      </w:pPr>
      <w:r w:rsidRPr="00AC6AED">
        <w:t>Trim, lowercase, and de</w:t>
      </w:r>
      <w:r w:rsidRPr="00AC6AED">
        <w:noBreakHyphen/>
        <w:t>dupe columns used in joins/groupbys.</w:t>
      </w:r>
    </w:p>
    <w:p w14:paraId="2BE1DC99" w14:textId="77777777" w:rsidR="00AC6AED" w:rsidRPr="00AC6AED" w:rsidRDefault="00AC6AED" w:rsidP="00AC6AED">
      <w:pPr>
        <w:numPr>
          <w:ilvl w:val="0"/>
          <w:numId w:val="69"/>
        </w:numPr>
      </w:pPr>
      <w:r w:rsidRPr="00AC6AED">
        <w:rPr>
          <w:b/>
          <w:bCs/>
        </w:rPr>
        <w:t>Make null behavior explicit</w:t>
      </w:r>
    </w:p>
    <w:p w14:paraId="12D89B00" w14:textId="77777777" w:rsidR="00AC6AED" w:rsidRPr="00AC6AED" w:rsidRDefault="00AC6AED" w:rsidP="00AC6AED">
      <w:pPr>
        <w:numPr>
          <w:ilvl w:val="1"/>
          <w:numId w:val="69"/>
        </w:numPr>
      </w:pPr>
      <w:r w:rsidRPr="00AC6AED">
        <w:t>Decide whether nulls should count (fill vs ignore) and set it everywhere.</w:t>
      </w:r>
    </w:p>
    <w:p w14:paraId="1ABF0912" w14:textId="77777777" w:rsidR="00AC6AED" w:rsidRPr="00AC6AED" w:rsidRDefault="00AC6AED" w:rsidP="00AC6AED">
      <w:pPr>
        <w:numPr>
          <w:ilvl w:val="0"/>
          <w:numId w:val="69"/>
        </w:numPr>
      </w:pPr>
      <w:r w:rsidRPr="00AC6AED">
        <w:rPr>
          <w:b/>
          <w:bCs/>
        </w:rPr>
        <w:t>Stabilize execution path</w:t>
      </w:r>
    </w:p>
    <w:p w14:paraId="2DCBC89D" w14:textId="77777777" w:rsidR="00AC6AED" w:rsidRPr="00AC6AED" w:rsidRDefault="00AC6AED" w:rsidP="00AC6AED">
      <w:pPr>
        <w:numPr>
          <w:ilvl w:val="1"/>
          <w:numId w:val="69"/>
        </w:numPr>
      </w:pPr>
      <w:r w:rsidRPr="00AC6AED">
        <w:t>Fix rechunk, streaming, collect() order; avoid mixed CPU/GPU fallbacks.</w:t>
      </w:r>
    </w:p>
    <w:p w14:paraId="7DDBF70A" w14:textId="77777777" w:rsidR="00AC6AED" w:rsidRPr="00AC6AED" w:rsidRDefault="00AC6AED" w:rsidP="00AC6AED">
      <w:pPr>
        <w:numPr>
          <w:ilvl w:val="0"/>
          <w:numId w:val="69"/>
        </w:numPr>
      </w:pPr>
      <w:r w:rsidRPr="00AC6AED">
        <w:rPr>
          <w:b/>
          <w:bCs/>
        </w:rPr>
        <w:t>Assert totals at checkpoints</w:t>
      </w:r>
    </w:p>
    <w:p w14:paraId="7AA129D3" w14:textId="77777777" w:rsidR="00AC6AED" w:rsidRPr="00AC6AED" w:rsidRDefault="00AC6AED" w:rsidP="00AC6AED">
      <w:pPr>
        <w:numPr>
          <w:ilvl w:val="1"/>
          <w:numId w:val="69"/>
        </w:numPr>
      </w:pPr>
      <w:r w:rsidRPr="00AC6AED">
        <w:t>Compute a tiny CPU “truth” sample and compare against accelerated run.</w:t>
      </w:r>
    </w:p>
    <w:p w14:paraId="13CE72C6" w14:textId="77777777" w:rsidR="00AC6AED" w:rsidRPr="00AC6AED" w:rsidRDefault="00AC6AED" w:rsidP="00AC6AED">
      <w:pPr>
        <w:rPr>
          <w:b/>
          <w:bCs/>
        </w:rPr>
      </w:pPr>
      <w:r w:rsidRPr="00AC6AED">
        <w:rPr>
          <w:b/>
          <w:bCs/>
        </w:rPr>
        <w:t>Polars mini</w:t>
      </w:r>
      <w:r w:rsidRPr="00AC6AED">
        <w:rPr>
          <w:b/>
          <w:bCs/>
        </w:rPr>
        <w:noBreakHyphen/>
        <w:t>template you can drop into ODIN</w:t>
      </w:r>
    </w:p>
    <w:p w14:paraId="7215D7CA" w14:textId="77777777" w:rsidR="00AC6AED" w:rsidRPr="00AC6AED" w:rsidRDefault="00AC6AED" w:rsidP="00AC6AED">
      <w:r w:rsidRPr="00AC6AED">
        <w:t>import polars as pl</w:t>
      </w:r>
    </w:p>
    <w:p w14:paraId="4B04539F" w14:textId="77777777" w:rsidR="00AC6AED" w:rsidRPr="00AC6AED" w:rsidRDefault="00AC6AED" w:rsidP="00AC6AED"/>
    <w:p w14:paraId="0008E2B1" w14:textId="77777777" w:rsidR="00AC6AED" w:rsidRPr="00AC6AED" w:rsidRDefault="00AC6AED" w:rsidP="00AC6AED">
      <w:r w:rsidRPr="00AC6AED">
        <w:t># 1) Strict schema on ingest</w:t>
      </w:r>
    </w:p>
    <w:p w14:paraId="6FED514D" w14:textId="77777777" w:rsidR="00AC6AED" w:rsidRPr="00AC6AED" w:rsidRDefault="00AC6AED" w:rsidP="00AC6AED">
      <w:r w:rsidRPr="00AC6AED">
        <w:t>schema = {</w:t>
      </w:r>
    </w:p>
    <w:p w14:paraId="7E54EF3B" w14:textId="77777777" w:rsidR="00AC6AED" w:rsidRPr="00AC6AED" w:rsidRDefault="00AC6AED" w:rsidP="00AC6AED">
      <w:r w:rsidRPr="00AC6AED">
        <w:t xml:space="preserve">    "date": pl.Date,</w:t>
      </w:r>
    </w:p>
    <w:p w14:paraId="1B6AA671" w14:textId="77777777" w:rsidR="00AC6AED" w:rsidRPr="00AC6AED" w:rsidRDefault="00AC6AED" w:rsidP="00AC6AED">
      <w:r w:rsidRPr="00AC6AED">
        <w:t xml:space="preserve">    "ticker": pl.Utf8,</w:t>
      </w:r>
    </w:p>
    <w:p w14:paraId="65800834" w14:textId="77777777" w:rsidR="00AC6AED" w:rsidRPr="00AC6AED" w:rsidRDefault="00AC6AED" w:rsidP="00AC6AED">
      <w:r w:rsidRPr="00AC6AED">
        <w:t xml:space="preserve">    "qty": pl.Int64,</w:t>
      </w:r>
    </w:p>
    <w:p w14:paraId="7BC793D8" w14:textId="77777777" w:rsidR="00AC6AED" w:rsidRPr="00AC6AED" w:rsidRDefault="00AC6AED" w:rsidP="00AC6AED">
      <w:r w:rsidRPr="00AC6AED">
        <w:t xml:space="preserve">    "price": pl.Float64,</w:t>
      </w:r>
    </w:p>
    <w:p w14:paraId="327FC752" w14:textId="77777777" w:rsidR="00AC6AED" w:rsidRPr="00AC6AED" w:rsidRDefault="00AC6AED" w:rsidP="00AC6AED">
      <w:r w:rsidRPr="00AC6AED">
        <w:t>}</w:t>
      </w:r>
    </w:p>
    <w:p w14:paraId="6B0E6662" w14:textId="77777777" w:rsidR="00AC6AED" w:rsidRPr="00AC6AED" w:rsidRDefault="00AC6AED" w:rsidP="00AC6AED">
      <w:r w:rsidRPr="00AC6AED">
        <w:lastRenderedPageBreak/>
        <w:t>df = pl.read_csv("events.csv", schema_overrides=schema, ignore_errors=False)</w:t>
      </w:r>
    </w:p>
    <w:p w14:paraId="227AB663" w14:textId="77777777" w:rsidR="00AC6AED" w:rsidRPr="00AC6AED" w:rsidRDefault="00AC6AED" w:rsidP="00AC6AED"/>
    <w:p w14:paraId="58B3C64F" w14:textId="77777777" w:rsidR="00AC6AED" w:rsidRPr="00AC6AED" w:rsidRDefault="00AC6AED" w:rsidP="00AC6AED">
      <w:r w:rsidRPr="00AC6AED">
        <w:t># 2) Normalize join/group keys</w:t>
      </w:r>
    </w:p>
    <w:p w14:paraId="03CBB672" w14:textId="77777777" w:rsidR="00AC6AED" w:rsidRPr="00AC6AED" w:rsidRDefault="00AC6AED" w:rsidP="00AC6AED">
      <w:r w:rsidRPr="00AC6AED">
        <w:t>df = df.with_columns([</w:t>
      </w:r>
    </w:p>
    <w:p w14:paraId="3922DC8D" w14:textId="77777777" w:rsidR="00AC6AED" w:rsidRPr="00AC6AED" w:rsidRDefault="00AC6AED" w:rsidP="00AC6AED">
      <w:r w:rsidRPr="00AC6AED">
        <w:t xml:space="preserve">    pl.col("ticker").str.strip_chars().str.to_lowercase()</w:t>
      </w:r>
    </w:p>
    <w:p w14:paraId="0973DC5A" w14:textId="77777777" w:rsidR="00AC6AED" w:rsidRPr="00AC6AED" w:rsidRDefault="00AC6AED" w:rsidP="00AC6AED">
      <w:r w:rsidRPr="00AC6AED">
        <w:t>])</w:t>
      </w:r>
    </w:p>
    <w:p w14:paraId="3CD914FA" w14:textId="77777777" w:rsidR="00AC6AED" w:rsidRPr="00AC6AED" w:rsidRDefault="00AC6AED" w:rsidP="00AC6AED"/>
    <w:p w14:paraId="6F06A212" w14:textId="77777777" w:rsidR="00AC6AED" w:rsidRPr="00AC6AED" w:rsidRDefault="00AC6AED" w:rsidP="00AC6AED">
      <w:r w:rsidRPr="00AC6AED">
        <w:t># 3) Explicit null policy + dtype guards</w:t>
      </w:r>
    </w:p>
    <w:p w14:paraId="6C8471EA" w14:textId="77777777" w:rsidR="00AC6AED" w:rsidRPr="00AC6AED" w:rsidRDefault="00AC6AED" w:rsidP="00AC6AED">
      <w:r w:rsidRPr="00AC6AED">
        <w:t>df = df.with_columns([</w:t>
      </w:r>
    </w:p>
    <w:p w14:paraId="30131512" w14:textId="77777777" w:rsidR="00AC6AED" w:rsidRPr="00AC6AED" w:rsidRDefault="00AC6AED" w:rsidP="00AC6AED">
      <w:r w:rsidRPr="00AC6AED">
        <w:t xml:space="preserve">    pl.col("qty").fill_null(0).cast(pl.Int64),</w:t>
      </w:r>
    </w:p>
    <w:p w14:paraId="671C1F24" w14:textId="77777777" w:rsidR="00AC6AED" w:rsidRPr="00AC6AED" w:rsidRDefault="00AC6AED" w:rsidP="00AC6AED">
      <w:r w:rsidRPr="00AC6AED">
        <w:t xml:space="preserve">    pl.col("price").fill_null(0.0).cast(pl.Float64),</w:t>
      </w:r>
    </w:p>
    <w:p w14:paraId="3CE38C7C" w14:textId="77777777" w:rsidR="00AC6AED" w:rsidRPr="00AC6AED" w:rsidRDefault="00AC6AED" w:rsidP="00AC6AED">
      <w:r w:rsidRPr="00AC6AED">
        <w:t>])</w:t>
      </w:r>
    </w:p>
    <w:p w14:paraId="009133D0" w14:textId="77777777" w:rsidR="00AC6AED" w:rsidRPr="00AC6AED" w:rsidRDefault="00AC6AED" w:rsidP="00AC6AED"/>
    <w:p w14:paraId="5D7D5FF8" w14:textId="77777777" w:rsidR="00AC6AED" w:rsidRPr="00AC6AED" w:rsidRDefault="00AC6AED" w:rsidP="00AC6AED">
      <w:r w:rsidRPr="00AC6AED">
        <w:t># 4) Stable aggregation (no surprises across chunks)</w:t>
      </w:r>
    </w:p>
    <w:p w14:paraId="2DD789C8" w14:textId="77777777" w:rsidR="00AC6AED" w:rsidRPr="00AC6AED" w:rsidRDefault="00AC6AED" w:rsidP="00AC6AED">
      <w:r w:rsidRPr="00AC6AED">
        <w:t>total_cpu = (</w:t>
      </w:r>
    </w:p>
    <w:p w14:paraId="40CD970C" w14:textId="77777777" w:rsidR="00AC6AED" w:rsidRPr="00AC6AED" w:rsidRDefault="00AC6AED" w:rsidP="00AC6AED">
      <w:r w:rsidRPr="00AC6AED">
        <w:t xml:space="preserve">    df.group_by("ticker", maintain_order=True)</w:t>
      </w:r>
    </w:p>
    <w:p w14:paraId="2A287596" w14:textId="77777777" w:rsidR="00AC6AED" w:rsidRPr="00AC6AED" w:rsidRDefault="00AC6AED" w:rsidP="00AC6AED">
      <w:r w:rsidRPr="00AC6AED">
        <w:t xml:space="preserve">      .agg([</w:t>
      </w:r>
    </w:p>
    <w:p w14:paraId="6D33C73E" w14:textId="77777777" w:rsidR="00AC6AED" w:rsidRPr="00AC6AED" w:rsidRDefault="00AC6AED" w:rsidP="00AC6AED">
      <w:r w:rsidRPr="00AC6AED">
        <w:t xml:space="preserve">          (pl.col("qty") * pl.col("price")).sum().alias("notional_sum"),</w:t>
      </w:r>
    </w:p>
    <w:p w14:paraId="766F87DC" w14:textId="77777777" w:rsidR="00AC6AED" w:rsidRPr="00AC6AED" w:rsidRDefault="00AC6AED" w:rsidP="00AC6AED">
      <w:r w:rsidRPr="00AC6AED">
        <w:t xml:space="preserve">          pl.len().alias("rows"),</w:t>
      </w:r>
    </w:p>
    <w:p w14:paraId="2FBC0A52" w14:textId="77777777" w:rsidR="00AC6AED" w:rsidRPr="00AC6AED" w:rsidRDefault="00AC6AED" w:rsidP="00AC6AED">
      <w:r w:rsidRPr="00AC6AED">
        <w:t xml:space="preserve">      ])</w:t>
      </w:r>
    </w:p>
    <w:p w14:paraId="5BE4A7F5" w14:textId="77777777" w:rsidR="00AC6AED" w:rsidRPr="00AC6AED" w:rsidRDefault="00AC6AED" w:rsidP="00AC6AED">
      <w:r w:rsidRPr="00AC6AED">
        <w:t xml:space="preserve">      .sort("ticker")</w:t>
      </w:r>
    </w:p>
    <w:p w14:paraId="6E0C365F" w14:textId="77777777" w:rsidR="00AC6AED" w:rsidRPr="00AC6AED" w:rsidRDefault="00AC6AED" w:rsidP="00AC6AED">
      <w:r w:rsidRPr="00AC6AED">
        <w:t>)</w:t>
      </w:r>
    </w:p>
    <w:p w14:paraId="658EC894" w14:textId="77777777" w:rsidR="00AC6AED" w:rsidRPr="00AC6AED" w:rsidRDefault="00AC6AED" w:rsidP="00AC6AED"/>
    <w:p w14:paraId="31B1CF86" w14:textId="77777777" w:rsidR="00AC6AED" w:rsidRPr="00AC6AED" w:rsidRDefault="00AC6AED" w:rsidP="00AC6AED">
      <w:r w:rsidRPr="00AC6AED">
        <w:t># 5) Sanity check vs a tiny CPU baseline (sample)</w:t>
      </w:r>
    </w:p>
    <w:p w14:paraId="0D7327E4" w14:textId="77777777" w:rsidR="00AC6AED" w:rsidRPr="00AC6AED" w:rsidRDefault="00AC6AED" w:rsidP="00AC6AED">
      <w:r w:rsidRPr="00AC6AED">
        <w:t>baseline = (</w:t>
      </w:r>
    </w:p>
    <w:p w14:paraId="15CE1200" w14:textId="77777777" w:rsidR="00AC6AED" w:rsidRPr="00AC6AED" w:rsidRDefault="00AC6AED" w:rsidP="00AC6AED">
      <w:r w:rsidRPr="00AC6AED">
        <w:t xml:space="preserve">    df.sample(n=min(50_000, df.height), shuffle=False)</w:t>
      </w:r>
    </w:p>
    <w:p w14:paraId="1D953802" w14:textId="77777777" w:rsidR="00AC6AED" w:rsidRPr="00AC6AED" w:rsidRDefault="00AC6AED" w:rsidP="00AC6AED">
      <w:r w:rsidRPr="00AC6AED">
        <w:lastRenderedPageBreak/>
        <w:t xml:space="preserve">      .select((pl.col("qty") * pl.col("price")).sum().alias("baseline_notional"))</w:t>
      </w:r>
    </w:p>
    <w:p w14:paraId="00926C70" w14:textId="77777777" w:rsidR="00AC6AED" w:rsidRPr="00AC6AED" w:rsidRDefault="00AC6AED" w:rsidP="00AC6AED">
      <w:r w:rsidRPr="00AC6AED">
        <w:t>)</w:t>
      </w:r>
    </w:p>
    <w:p w14:paraId="0C56B1A6" w14:textId="77777777" w:rsidR="00AC6AED" w:rsidRPr="00AC6AED" w:rsidRDefault="00AC6AED" w:rsidP="00AC6AED">
      <w:r w:rsidRPr="00AC6AED">
        <w:t>print(total_cpu.head(10))</w:t>
      </w:r>
    </w:p>
    <w:p w14:paraId="74E9E02E" w14:textId="77777777" w:rsidR="00AC6AED" w:rsidRPr="00AC6AED" w:rsidRDefault="00AC6AED" w:rsidP="00AC6AED">
      <w:r w:rsidRPr="00AC6AED">
        <w:t>print(baseline)</w:t>
      </w:r>
    </w:p>
    <w:p w14:paraId="4B4A36DD" w14:textId="77777777" w:rsidR="00AC6AED" w:rsidRPr="00AC6AED" w:rsidRDefault="00AC6AED" w:rsidP="00AC6AED">
      <w:pPr>
        <w:rPr>
          <w:b/>
          <w:bCs/>
        </w:rPr>
      </w:pPr>
      <w:r w:rsidRPr="00AC6AED">
        <w:rPr>
          <w:b/>
          <w:bCs/>
        </w:rPr>
        <w:t>If you’re experimenting with GPU (RAPIDS / Legate / Polars GPU)</w:t>
      </w:r>
    </w:p>
    <w:p w14:paraId="79279EF6" w14:textId="77777777" w:rsidR="00AC6AED" w:rsidRPr="00AC6AED" w:rsidRDefault="00AC6AED" w:rsidP="00AC6AED">
      <w:pPr>
        <w:numPr>
          <w:ilvl w:val="0"/>
          <w:numId w:val="70"/>
        </w:numPr>
      </w:pPr>
      <w:r w:rsidRPr="00AC6AED">
        <w:rPr>
          <w:b/>
          <w:bCs/>
        </w:rPr>
        <w:t>Lock versions</w:t>
      </w:r>
      <w:r w:rsidRPr="00AC6AED">
        <w:t xml:space="preserve"> for Polars, cuDF, CUDA, and drivers; document them in your run logs.</w:t>
      </w:r>
    </w:p>
    <w:p w14:paraId="000A4C0A" w14:textId="77777777" w:rsidR="00AC6AED" w:rsidRPr="00AC6AED" w:rsidRDefault="00AC6AED" w:rsidP="00AC6AED">
      <w:pPr>
        <w:numPr>
          <w:ilvl w:val="0"/>
          <w:numId w:val="70"/>
        </w:numPr>
      </w:pPr>
      <w:r w:rsidRPr="00AC6AED">
        <w:rPr>
          <w:b/>
          <w:bCs/>
        </w:rPr>
        <w:t>Batch size controls</w:t>
      </w:r>
      <w:r w:rsidRPr="00AC6AED">
        <w:t>: expose a knob for row</w:t>
      </w:r>
      <w:r w:rsidRPr="00AC6AED">
        <w:noBreakHyphen/>
        <w:t>chunk size to avoid VRAM spikes.</w:t>
      </w:r>
    </w:p>
    <w:p w14:paraId="2613DB19" w14:textId="77777777" w:rsidR="00AC6AED" w:rsidRPr="00AC6AED" w:rsidRDefault="00AC6AED" w:rsidP="00AC6AED">
      <w:pPr>
        <w:numPr>
          <w:ilvl w:val="0"/>
          <w:numId w:val="70"/>
        </w:numPr>
      </w:pPr>
      <w:r w:rsidRPr="00AC6AED">
        <w:rPr>
          <w:b/>
          <w:bCs/>
        </w:rPr>
        <w:t>Determinism toggles</w:t>
      </w:r>
      <w:r w:rsidRPr="00AC6AED">
        <w:t>: turn off nondeterministic reductions where possible; log when GPU → CPU fallback occurs.</w:t>
      </w:r>
    </w:p>
    <w:p w14:paraId="62C92227" w14:textId="77777777" w:rsidR="00AC6AED" w:rsidRPr="00AC6AED" w:rsidRDefault="00AC6AED" w:rsidP="00AC6AED">
      <w:pPr>
        <w:numPr>
          <w:ilvl w:val="0"/>
          <w:numId w:val="70"/>
        </w:numPr>
      </w:pPr>
      <w:r w:rsidRPr="00AC6AED">
        <w:rPr>
          <w:b/>
          <w:bCs/>
        </w:rPr>
        <w:t>Golden tests</w:t>
      </w:r>
      <w:r w:rsidRPr="00AC6AED">
        <w:t>: keep a small, nasty fixture (nulls, mixed dtypes, duplicate keys) and compare CPU vs GPU outputs on every change.</w:t>
      </w:r>
    </w:p>
    <w:p w14:paraId="59301200" w14:textId="77777777" w:rsidR="00AC6AED" w:rsidRPr="00AC6AED" w:rsidRDefault="00AC6AED" w:rsidP="00AC6AED">
      <w:pPr>
        <w:rPr>
          <w:b/>
          <w:bCs/>
        </w:rPr>
      </w:pPr>
      <w:r w:rsidRPr="00AC6AED">
        <w:rPr>
          <w:b/>
          <w:bCs/>
        </w:rPr>
        <w:t>ODIN</w:t>
      </w:r>
      <w:r w:rsidRPr="00AC6AED">
        <w:rPr>
          <w:b/>
          <w:bCs/>
        </w:rPr>
        <w:noBreakHyphen/>
        <w:t>specific tip</w:t>
      </w:r>
    </w:p>
    <w:p w14:paraId="242F700E" w14:textId="77777777" w:rsidR="00AC6AED" w:rsidRPr="00AC6AED" w:rsidRDefault="00AC6AED" w:rsidP="00AC6AED">
      <w:r w:rsidRPr="00AC6AED">
        <w:t xml:space="preserve">Before each big run: run a </w:t>
      </w:r>
      <w:r w:rsidRPr="00AC6AED">
        <w:rPr>
          <w:b/>
          <w:bCs/>
        </w:rPr>
        <w:t>T</w:t>
      </w:r>
      <w:r w:rsidRPr="00AC6AED">
        <w:rPr>
          <w:b/>
          <w:bCs/>
        </w:rPr>
        <w:noBreakHyphen/>
        <w:t>1 “truth pass”</w:t>
      </w:r>
      <w:r w:rsidRPr="00AC6AED">
        <w:t xml:space="preserve"> on CPU for a 1–5% sample, persist the checkpoint sums (by ticker/date), then run the full GPU job and diff. If diffs ≠ 0 beyond tolerance, print the </w:t>
      </w:r>
      <w:r w:rsidRPr="00AC6AED">
        <w:rPr>
          <w:b/>
          <w:bCs/>
        </w:rPr>
        <w:t>first offending group key + rows</w:t>
      </w:r>
      <w:r w:rsidRPr="00AC6AED">
        <w:t xml:space="preserve"> so you can immediately spot dtype/null/key normalization issues.</w:t>
      </w:r>
    </w:p>
    <w:p w14:paraId="4AEA8BB2" w14:textId="77777777" w:rsidR="00AC6AED" w:rsidRPr="00AC6AED" w:rsidRDefault="00AC6AED" w:rsidP="00AC6AED">
      <w:r w:rsidRPr="00AC6AED">
        <w:t>If you want, I can wrap this into a tiny ODIN “Totals Guardrail” module (CLI flag + report) that you can drop into your pipeline.</w:t>
      </w:r>
    </w:p>
    <w:p w14:paraId="01877827" w14:textId="77777777" w:rsidR="00AC6AED" w:rsidRPr="00AC6AED" w:rsidRDefault="00AC6AED" w:rsidP="00AC6AED">
      <w:r w:rsidRPr="00AC6AED">
        <w:t xml:space="preserve">This is worth flagging because the company’s </w:t>
      </w:r>
      <w:r w:rsidRPr="00AC6AED">
        <w:rPr>
          <w:b/>
          <w:bCs/>
        </w:rPr>
        <w:t>Phase</w:t>
      </w:r>
      <w:r w:rsidRPr="00AC6AED">
        <w:rPr>
          <w:rFonts w:ascii="Arial" w:hAnsi="Arial" w:cs="Arial"/>
          <w:b/>
          <w:bCs/>
        </w:rPr>
        <w:t> </w:t>
      </w:r>
      <w:r w:rsidRPr="00AC6AED">
        <w:rPr>
          <w:b/>
          <w:bCs/>
        </w:rPr>
        <w:t>2 alopecia areata program is progressing and set up for a binary topline catalyst</w:t>
      </w:r>
      <w:r w:rsidRPr="00AC6AED">
        <w:t>, while its market profile remains tiny relative to that potential.</w:t>
      </w:r>
    </w:p>
    <w:p w14:paraId="45192B10" w14:textId="58965B6B" w:rsidR="00AC6AED" w:rsidRPr="00AC6AED" w:rsidRDefault="00AC6AED" w:rsidP="00AC6AED">
      <w:r w:rsidRPr="00AC6AED">
        <w:lastRenderedPageBreak/>
        <w:drawing>
          <wp:inline distT="0" distB="0" distL="0" distR="0" wp14:anchorId="75A7381C" wp14:editId="6C3C46EF">
            <wp:extent cx="5943600" cy="3118485"/>
            <wp:effectExtent l="0" t="0" r="0" b="5715"/>
            <wp:docPr id="791808495" name="Picture 5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9" descr="Image"/>
                    <pic:cNvPicPr>
                      <a:picLocks noChangeAspect="1" noChangeArrowheads="1"/>
                    </pic:cNvPicPr>
                  </pic:nvPicPr>
                  <pic:blipFill>
                    <a:blip r:embed="rId176" cstate="print">
                      <a:extLst>
                        <a:ext uri="{28A0092B-C50C-407E-A947-70E740481C1C}">
                          <a14:useLocalDpi xmlns:a14="http://schemas.microsoft.com/office/drawing/2010/main" val="0"/>
                        </a:ext>
                      </a:extLst>
                    </a:blip>
                    <a:srcRect/>
                    <a:stretch>
                      <a:fillRect/>
                    </a:stretch>
                  </pic:blipFill>
                  <pic:spPr bwMode="auto">
                    <a:xfrm>
                      <a:off x="0" y="0"/>
                      <a:ext cx="5943600" cy="3118485"/>
                    </a:xfrm>
                    <a:prstGeom prst="rect">
                      <a:avLst/>
                    </a:prstGeom>
                    <a:noFill/>
                    <a:ln>
                      <a:noFill/>
                    </a:ln>
                  </pic:spPr>
                </pic:pic>
              </a:graphicData>
            </a:graphic>
          </wp:inline>
        </w:drawing>
      </w:r>
    </w:p>
    <w:p w14:paraId="7195D5CF" w14:textId="2AE99AD8" w:rsidR="00AC6AED" w:rsidRPr="00AC6AED" w:rsidRDefault="00AC6AED" w:rsidP="00AC6AED">
      <w:r w:rsidRPr="00AC6AED">
        <w:drawing>
          <wp:inline distT="0" distB="0" distL="0" distR="0" wp14:anchorId="2B2089ED" wp14:editId="34AEA480">
            <wp:extent cx="5943600" cy="4071620"/>
            <wp:effectExtent l="0" t="0" r="0" b="5080"/>
            <wp:docPr id="1830808524" name="Picture 5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0" descr="Image"/>
                    <pic:cNvPicPr>
                      <a:picLocks noChangeAspect="1" noChangeArrowheads="1"/>
                    </pic:cNvPicPr>
                  </pic:nvPicPr>
                  <pic:blipFill>
                    <a:blip r:embed="rId177">
                      <a:extLst>
                        <a:ext uri="{28A0092B-C50C-407E-A947-70E740481C1C}">
                          <a14:useLocalDpi xmlns:a14="http://schemas.microsoft.com/office/drawing/2010/main" val="0"/>
                        </a:ext>
                      </a:extLst>
                    </a:blip>
                    <a:srcRect/>
                    <a:stretch>
                      <a:fillRect/>
                    </a:stretch>
                  </pic:blipFill>
                  <pic:spPr bwMode="auto">
                    <a:xfrm>
                      <a:off x="0" y="0"/>
                      <a:ext cx="5943600" cy="4071620"/>
                    </a:xfrm>
                    <a:prstGeom prst="rect">
                      <a:avLst/>
                    </a:prstGeom>
                    <a:noFill/>
                    <a:ln>
                      <a:noFill/>
                    </a:ln>
                  </pic:spPr>
                </pic:pic>
              </a:graphicData>
            </a:graphic>
          </wp:inline>
        </w:drawing>
      </w:r>
    </w:p>
    <w:p w14:paraId="1C385911" w14:textId="37AADAE7" w:rsidR="00AC6AED" w:rsidRPr="00AC6AED" w:rsidRDefault="00AC6AED" w:rsidP="00AC6AED">
      <w:r w:rsidRPr="00AC6AED">
        <mc:AlternateContent>
          <mc:Choice Requires="wps">
            <w:drawing>
              <wp:inline distT="0" distB="0" distL="0" distR="0" wp14:anchorId="1A581766" wp14:editId="609B0F67">
                <wp:extent cx="304800" cy="304800"/>
                <wp:effectExtent l="0" t="0" r="0" b="0"/>
                <wp:docPr id="347501008" name="Rectangle 50"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FA4553" id="Rectangle 50"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8BDA62F" w14:textId="68CCAFA5" w:rsidR="00AC6AED" w:rsidRPr="00AC6AED" w:rsidRDefault="00AC6AED" w:rsidP="00AC6AED">
      <w:r w:rsidRPr="00AC6AED">
        <mc:AlternateContent>
          <mc:Choice Requires="wps">
            <w:drawing>
              <wp:inline distT="0" distB="0" distL="0" distR="0" wp14:anchorId="408676C7" wp14:editId="5552E94A">
                <wp:extent cx="304800" cy="304800"/>
                <wp:effectExtent l="0" t="0" r="0" b="0"/>
                <wp:docPr id="1031190493" name="Rectangle 49"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6ED759" id="Rectangle 49"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E9D3E13" w14:textId="77777777" w:rsidR="00AC6AED" w:rsidRPr="00AC6AED" w:rsidRDefault="00AC6AED" w:rsidP="00AC6AED">
      <w:r w:rsidRPr="00AC6AED">
        <w:rPr>
          <w:b/>
          <w:bCs/>
        </w:rPr>
        <w:lastRenderedPageBreak/>
        <w:t>What’s actually on track:</w:t>
      </w:r>
      <w:r w:rsidRPr="00AC6AED">
        <w:t xml:space="preserve"> Q32 Bio’s SIGNAL</w:t>
      </w:r>
      <w:r w:rsidRPr="00AC6AED">
        <w:noBreakHyphen/>
        <w:t>AA Part</w:t>
      </w:r>
      <w:r w:rsidRPr="00AC6AED">
        <w:rPr>
          <w:rFonts w:ascii="Arial" w:hAnsi="Arial" w:cs="Arial"/>
        </w:rPr>
        <w:t> </w:t>
      </w:r>
      <w:r w:rsidRPr="00AC6AED">
        <w:t>B enrollment is complete and the company has reiterated that topline data from that bempikibart Phase</w:t>
      </w:r>
      <w:r w:rsidRPr="00AC6AED">
        <w:rPr>
          <w:rFonts w:ascii="Arial" w:hAnsi="Arial" w:cs="Arial"/>
        </w:rPr>
        <w:t> </w:t>
      </w:r>
      <w:r w:rsidRPr="00AC6AED">
        <w:t xml:space="preserve">2 trial is expected in </w:t>
      </w:r>
      <w:r w:rsidRPr="00AC6AED">
        <w:rPr>
          <w:b/>
          <w:bCs/>
        </w:rPr>
        <w:t>H1</w:t>
      </w:r>
      <w:r w:rsidRPr="00AC6AED">
        <w:rPr>
          <w:rFonts w:ascii="Arial" w:hAnsi="Arial" w:cs="Arial"/>
          <w:b/>
          <w:bCs/>
        </w:rPr>
        <w:t> </w:t>
      </w:r>
      <w:r w:rsidRPr="00AC6AED">
        <w:rPr>
          <w:b/>
          <w:bCs/>
        </w:rPr>
        <w:t>2026</w:t>
      </w:r>
      <w:r w:rsidRPr="00AC6AED">
        <w:t>, with mid</w:t>
      </w:r>
      <w:r w:rsidRPr="00AC6AED">
        <w:noBreakHyphen/>
        <w:t>2026 cited in multiple IR releases. (</w:t>
      </w:r>
      <w:hyperlink r:id="rId178" w:tooltip="Q32 Bio Announces Completion of Enrollment in Part B ..." w:history="1">
        <w:r w:rsidRPr="00AC6AED">
          <w:rPr>
            <w:rStyle w:val="Hyperlink"/>
          </w:rPr>
          <w:t>PR Newswire</w:t>
        </w:r>
      </w:hyperlink>
      <w:r w:rsidRPr="00AC6AED">
        <w:t>)</w:t>
      </w:r>
    </w:p>
    <w:p w14:paraId="51635969" w14:textId="77777777" w:rsidR="00AC6AED" w:rsidRPr="00AC6AED" w:rsidRDefault="00AC6AED" w:rsidP="00AC6AED">
      <w:r w:rsidRPr="00AC6AED">
        <w:rPr>
          <w:b/>
          <w:bCs/>
        </w:rPr>
        <w:t>Catalyst details:</w:t>
      </w:r>
    </w:p>
    <w:p w14:paraId="6B69EA4F" w14:textId="77777777" w:rsidR="00AC6AED" w:rsidRPr="00AC6AED" w:rsidRDefault="00AC6AED" w:rsidP="00AC6AED">
      <w:pPr>
        <w:numPr>
          <w:ilvl w:val="0"/>
          <w:numId w:val="71"/>
        </w:numPr>
      </w:pPr>
      <w:r w:rsidRPr="00AC6AED">
        <w:t>Part</w:t>
      </w:r>
      <w:r w:rsidRPr="00AC6AED">
        <w:rPr>
          <w:rFonts w:ascii="Arial" w:hAnsi="Arial" w:cs="Arial"/>
        </w:rPr>
        <w:t> </w:t>
      </w:r>
      <w:r w:rsidRPr="00AC6AED">
        <w:t>B in the SIGNAL</w:t>
      </w:r>
      <w:r w:rsidRPr="00AC6AED">
        <w:noBreakHyphen/>
        <w:t xml:space="preserve">AA trial now includes ~33 severe/very severe AA patients and targets key </w:t>
      </w:r>
      <w:r w:rsidRPr="00AC6AED">
        <w:rPr>
          <w:b/>
          <w:bCs/>
        </w:rPr>
        <w:t>SALT score improvements</w:t>
      </w:r>
      <w:r w:rsidRPr="00AC6AED">
        <w:t xml:space="preserve"> at ~36</w:t>
      </w:r>
      <w:r w:rsidRPr="00AC6AED">
        <w:noBreakHyphen/>
        <w:t>week dosing with additional follow</w:t>
      </w:r>
      <w:r w:rsidRPr="00AC6AED">
        <w:noBreakHyphen/>
        <w:t>up — a direct read on clinical proof</w:t>
      </w:r>
      <w:r w:rsidRPr="00AC6AED">
        <w:noBreakHyphen/>
        <w:t>of</w:t>
      </w:r>
      <w:r w:rsidRPr="00AC6AED">
        <w:noBreakHyphen/>
        <w:t>concept. (</w:t>
      </w:r>
      <w:hyperlink r:id="rId179" w:tooltip="Q32 Bio Announces Completion of Enrollment in Part B ..." w:history="1">
        <w:r w:rsidRPr="00AC6AED">
          <w:rPr>
            <w:rStyle w:val="Hyperlink"/>
          </w:rPr>
          <w:t>PR Newswire</w:t>
        </w:r>
      </w:hyperlink>
      <w:r w:rsidRPr="00AC6AED">
        <w:t>)</w:t>
      </w:r>
    </w:p>
    <w:p w14:paraId="594EB862" w14:textId="77777777" w:rsidR="00AC6AED" w:rsidRPr="00AC6AED" w:rsidRDefault="00AC6AED" w:rsidP="00AC6AED">
      <w:pPr>
        <w:numPr>
          <w:ilvl w:val="0"/>
          <w:numId w:val="71"/>
        </w:numPr>
      </w:pPr>
      <w:r w:rsidRPr="00AC6AED">
        <w:t>Earlier in the program, Part</w:t>
      </w:r>
      <w:r w:rsidRPr="00AC6AED">
        <w:rPr>
          <w:rFonts w:ascii="Arial" w:hAnsi="Arial" w:cs="Arial"/>
        </w:rPr>
        <w:t> </w:t>
      </w:r>
      <w:r w:rsidRPr="00AC6AED">
        <w:t>A showed encouraging activity and durability signals post</w:t>
      </w:r>
      <w:r w:rsidRPr="00AC6AED">
        <w:noBreakHyphen/>
        <w:t>dosing, though the dataset was limited. (</w:t>
      </w:r>
      <w:hyperlink r:id="rId180" w:tooltip="Q32 Bio Doses First Patients in Both Part A Open-Label ..." w:history="1">
        <w:r w:rsidRPr="00AC6AED">
          <w:rPr>
            <w:rStyle w:val="Hyperlink"/>
          </w:rPr>
          <w:t>PR Newswire</w:t>
        </w:r>
      </w:hyperlink>
      <w:r w:rsidRPr="00AC6AED">
        <w:t>)</w:t>
      </w:r>
    </w:p>
    <w:p w14:paraId="3C045FCB" w14:textId="77777777" w:rsidR="00AC6AED" w:rsidRPr="00AC6AED" w:rsidRDefault="00AC6AED" w:rsidP="00AC6AED">
      <w:r w:rsidRPr="00AC6AED">
        <w:rPr>
          <w:b/>
          <w:bCs/>
        </w:rPr>
        <w:t>Market cap &amp; liquidity:</w:t>
      </w:r>
      <w:r w:rsidRPr="00AC6AED">
        <w:br/>
        <w:t xml:space="preserve">Shares trade on NASDAQ under </w:t>
      </w:r>
      <w:r w:rsidRPr="00AC6AED">
        <w:rPr>
          <w:b/>
          <w:bCs/>
        </w:rPr>
        <w:t>QTTB</w:t>
      </w:r>
      <w:r w:rsidRPr="00AC6AED">
        <w:t xml:space="preserve">, and recent public data puts the </w:t>
      </w:r>
      <w:r w:rsidRPr="00AC6AED">
        <w:rPr>
          <w:b/>
          <w:bCs/>
        </w:rPr>
        <w:t>market cap around ~$50</w:t>
      </w:r>
      <w:r w:rsidRPr="00AC6AED">
        <w:rPr>
          <w:rFonts w:ascii="Arial" w:hAnsi="Arial" w:cs="Arial"/>
          <w:b/>
          <w:bCs/>
        </w:rPr>
        <w:t> </w:t>
      </w:r>
      <w:r w:rsidRPr="00AC6AED">
        <w:rPr>
          <w:b/>
          <w:bCs/>
        </w:rPr>
        <w:t>M</w:t>
      </w:r>
      <w:r w:rsidRPr="00AC6AED">
        <w:t xml:space="preserve"> — firmly in small</w:t>
      </w:r>
      <w:r w:rsidRPr="00AC6AED">
        <w:noBreakHyphen/>
        <w:t>cap territory. (</w:t>
      </w:r>
      <w:hyperlink r:id="rId181" w:tooltip="QTTB Market Cap Today: Live Data &amp; Historical Trends" w:history="1">
        <w:r w:rsidRPr="00AC6AED">
          <w:rPr>
            <w:rStyle w:val="Hyperlink"/>
          </w:rPr>
          <w:t>Public</w:t>
        </w:r>
      </w:hyperlink>
      <w:r w:rsidRPr="00AC6AED">
        <w:t>)</w:t>
      </w:r>
    </w:p>
    <w:p w14:paraId="0EDBC092" w14:textId="77777777" w:rsidR="00AC6AED" w:rsidRPr="00AC6AED" w:rsidRDefault="00AC6AED" w:rsidP="00AC6AED">
      <w:r w:rsidRPr="00AC6AED">
        <w:rPr>
          <w:b/>
          <w:bCs/>
        </w:rPr>
        <w:t>Investor sentiment &amp; coverage:</w:t>
      </w:r>
      <w:r w:rsidRPr="00AC6AED">
        <w:br/>
        <w:t xml:space="preserve">Recent coverage is thin, mostly stemming from </w:t>
      </w:r>
      <w:r w:rsidRPr="00AC6AED">
        <w:rPr>
          <w:b/>
          <w:bCs/>
        </w:rPr>
        <w:t>PR</w:t>
      </w:r>
      <w:r w:rsidRPr="00AC6AED">
        <w:rPr>
          <w:rFonts w:ascii="Arial" w:hAnsi="Arial" w:cs="Arial"/>
          <w:b/>
          <w:bCs/>
        </w:rPr>
        <w:t> </w:t>
      </w:r>
      <w:r w:rsidRPr="00AC6AED">
        <w:rPr>
          <w:b/>
          <w:bCs/>
        </w:rPr>
        <w:t>Newswire/IR releases and aggregated finance sites</w:t>
      </w:r>
      <w:r w:rsidRPr="00AC6AED">
        <w:t xml:space="preserve">. One notable mention last month featured an </w:t>
      </w:r>
      <w:r w:rsidRPr="00AC6AED">
        <w:rPr>
          <w:b/>
          <w:bCs/>
        </w:rPr>
        <w:t>Outperform rating with elevated price targets (~$20)</w:t>
      </w:r>
      <w:r w:rsidRPr="00AC6AED">
        <w:t xml:space="preserve"> tied in part to read</w:t>
      </w:r>
      <w:r w:rsidRPr="00AC6AED">
        <w:noBreakHyphen/>
        <w:t>throughs from competitor AA data, though clinical risk remains high. (</w:t>
      </w:r>
      <w:hyperlink r:id="rId182" w:tooltip="Oppenheimer maintains Outperform rating on Q32 Bio stock at $20 target" w:history="1">
        <w:r w:rsidRPr="00AC6AED">
          <w:rPr>
            <w:rStyle w:val="Hyperlink"/>
          </w:rPr>
          <w:t>Investing.com UK</w:t>
        </w:r>
      </w:hyperlink>
      <w:r w:rsidRPr="00AC6AED">
        <w:t>)</w:t>
      </w:r>
    </w:p>
    <w:p w14:paraId="1F776201" w14:textId="77777777" w:rsidR="00AC6AED" w:rsidRPr="00AC6AED" w:rsidRDefault="00AC6AED" w:rsidP="00AC6AED">
      <w:r w:rsidRPr="00AC6AED">
        <w:rPr>
          <w:b/>
          <w:bCs/>
        </w:rPr>
        <w:t>Risk context:</w:t>
      </w:r>
      <w:r w:rsidRPr="00AC6AED">
        <w:br/>
        <w:t>The name has previously traded lower after mixed signals — including trial hiccups and competitive pressure — and the company is still pre</w:t>
      </w:r>
      <w:r w:rsidRPr="00AC6AED">
        <w:noBreakHyphen/>
        <w:t>revenue with heavy cash burn typical of pre</w:t>
      </w:r>
      <w:r w:rsidRPr="00AC6AED">
        <w:noBreakHyphen/>
        <w:t>commercial biotechs. (</w:t>
      </w:r>
      <w:hyperlink r:id="rId183" w:tooltip="Q32 Bio Trades At Lows While Betting On Immune Breakthroughs" w:history="1">
        <w:r w:rsidRPr="00AC6AED">
          <w:rPr>
            <w:rStyle w:val="Hyperlink"/>
          </w:rPr>
          <w:t>Finimize</w:t>
        </w:r>
      </w:hyperlink>
      <w:r w:rsidRPr="00AC6AED">
        <w:t>)</w:t>
      </w:r>
    </w:p>
    <w:p w14:paraId="41F78659" w14:textId="77777777" w:rsidR="00AC6AED" w:rsidRPr="00AC6AED" w:rsidRDefault="00AC6AED" w:rsidP="00AC6AED">
      <w:r w:rsidRPr="00AC6AED">
        <w:t xml:space="preserve">In short, this setup combines a </w:t>
      </w:r>
      <w:r w:rsidRPr="00AC6AED">
        <w:rPr>
          <w:b/>
          <w:bCs/>
        </w:rPr>
        <w:t>small valuation with an upcoming Phase</w:t>
      </w:r>
      <w:r w:rsidRPr="00AC6AED">
        <w:rPr>
          <w:rFonts w:ascii="Arial" w:hAnsi="Arial" w:cs="Arial"/>
          <w:b/>
          <w:bCs/>
        </w:rPr>
        <w:t> </w:t>
      </w:r>
      <w:r w:rsidRPr="00AC6AED">
        <w:rPr>
          <w:b/>
          <w:bCs/>
        </w:rPr>
        <w:t>2 signal</w:t>
      </w:r>
      <w:r w:rsidRPr="00AC6AED">
        <w:t xml:space="preserve"> that could re</w:t>
      </w:r>
      <w:r w:rsidRPr="00AC6AED">
        <w:noBreakHyphen/>
        <w:t>rate the stock if the bempikibart AA data is strong, but the limited coverage and early</w:t>
      </w:r>
      <w:r w:rsidRPr="00AC6AED">
        <w:noBreakHyphen/>
        <w:t xml:space="preserve">stage data leave </w:t>
      </w:r>
      <w:r w:rsidRPr="00AC6AED">
        <w:rPr>
          <w:b/>
          <w:bCs/>
        </w:rPr>
        <w:t>confidence in that outcome in the moderate range</w:t>
      </w:r>
      <w:r w:rsidRPr="00AC6AED">
        <w:t>.</w:t>
      </w:r>
    </w:p>
    <w:p w14:paraId="0D619409" w14:textId="77777777" w:rsidR="0080267B" w:rsidRPr="0080267B" w:rsidRDefault="0080267B" w:rsidP="0080267B">
      <w:r w:rsidRPr="0080267B">
        <w:t>Here’s a tight, plug</w:t>
      </w:r>
      <w:r w:rsidRPr="0080267B">
        <w:noBreakHyphen/>
        <w:t>and</w:t>
      </w:r>
      <w:r w:rsidRPr="0080267B">
        <w:noBreakHyphen/>
        <w:t>play recipe to track “priced</w:t>
      </w:r>
      <w:r w:rsidRPr="0080267B">
        <w:noBreakHyphen/>
        <w:t>in” event risk from options IV around biotech catalysts, with clear fields, rules, and an auditable trail.</w:t>
      </w:r>
    </w:p>
    <w:p w14:paraId="7378D563" w14:textId="77777777" w:rsidR="0080267B" w:rsidRPr="0080267B" w:rsidRDefault="0080267B" w:rsidP="0080267B">
      <w:r w:rsidRPr="0080267B">
        <w:pict w14:anchorId="21D35662">
          <v:rect id="_x0000_i1077" style="width:0;height:1.5pt" o:hralign="center" o:hrstd="t" o:hr="t" fillcolor="#a0a0a0" stroked="f"/>
        </w:pict>
      </w:r>
    </w:p>
    <w:p w14:paraId="7D9F3909" w14:textId="77777777" w:rsidR="0080267B" w:rsidRPr="0080267B" w:rsidRDefault="0080267B" w:rsidP="0080267B">
      <w:pPr>
        <w:rPr>
          <w:b/>
          <w:bCs/>
        </w:rPr>
      </w:pPr>
      <w:r w:rsidRPr="0080267B">
        <w:rPr>
          <w:b/>
          <w:bCs/>
        </w:rPr>
        <w:t>What this does (in plain English)</w:t>
      </w:r>
    </w:p>
    <w:p w14:paraId="605C1B0F" w14:textId="77777777" w:rsidR="0080267B" w:rsidRPr="0080267B" w:rsidRDefault="0080267B" w:rsidP="0080267B">
      <w:r w:rsidRPr="0080267B">
        <w:t xml:space="preserve">You’ll snapshot each ticker’s </w:t>
      </w:r>
      <w:r w:rsidRPr="0080267B">
        <w:rPr>
          <w:b/>
          <w:bCs/>
        </w:rPr>
        <w:t>front</w:t>
      </w:r>
      <w:r w:rsidRPr="0080267B">
        <w:rPr>
          <w:b/>
          <w:bCs/>
        </w:rPr>
        <w:noBreakHyphen/>
        <w:t>week</w:t>
      </w:r>
      <w:r w:rsidRPr="0080267B">
        <w:t xml:space="preserve"> (the weekly expiry covering the catalyst) and </w:t>
      </w:r>
      <w:r w:rsidRPr="0080267B">
        <w:rPr>
          <w:b/>
          <w:bCs/>
        </w:rPr>
        <w:t>next</w:t>
      </w:r>
      <w:r w:rsidRPr="0080267B">
        <w:rPr>
          <w:b/>
          <w:bCs/>
        </w:rPr>
        <w:noBreakHyphen/>
        <w:t>month</w:t>
      </w:r>
      <w:r w:rsidRPr="0080267B">
        <w:t xml:space="preserve"> ATM IV, plus IV30/60/90 and a simple 25</w:t>
      </w:r>
      <w:r w:rsidRPr="0080267B">
        <w:noBreakHyphen/>
        <w:t>delta skew. From those, compute term structure and week</w:t>
      </w:r>
      <w:r w:rsidRPr="0080267B">
        <w:noBreakHyphen/>
        <w:t>over</w:t>
      </w:r>
      <w:r w:rsidRPr="0080267B">
        <w:noBreakHyphen/>
        <w:t>week changes. If front</w:t>
      </w:r>
      <w:r w:rsidRPr="0080267B">
        <w:noBreakHyphen/>
        <w:t>week is unusually elevated vs next</w:t>
      </w:r>
      <w:r w:rsidRPr="0080267B">
        <w:noBreakHyphen/>
        <w:t>month (or jumps big WoW), you flag it as “priced</w:t>
      </w:r>
      <w:r w:rsidRPr="0080267B">
        <w:noBreakHyphen/>
        <w:t>in.”</w:t>
      </w:r>
    </w:p>
    <w:p w14:paraId="4886F3FA" w14:textId="77777777" w:rsidR="0080267B" w:rsidRPr="0080267B" w:rsidRDefault="0080267B" w:rsidP="0080267B">
      <w:r w:rsidRPr="0080267B">
        <w:lastRenderedPageBreak/>
        <w:pict w14:anchorId="43A5B190">
          <v:rect id="_x0000_i1078" style="width:0;height:1.5pt" o:hralign="center" o:hrstd="t" o:hr="t" fillcolor="#a0a0a0" stroked="f"/>
        </w:pict>
      </w:r>
    </w:p>
    <w:p w14:paraId="7C4A9C60" w14:textId="77777777" w:rsidR="0080267B" w:rsidRPr="0080267B" w:rsidRDefault="0080267B" w:rsidP="0080267B">
      <w:pPr>
        <w:rPr>
          <w:b/>
          <w:bCs/>
        </w:rPr>
      </w:pPr>
      <w:r w:rsidRPr="0080267B">
        <w:rPr>
          <w:b/>
          <w:bCs/>
        </w:rPr>
        <w:t>Sources (public vendor pages to read)</w:t>
      </w:r>
    </w:p>
    <w:p w14:paraId="555E17EB" w14:textId="77777777" w:rsidR="0080267B" w:rsidRPr="0080267B" w:rsidRDefault="0080267B" w:rsidP="0080267B">
      <w:r w:rsidRPr="0080267B">
        <w:t>Primary: MarketChameleon (Overview → IV / Option Chain), Barchart (Options per</w:t>
      </w:r>
      <w:r w:rsidRPr="0080267B">
        <w:noBreakHyphen/>
        <w:t>expiry), OptionCharts (vol/skew).</w:t>
      </w:r>
      <w:r w:rsidRPr="0080267B">
        <w:br/>
        <w:t>Fallback: CBOE/Nasdaq option chains or any broker analytics that expose IV30/60/90.</w:t>
      </w:r>
    </w:p>
    <w:p w14:paraId="15C874C1" w14:textId="77777777" w:rsidR="0080267B" w:rsidRPr="0080267B" w:rsidRDefault="0080267B" w:rsidP="0080267B">
      <w:r w:rsidRPr="0080267B">
        <w:t>Examples (just to illustrate target endpoints you’ll read):</w:t>
      </w:r>
    </w:p>
    <w:p w14:paraId="4633D68C" w14:textId="77777777" w:rsidR="0080267B" w:rsidRPr="0080267B" w:rsidRDefault="0080267B" w:rsidP="0080267B">
      <w:pPr>
        <w:numPr>
          <w:ilvl w:val="0"/>
          <w:numId w:val="72"/>
        </w:numPr>
      </w:pPr>
      <w:r w:rsidRPr="0080267B">
        <w:t>MarketChameleon IV pages: /Overview/&lt;TICKER&gt;/IV/</w:t>
      </w:r>
    </w:p>
    <w:p w14:paraId="4DBA88CF" w14:textId="77777777" w:rsidR="0080267B" w:rsidRPr="0080267B" w:rsidRDefault="0080267B" w:rsidP="0080267B">
      <w:pPr>
        <w:numPr>
          <w:ilvl w:val="0"/>
          <w:numId w:val="72"/>
        </w:numPr>
      </w:pPr>
      <w:r w:rsidRPr="0080267B">
        <w:t>Barchart options: /stocks/quotes/&lt;TICKER&gt;/options</w:t>
      </w:r>
    </w:p>
    <w:p w14:paraId="081F3FC6" w14:textId="77777777" w:rsidR="0080267B" w:rsidRPr="0080267B" w:rsidRDefault="0080267B" w:rsidP="0080267B">
      <w:pPr>
        <w:numPr>
          <w:ilvl w:val="0"/>
          <w:numId w:val="72"/>
        </w:numPr>
      </w:pPr>
      <w:r w:rsidRPr="0080267B">
        <w:t>OptionCharts: /options/&lt;TICKER&gt;</w:t>
      </w:r>
    </w:p>
    <w:p w14:paraId="31DE48DA" w14:textId="77777777" w:rsidR="0080267B" w:rsidRPr="0080267B" w:rsidRDefault="0080267B" w:rsidP="0080267B">
      <w:r w:rsidRPr="0080267B">
        <w:t>(Prefer CSV/API when available for clean numeric ingestion; HTML is often JS</w:t>
      </w:r>
      <w:r w:rsidRPr="0080267B">
        <w:noBreakHyphen/>
        <w:t>rendered and brittle.)</w:t>
      </w:r>
    </w:p>
    <w:p w14:paraId="379D9655" w14:textId="77777777" w:rsidR="0080267B" w:rsidRPr="0080267B" w:rsidRDefault="0080267B" w:rsidP="0080267B">
      <w:r w:rsidRPr="0080267B">
        <w:pict w14:anchorId="4699B17C">
          <v:rect id="_x0000_i1079" style="width:0;height:1.5pt" o:hralign="center" o:hrstd="t" o:hr="t" fillcolor="#a0a0a0" stroked="f"/>
        </w:pict>
      </w:r>
    </w:p>
    <w:p w14:paraId="339D0B21" w14:textId="77777777" w:rsidR="0080267B" w:rsidRPr="0080267B" w:rsidRDefault="0080267B" w:rsidP="0080267B">
      <w:pPr>
        <w:rPr>
          <w:b/>
          <w:bCs/>
        </w:rPr>
      </w:pPr>
      <w:r w:rsidRPr="0080267B">
        <w:rPr>
          <w:b/>
          <w:bCs/>
        </w:rPr>
        <w:t>Data you capture per snapshot (one row per ticker per retrieval)</w:t>
      </w:r>
    </w:p>
    <w:p w14:paraId="2AC0B912" w14:textId="77777777" w:rsidR="0080267B" w:rsidRPr="0080267B" w:rsidRDefault="0080267B" w:rsidP="0080267B">
      <w:r w:rsidRPr="0080267B">
        <w:t>timestamp_utc,ticker,front_week_expiry,next_month_expiry,</w:t>
      </w:r>
    </w:p>
    <w:p w14:paraId="3E88B757" w14:textId="77777777" w:rsidR="0080267B" w:rsidRPr="0080267B" w:rsidRDefault="0080267B" w:rsidP="0080267B">
      <w:r w:rsidRPr="0080267B">
        <w:t>front_week_atm_iv,next_month_atm_iv,iv30,iv60,iv90,</w:t>
      </w:r>
    </w:p>
    <w:p w14:paraId="1DEE493E" w14:textId="77777777" w:rsidR="0080267B" w:rsidRPr="0080267B" w:rsidRDefault="0080267B" w:rsidP="0080267B">
      <w:r w:rsidRPr="0080267B">
        <w:t>skew_25d,(call_25d_iv - put_25d_iv),</w:t>
      </w:r>
    </w:p>
    <w:p w14:paraId="597C91AF" w14:textId="77777777" w:rsidR="0080267B" w:rsidRPr="0080267B" w:rsidRDefault="0080267B" w:rsidP="0080267B">
      <w:r w:rsidRPr="0080267B">
        <w:t>term_slope,front_vs_next,wow_delta_front_week,</w:t>
      </w:r>
    </w:p>
    <w:p w14:paraId="1AEDCF54" w14:textId="77777777" w:rsidR="0080267B" w:rsidRPr="0080267B" w:rsidRDefault="0080267B" w:rsidP="0080267B">
      <w:r w:rsidRPr="0080267B">
        <w:t>flags</w:t>
      </w:r>
    </w:p>
    <w:p w14:paraId="30377A72" w14:textId="77777777" w:rsidR="0080267B" w:rsidRPr="0080267B" w:rsidRDefault="0080267B" w:rsidP="0080267B">
      <w:r w:rsidRPr="0080267B">
        <w:rPr>
          <w:b/>
          <w:bCs/>
        </w:rPr>
        <w:t>Definitions</w:t>
      </w:r>
    </w:p>
    <w:p w14:paraId="5B613257" w14:textId="77777777" w:rsidR="0080267B" w:rsidRPr="0080267B" w:rsidRDefault="0080267B" w:rsidP="0080267B">
      <w:pPr>
        <w:numPr>
          <w:ilvl w:val="0"/>
          <w:numId w:val="73"/>
        </w:numPr>
      </w:pPr>
      <w:r w:rsidRPr="0080267B">
        <w:rPr>
          <w:b/>
          <w:bCs/>
        </w:rPr>
        <w:t>front_week_expiry</w:t>
      </w:r>
      <w:r w:rsidRPr="0080267B">
        <w:t xml:space="preserve">: Nearest </w:t>
      </w:r>
      <w:r w:rsidRPr="0080267B">
        <w:rPr>
          <w:b/>
          <w:bCs/>
        </w:rPr>
        <w:t>weekly</w:t>
      </w:r>
      <w:r w:rsidRPr="0080267B">
        <w:t xml:space="preserve"> option that still </w:t>
      </w:r>
      <w:r w:rsidRPr="0080267B">
        <w:rPr>
          <w:i/>
          <w:iCs/>
        </w:rPr>
        <w:t>covers the catalyst date</w:t>
      </w:r>
      <w:r w:rsidRPr="0080267B">
        <w:t xml:space="preserve"> (align ATM by nearest strike; interpolate if needed).</w:t>
      </w:r>
    </w:p>
    <w:p w14:paraId="3AD52606" w14:textId="77777777" w:rsidR="0080267B" w:rsidRPr="0080267B" w:rsidRDefault="0080267B" w:rsidP="0080267B">
      <w:pPr>
        <w:numPr>
          <w:ilvl w:val="0"/>
          <w:numId w:val="73"/>
        </w:numPr>
      </w:pPr>
      <w:r w:rsidRPr="0080267B">
        <w:rPr>
          <w:b/>
          <w:bCs/>
        </w:rPr>
        <w:t>next_month_expiry</w:t>
      </w:r>
      <w:r w:rsidRPr="0080267B">
        <w:t>: Standard monthly expiry one calendar month out (or closest listed “monthly” cycle).</w:t>
      </w:r>
    </w:p>
    <w:p w14:paraId="1E2075AB" w14:textId="77777777" w:rsidR="0080267B" w:rsidRPr="0080267B" w:rsidRDefault="0080267B" w:rsidP="0080267B">
      <w:pPr>
        <w:numPr>
          <w:ilvl w:val="0"/>
          <w:numId w:val="73"/>
        </w:numPr>
      </w:pPr>
      <w:r w:rsidRPr="0080267B">
        <w:rPr>
          <w:b/>
          <w:bCs/>
        </w:rPr>
        <w:t>skew_25d</w:t>
      </w:r>
      <w:r w:rsidRPr="0080267B">
        <w:t>: Simple 25Δ skew; record either the pair or their difference, e.g., call_25d_iv - put_25d_iv.</w:t>
      </w:r>
    </w:p>
    <w:p w14:paraId="5E4EF185" w14:textId="77777777" w:rsidR="0080267B" w:rsidRPr="0080267B" w:rsidRDefault="0080267B" w:rsidP="0080267B">
      <w:pPr>
        <w:numPr>
          <w:ilvl w:val="0"/>
          <w:numId w:val="73"/>
        </w:numPr>
      </w:pPr>
      <w:r w:rsidRPr="0080267B">
        <w:rPr>
          <w:b/>
          <w:bCs/>
        </w:rPr>
        <w:t>wow_delta_front_week</w:t>
      </w:r>
      <w:r w:rsidRPr="0080267B">
        <w:t>: front_week_atm_iv_today − front_week_atm_iv_7d_ago (requires 7</w:t>
      </w:r>
      <w:r w:rsidRPr="0080267B">
        <w:noBreakHyphen/>
        <w:t>day series).</w:t>
      </w:r>
    </w:p>
    <w:p w14:paraId="15945156" w14:textId="77777777" w:rsidR="0080267B" w:rsidRPr="0080267B" w:rsidRDefault="0080267B" w:rsidP="0080267B">
      <w:pPr>
        <w:numPr>
          <w:ilvl w:val="0"/>
          <w:numId w:val="73"/>
        </w:numPr>
      </w:pPr>
      <w:r w:rsidRPr="0080267B">
        <w:rPr>
          <w:b/>
          <w:bCs/>
        </w:rPr>
        <w:t>timestamp_utc</w:t>
      </w:r>
      <w:r w:rsidRPr="0080267B">
        <w:t>: ISO</w:t>
      </w:r>
      <w:r w:rsidRPr="0080267B">
        <w:noBreakHyphen/>
        <w:t>8601 (e.g., 2026-02-09T14:03:10Z).</w:t>
      </w:r>
    </w:p>
    <w:p w14:paraId="760117CC" w14:textId="77777777" w:rsidR="0080267B" w:rsidRPr="0080267B" w:rsidRDefault="0080267B" w:rsidP="0080267B">
      <w:r w:rsidRPr="0080267B">
        <w:lastRenderedPageBreak/>
        <w:pict w14:anchorId="113AC987">
          <v:rect id="_x0000_i1080" style="width:0;height:1.5pt" o:hralign="center" o:hrstd="t" o:hr="t" fillcolor="#a0a0a0" stroked="f"/>
        </w:pict>
      </w:r>
    </w:p>
    <w:p w14:paraId="22FAD8DC" w14:textId="77777777" w:rsidR="0080267B" w:rsidRPr="0080267B" w:rsidRDefault="0080267B" w:rsidP="0080267B">
      <w:pPr>
        <w:rPr>
          <w:b/>
          <w:bCs/>
        </w:rPr>
      </w:pPr>
      <w:r w:rsidRPr="0080267B">
        <w:rPr>
          <w:b/>
          <w:bCs/>
        </w:rPr>
        <w:t>Auditable rules (exact thresholds)</w:t>
      </w:r>
    </w:p>
    <w:p w14:paraId="0C5E2B32" w14:textId="77777777" w:rsidR="0080267B" w:rsidRPr="0080267B" w:rsidRDefault="0080267B" w:rsidP="0080267B">
      <w:pPr>
        <w:numPr>
          <w:ilvl w:val="0"/>
          <w:numId w:val="74"/>
        </w:numPr>
      </w:pPr>
      <w:r w:rsidRPr="0080267B">
        <w:t>Compute:</w:t>
      </w:r>
    </w:p>
    <w:p w14:paraId="13ABC448" w14:textId="77777777" w:rsidR="0080267B" w:rsidRPr="0080267B" w:rsidRDefault="0080267B" w:rsidP="0080267B">
      <w:pPr>
        <w:numPr>
          <w:ilvl w:val="1"/>
          <w:numId w:val="74"/>
        </w:numPr>
      </w:pPr>
      <w:r w:rsidRPr="0080267B">
        <w:t>term_slope = next_month_atm_iv − front_week_atm_iv</w:t>
      </w:r>
    </w:p>
    <w:p w14:paraId="3F95AA97" w14:textId="77777777" w:rsidR="0080267B" w:rsidRPr="0080267B" w:rsidRDefault="0080267B" w:rsidP="0080267B">
      <w:pPr>
        <w:numPr>
          <w:ilvl w:val="1"/>
          <w:numId w:val="74"/>
        </w:numPr>
      </w:pPr>
      <w:r w:rsidRPr="0080267B">
        <w:t>front_vs_next = front_week_atm_iv − next_month_atm_iv</w:t>
      </w:r>
    </w:p>
    <w:p w14:paraId="6BBE31AD" w14:textId="77777777" w:rsidR="0080267B" w:rsidRPr="0080267B" w:rsidRDefault="0080267B" w:rsidP="0080267B">
      <w:pPr>
        <w:numPr>
          <w:ilvl w:val="1"/>
          <w:numId w:val="74"/>
        </w:numPr>
      </w:pPr>
      <w:r w:rsidRPr="0080267B">
        <w:t>wow_delta_front_week = Δ over 7 days</w:t>
      </w:r>
    </w:p>
    <w:p w14:paraId="7A84BD58" w14:textId="77777777" w:rsidR="0080267B" w:rsidRPr="0080267B" w:rsidRDefault="0080267B" w:rsidP="0080267B">
      <w:pPr>
        <w:numPr>
          <w:ilvl w:val="0"/>
          <w:numId w:val="74"/>
        </w:numPr>
      </w:pPr>
      <w:r w:rsidRPr="0080267B">
        <w:rPr>
          <w:b/>
          <w:bCs/>
        </w:rPr>
        <w:t>Flag “priced</w:t>
      </w:r>
      <w:r w:rsidRPr="0080267B">
        <w:rPr>
          <w:b/>
          <w:bCs/>
        </w:rPr>
        <w:noBreakHyphen/>
        <w:t>in”</w:t>
      </w:r>
      <w:r w:rsidRPr="0080267B">
        <w:t xml:space="preserve"> when:</w:t>
      </w:r>
    </w:p>
    <w:p w14:paraId="5160D0C7" w14:textId="77777777" w:rsidR="0080267B" w:rsidRPr="0080267B" w:rsidRDefault="0080267B" w:rsidP="0080267B">
      <w:pPr>
        <w:numPr>
          <w:ilvl w:val="1"/>
          <w:numId w:val="74"/>
        </w:numPr>
      </w:pPr>
      <w:r w:rsidRPr="0080267B">
        <w:t xml:space="preserve">term_slope ≤ 0 (flattening/inversion) </w:t>
      </w:r>
      <w:r w:rsidRPr="0080267B">
        <w:rPr>
          <w:b/>
          <w:bCs/>
        </w:rPr>
        <w:t>AND</w:t>
      </w:r>
      <w:r w:rsidRPr="0080267B">
        <w:t xml:space="preserve"> front_vs_next ≥ 5 vol</w:t>
      </w:r>
      <w:r w:rsidRPr="0080267B">
        <w:noBreakHyphen/>
        <w:t xml:space="preserve">pts, </w:t>
      </w:r>
      <w:r w:rsidRPr="0080267B">
        <w:rPr>
          <w:b/>
          <w:bCs/>
        </w:rPr>
        <w:t>OR</w:t>
      </w:r>
    </w:p>
    <w:p w14:paraId="0A364D38" w14:textId="77777777" w:rsidR="0080267B" w:rsidRPr="0080267B" w:rsidRDefault="0080267B" w:rsidP="0080267B">
      <w:pPr>
        <w:numPr>
          <w:ilvl w:val="1"/>
          <w:numId w:val="74"/>
        </w:numPr>
      </w:pPr>
      <w:r w:rsidRPr="0080267B">
        <w:t>|wow_delta_front_week| ≥ 7 vol</w:t>
      </w:r>
      <w:r w:rsidRPr="0080267B">
        <w:noBreakHyphen/>
        <w:t>pts.</w:t>
      </w:r>
    </w:p>
    <w:p w14:paraId="603D1889" w14:textId="77777777" w:rsidR="0080267B" w:rsidRPr="0080267B" w:rsidRDefault="0080267B" w:rsidP="0080267B">
      <w:r w:rsidRPr="0080267B">
        <w:t>Add a compact flags string, e.g., priced_in;inverted_curve or wow_spike.</w:t>
      </w:r>
    </w:p>
    <w:p w14:paraId="22E32CA4" w14:textId="77777777" w:rsidR="0080267B" w:rsidRPr="0080267B" w:rsidRDefault="0080267B" w:rsidP="0080267B">
      <w:r w:rsidRPr="0080267B">
        <w:pict w14:anchorId="1751ED9A">
          <v:rect id="_x0000_i1081" style="width:0;height:1.5pt" o:hralign="center" o:hrstd="t" o:hr="t" fillcolor="#a0a0a0" stroked="f"/>
        </w:pict>
      </w:r>
    </w:p>
    <w:p w14:paraId="00346680" w14:textId="77777777" w:rsidR="0080267B" w:rsidRPr="0080267B" w:rsidRDefault="0080267B" w:rsidP="0080267B">
      <w:pPr>
        <w:rPr>
          <w:b/>
          <w:bCs/>
        </w:rPr>
      </w:pPr>
      <w:r w:rsidRPr="0080267B">
        <w:rPr>
          <w:b/>
          <w:bCs/>
        </w:rPr>
        <w:t>Practical notes (so it doesn’t break)</w:t>
      </w:r>
    </w:p>
    <w:p w14:paraId="754CE495" w14:textId="77777777" w:rsidR="0080267B" w:rsidRPr="0080267B" w:rsidRDefault="0080267B" w:rsidP="0080267B">
      <w:pPr>
        <w:numPr>
          <w:ilvl w:val="0"/>
          <w:numId w:val="75"/>
        </w:numPr>
      </w:pPr>
      <w:r w:rsidRPr="0080267B">
        <w:rPr>
          <w:b/>
          <w:bCs/>
        </w:rPr>
        <w:t>Front</w:t>
      </w:r>
      <w:r w:rsidRPr="0080267B">
        <w:rPr>
          <w:b/>
          <w:bCs/>
        </w:rPr>
        <w:noBreakHyphen/>
        <w:t>week = ATM</w:t>
      </w:r>
      <w:r w:rsidRPr="0080267B">
        <w:rPr>
          <w:b/>
          <w:bCs/>
        </w:rPr>
        <w:noBreakHyphen/>
        <w:t>aligned</w:t>
      </w:r>
      <w:r w:rsidRPr="0080267B">
        <w:t>: take mid between nearest put/call IV at closest strike to spot; linear interpolate if spot sits between strikes.</w:t>
      </w:r>
    </w:p>
    <w:p w14:paraId="21EA2F27" w14:textId="77777777" w:rsidR="0080267B" w:rsidRPr="0080267B" w:rsidRDefault="0080267B" w:rsidP="0080267B">
      <w:pPr>
        <w:numPr>
          <w:ilvl w:val="0"/>
          <w:numId w:val="75"/>
        </w:numPr>
      </w:pPr>
      <w:r w:rsidRPr="0080267B">
        <w:rPr>
          <w:b/>
          <w:bCs/>
        </w:rPr>
        <w:t>Week</w:t>
      </w:r>
      <w:r w:rsidRPr="0080267B">
        <w:rPr>
          <w:b/>
          <w:bCs/>
        </w:rPr>
        <w:noBreakHyphen/>
        <w:t>over</w:t>
      </w:r>
      <w:r w:rsidRPr="0080267B">
        <w:rPr>
          <w:b/>
          <w:bCs/>
        </w:rPr>
        <w:noBreakHyphen/>
        <w:t>week</w:t>
      </w:r>
      <w:r w:rsidRPr="0080267B">
        <w:t>: build a once</w:t>
      </w:r>
      <w:r w:rsidRPr="0080267B">
        <w:noBreakHyphen/>
        <w:t xml:space="preserve">daily snapshot (same time each day) for 7+ days. Prefer vendor </w:t>
      </w:r>
      <w:r w:rsidRPr="0080267B">
        <w:rPr>
          <w:b/>
          <w:bCs/>
        </w:rPr>
        <w:t>CSV/API</w:t>
      </w:r>
      <w:r w:rsidRPr="0080267B">
        <w:t xml:space="preserve"> outputs for numeric stability and reproducibility.</w:t>
      </w:r>
    </w:p>
    <w:p w14:paraId="301FB92B" w14:textId="77777777" w:rsidR="0080267B" w:rsidRPr="0080267B" w:rsidRDefault="0080267B" w:rsidP="0080267B">
      <w:pPr>
        <w:numPr>
          <w:ilvl w:val="0"/>
          <w:numId w:val="75"/>
        </w:numPr>
      </w:pPr>
      <w:r w:rsidRPr="0080267B">
        <w:rPr>
          <w:b/>
          <w:bCs/>
        </w:rPr>
        <w:t>Event coverage</w:t>
      </w:r>
      <w:r w:rsidRPr="0080267B">
        <w:t>: confirm the front</w:t>
      </w:r>
      <w:r w:rsidRPr="0080267B">
        <w:noBreakHyphen/>
        <w:t>week expiry actually spans the catalyst date; if not, roll forward to the first weekly that does.</w:t>
      </w:r>
    </w:p>
    <w:p w14:paraId="4C0F83D5" w14:textId="77777777" w:rsidR="0080267B" w:rsidRPr="0080267B" w:rsidRDefault="0080267B" w:rsidP="0080267B">
      <w:pPr>
        <w:numPr>
          <w:ilvl w:val="0"/>
          <w:numId w:val="75"/>
        </w:numPr>
      </w:pPr>
      <w:r w:rsidRPr="0080267B">
        <w:rPr>
          <w:b/>
          <w:bCs/>
        </w:rPr>
        <w:t>Persist everything</w:t>
      </w:r>
      <w:r w:rsidRPr="0080267B">
        <w:t xml:space="preserve">: save raw vendor HTML/CSV </w:t>
      </w:r>
      <w:r w:rsidRPr="0080267B">
        <w:rPr>
          <w:b/>
          <w:bCs/>
        </w:rPr>
        <w:t>and</w:t>
      </w:r>
      <w:r w:rsidRPr="0080267B">
        <w:t xml:space="preserve"> your computed row to an append</w:t>
      </w:r>
      <w:r w:rsidRPr="0080267B">
        <w:noBreakHyphen/>
        <w:t>only table.</w:t>
      </w:r>
    </w:p>
    <w:p w14:paraId="0A415AB9" w14:textId="77777777" w:rsidR="0080267B" w:rsidRPr="0080267B" w:rsidRDefault="0080267B" w:rsidP="0080267B">
      <w:r w:rsidRPr="0080267B">
        <w:pict w14:anchorId="3D14F135">
          <v:rect id="_x0000_i1082" style="width:0;height:1.5pt" o:hralign="center" o:hrstd="t" o:hr="t" fillcolor="#a0a0a0" stroked="f"/>
        </w:pict>
      </w:r>
    </w:p>
    <w:p w14:paraId="0842249B" w14:textId="77777777" w:rsidR="0080267B" w:rsidRPr="0080267B" w:rsidRDefault="0080267B" w:rsidP="0080267B">
      <w:pPr>
        <w:rPr>
          <w:b/>
          <w:bCs/>
        </w:rPr>
      </w:pPr>
      <w:r w:rsidRPr="0080267B">
        <w:rPr>
          <w:b/>
          <w:bCs/>
        </w:rPr>
        <w:t>Minimal workflow (repeatable daily)</w:t>
      </w:r>
    </w:p>
    <w:p w14:paraId="6C830707" w14:textId="77777777" w:rsidR="0080267B" w:rsidRPr="0080267B" w:rsidRDefault="0080267B" w:rsidP="0080267B">
      <w:pPr>
        <w:numPr>
          <w:ilvl w:val="0"/>
          <w:numId w:val="76"/>
        </w:numPr>
      </w:pPr>
      <w:r w:rsidRPr="0080267B">
        <w:t>For each catalyst ticker, find the weekly expiry that covers the event; pick next</w:t>
      </w:r>
      <w:r w:rsidRPr="0080267B">
        <w:noBreakHyphen/>
        <w:t>month monthly.</w:t>
      </w:r>
    </w:p>
    <w:p w14:paraId="79B184A3" w14:textId="77777777" w:rsidR="0080267B" w:rsidRPr="0080267B" w:rsidRDefault="0080267B" w:rsidP="0080267B">
      <w:pPr>
        <w:numPr>
          <w:ilvl w:val="0"/>
          <w:numId w:val="76"/>
        </w:numPr>
      </w:pPr>
      <w:r w:rsidRPr="0080267B">
        <w:t>Pull ATM IV for both (interpolate if needed), IV30/60/90, and 25Δ call/put IVs.</w:t>
      </w:r>
    </w:p>
    <w:p w14:paraId="2A3A4D0A" w14:textId="77777777" w:rsidR="0080267B" w:rsidRPr="0080267B" w:rsidRDefault="0080267B" w:rsidP="0080267B">
      <w:pPr>
        <w:numPr>
          <w:ilvl w:val="0"/>
          <w:numId w:val="76"/>
        </w:numPr>
      </w:pPr>
      <w:r w:rsidRPr="0080267B">
        <w:t>Stamp timestamp_utc and write raw sources (HTML/CSV) + computed row.</w:t>
      </w:r>
    </w:p>
    <w:p w14:paraId="19AA3ACC" w14:textId="77777777" w:rsidR="0080267B" w:rsidRPr="0080267B" w:rsidRDefault="0080267B" w:rsidP="0080267B">
      <w:pPr>
        <w:numPr>
          <w:ilvl w:val="0"/>
          <w:numId w:val="76"/>
        </w:numPr>
      </w:pPr>
      <w:r w:rsidRPr="0080267B">
        <w:t>Recompute WoW deltas once you have 7 daily rows.</w:t>
      </w:r>
    </w:p>
    <w:p w14:paraId="329E667F" w14:textId="77777777" w:rsidR="0080267B" w:rsidRPr="0080267B" w:rsidRDefault="0080267B" w:rsidP="0080267B">
      <w:pPr>
        <w:numPr>
          <w:ilvl w:val="0"/>
          <w:numId w:val="76"/>
        </w:numPr>
      </w:pPr>
      <w:r w:rsidRPr="0080267B">
        <w:lastRenderedPageBreak/>
        <w:t>Emit flags; store.</w:t>
      </w:r>
    </w:p>
    <w:p w14:paraId="01CEED6F" w14:textId="77777777" w:rsidR="0080267B" w:rsidRPr="0080267B" w:rsidRDefault="0080267B" w:rsidP="0080267B">
      <w:r w:rsidRPr="0080267B">
        <w:pict w14:anchorId="677643EF">
          <v:rect id="_x0000_i1083" style="width:0;height:1.5pt" o:hralign="center" o:hrstd="t" o:hr="t" fillcolor="#a0a0a0" stroked="f"/>
        </w:pict>
      </w:r>
    </w:p>
    <w:p w14:paraId="7A775FE3" w14:textId="77777777" w:rsidR="0080267B" w:rsidRPr="0080267B" w:rsidRDefault="0080267B" w:rsidP="0080267B">
      <w:pPr>
        <w:rPr>
          <w:b/>
          <w:bCs/>
        </w:rPr>
      </w:pPr>
      <w:r w:rsidRPr="0080267B">
        <w:rPr>
          <w:b/>
          <w:bCs/>
        </w:rPr>
        <w:t>Lightweight pseudocode (Python-ish)</w:t>
      </w:r>
    </w:p>
    <w:p w14:paraId="50A679E2" w14:textId="77777777" w:rsidR="0080267B" w:rsidRPr="0080267B" w:rsidRDefault="0080267B" w:rsidP="0080267B">
      <w:r w:rsidRPr="0080267B">
        <w:t>from datetime import datetime, timezone</w:t>
      </w:r>
    </w:p>
    <w:p w14:paraId="1D9EAB98" w14:textId="77777777" w:rsidR="0080267B" w:rsidRPr="0080267B" w:rsidRDefault="0080267B" w:rsidP="0080267B">
      <w:r w:rsidRPr="0080267B">
        <w:t>from decimal import Decimal</w:t>
      </w:r>
    </w:p>
    <w:p w14:paraId="6B29AD8C" w14:textId="77777777" w:rsidR="0080267B" w:rsidRPr="0080267B" w:rsidRDefault="0080267B" w:rsidP="0080267B"/>
    <w:p w14:paraId="38F3D111" w14:textId="77777777" w:rsidR="0080267B" w:rsidRPr="0080267B" w:rsidRDefault="0080267B" w:rsidP="0080267B">
      <w:r w:rsidRPr="0080267B">
        <w:t>def iso_now_utc():</w:t>
      </w:r>
    </w:p>
    <w:p w14:paraId="7CA840BB" w14:textId="77777777" w:rsidR="0080267B" w:rsidRPr="0080267B" w:rsidRDefault="0080267B" w:rsidP="0080267B">
      <w:r w:rsidRPr="0080267B">
        <w:t xml:space="preserve">    return datetime.now(timezone.utc).isoformat().replace("+00:00","Z")</w:t>
      </w:r>
    </w:p>
    <w:p w14:paraId="5DC831AE" w14:textId="77777777" w:rsidR="0080267B" w:rsidRPr="0080267B" w:rsidRDefault="0080267B" w:rsidP="0080267B"/>
    <w:p w14:paraId="6426C1D7" w14:textId="77777777" w:rsidR="0080267B" w:rsidRPr="0080267B" w:rsidRDefault="0080267B" w:rsidP="0080267B">
      <w:r w:rsidRPr="0080267B">
        <w:t>def compute_row(ticker, fw_exp, nm_exp, fw_atm, nm_atm, iv30, iv60, iv90, call25, put25, fw_atm_prior_week):</w:t>
      </w:r>
    </w:p>
    <w:p w14:paraId="3DE748F2" w14:textId="77777777" w:rsidR="0080267B" w:rsidRPr="0080267B" w:rsidRDefault="0080267B" w:rsidP="0080267B">
      <w:r w:rsidRPr="0080267B">
        <w:t xml:space="preserve">    term_slope = Decimal(nm_atm) - Decimal(fw_atm)</w:t>
      </w:r>
    </w:p>
    <w:p w14:paraId="6CE63EB5" w14:textId="77777777" w:rsidR="0080267B" w:rsidRPr="0080267B" w:rsidRDefault="0080267B" w:rsidP="0080267B">
      <w:r w:rsidRPr="0080267B">
        <w:t xml:space="preserve">    front_vs_next = Decimal(fw_atm) - Decimal(nm_atm)</w:t>
      </w:r>
    </w:p>
    <w:p w14:paraId="58009AF1" w14:textId="77777777" w:rsidR="0080267B" w:rsidRPr="0080267B" w:rsidRDefault="0080267B" w:rsidP="0080267B">
      <w:r w:rsidRPr="0080267B">
        <w:t xml:space="preserve">    wow_delta = None if fw_atm_prior_week is None else Decimal(fw_atm) - Decimal(fw_atm_prior_week)</w:t>
      </w:r>
    </w:p>
    <w:p w14:paraId="2A44ECB0" w14:textId="77777777" w:rsidR="0080267B" w:rsidRPr="0080267B" w:rsidRDefault="0080267B" w:rsidP="0080267B">
      <w:r w:rsidRPr="0080267B">
        <w:t xml:space="preserve">    flags = []</w:t>
      </w:r>
    </w:p>
    <w:p w14:paraId="3138ED50" w14:textId="77777777" w:rsidR="0080267B" w:rsidRPr="0080267B" w:rsidRDefault="0080267B" w:rsidP="0080267B">
      <w:r w:rsidRPr="0080267B">
        <w:t xml:space="preserve">    if term_slope &lt;= 0 and front_vs_next &gt;= 5:</w:t>
      </w:r>
    </w:p>
    <w:p w14:paraId="6FF4D393" w14:textId="77777777" w:rsidR="0080267B" w:rsidRPr="0080267B" w:rsidRDefault="0080267B" w:rsidP="0080267B">
      <w:r w:rsidRPr="0080267B">
        <w:t xml:space="preserve">        flags.append("priced_in")</w:t>
      </w:r>
    </w:p>
    <w:p w14:paraId="1E65B37A" w14:textId="77777777" w:rsidR="0080267B" w:rsidRPr="0080267B" w:rsidRDefault="0080267B" w:rsidP="0080267B">
      <w:r w:rsidRPr="0080267B">
        <w:t xml:space="preserve">        flags.append("inverted_curve")</w:t>
      </w:r>
    </w:p>
    <w:p w14:paraId="3EA31993" w14:textId="77777777" w:rsidR="0080267B" w:rsidRPr="0080267B" w:rsidRDefault="0080267B" w:rsidP="0080267B">
      <w:r w:rsidRPr="0080267B">
        <w:t xml:space="preserve">    if wow_delta is not None and abs(wow_delta) &gt;= 7:</w:t>
      </w:r>
    </w:p>
    <w:p w14:paraId="1218F678" w14:textId="77777777" w:rsidR="0080267B" w:rsidRPr="0080267B" w:rsidRDefault="0080267B" w:rsidP="0080267B">
      <w:r w:rsidRPr="0080267B">
        <w:t xml:space="preserve">        flags.append("priced_in")</w:t>
      </w:r>
    </w:p>
    <w:p w14:paraId="62B419CE" w14:textId="77777777" w:rsidR="0080267B" w:rsidRPr="0080267B" w:rsidRDefault="0080267B" w:rsidP="0080267B">
      <w:r w:rsidRPr="0080267B">
        <w:t xml:space="preserve">        flags.append("wow_spike")</w:t>
      </w:r>
    </w:p>
    <w:p w14:paraId="324EE73A" w14:textId="77777777" w:rsidR="0080267B" w:rsidRPr="0080267B" w:rsidRDefault="0080267B" w:rsidP="0080267B">
      <w:r w:rsidRPr="0080267B">
        <w:t xml:space="preserve">    skew_25d = Decimal(call25) - Decimal(put25)</w:t>
      </w:r>
    </w:p>
    <w:p w14:paraId="18096B6C" w14:textId="77777777" w:rsidR="0080267B" w:rsidRPr="0080267B" w:rsidRDefault="0080267B" w:rsidP="0080267B">
      <w:r w:rsidRPr="0080267B">
        <w:t xml:space="preserve">    return {</w:t>
      </w:r>
    </w:p>
    <w:p w14:paraId="3C6ACF6C" w14:textId="77777777" w:rsidR="0080267B" w:rsidRPr="0080267B" w:rsidRDefault="0080267B" w:rsidP="0080267B">
      <w:r w:rsidRPr="0080267B">
        <w:t xml:space="preserve">        "timestamp_utc": iso_now_utc(),</w:t>
      </w:r>
    </w:p>
    <w:p w14:paraId="68A43D1F" w14:textId="77777777" w:rsidR="0080267B" w:rsidRPr="0080267B" w:rsidRDefault="0080267B" w:rsidP="0080267B">
      <w:r w:rsidRPr="0080267B">
        <w:t xml:space="preserve">        "ticker": ticker,</w:t>
      </w:r>
    </w:p>
    <w:p w14:paraId="7FC9B4C3" w14:textId="77777777" w:rsidR="0080267B" w:rsidRPr="0080267B" w:rsidRDefault="0080267B" w:rsidP="0080267B">
      <w:r w:rsidRPr="0080267B">
        <w:t xml:space="preserve">        "front_week_expiry": fw_exp,</w:t>
      </w:r>
    </w:p>
    <w:p w14:paraId="78288942" w14:textId="77777777" w:rsidR="0080267B" w:rsidRPr="0080267B" w:rsidRDefault="0080267B" w:rsidP="0080267B">
      <w:r w:rsidRPr="0080267B">
        <w:lastRenderedPageBreak/>
        <w:t xml:space="preserve">        "next_month_expiry": nm_exp,</w:t>
      </w:r>
    </w:p>
    <w:p w14:paraId="4626A2E3" w14:textId="77777777" w:rsidR="0080267B" w:rsidRPr="0080267B" w:rsidRDefault="0080267B" w:rsidP="0080267B">
      <w:r w:rsidRPr="0080267B">
        <w:t xml:space="preserve">        "front_week_atm_iv": float(fw_atm),</w:t>
      </w:r>
    </w:p>
    <w:p w14:paraId="5343A652" w14:textId="77777777" w:rsidR="0080267B" w:rsidRPr="0080267B" w:rsidRDefault="0080267B" w:rsidP="0080267B">
      <w:r w:rsidRPr="0080267B">
        <w:t xml:space="preserve">        "next_month_atm_iv": float(nm_atm),</w:t>
      </w:r>
    </w:p>
    <w:p w14:paraId="6550790B" w14:textId="77777777" w:rsidR="0080267B" w:rsidRPr="0080267B" w:rsidRDefault="0080267B" w:rsidP="0080267B">
      <w:r w:rsidRPr="0080267B">
        <w:t xml:space="preserve">        "iv30": float(iv30), "iv60": float(iv60), "iv90": float(iv90),</w:t>
      </w:r>
    </w:p>
    <w:p w14:paraId="5B40925B" w14:textId="77777777" w:rsidR="0080267B" w:rsidRPr="0080267B" w:rsidRDefault="0080267B" w:rsidP="0080267B">
      <w:r w:rsidRPr="0080267B">
        <w:t xml:space="preserve">        "skew_25d": float(skew_25d),</w:t>
      </w:r>
    </w:p>
    <w:p w14:paraId="573B9475" w14:textId="77777777" w:rsidR="0080267B" w:rsidRPr="0080267B" w:rsidRDefault="0080267B" w:rsidP="0080267B">
      <w:r w:rsidRPr="0080267B">
        <w:t xml:space="preserve">        "term_slope": float(term_slope),</w:t>
      </w:r>
    </w:p>
    <w:p w14:paraId="23BB3FD2" w14:textId="77777777" w:rsidR="0080267B" w:rsidRPr="0080267B" w:rsidRDefault="0080267B" w:rsidP="0080267B">
      <w:r w:rsidRPr="0080267B">
        <w:t xml:space="preserve">        "front_vs_next": float(front_vs_next),</w:t>
      </w:r>
    </w:p>
    <w:p w14:paraId="618C23AB" w14:textId="77777777" w:rsidR="0080267B" w:rsidRPr="0080267B" w:rsidRDefault="0080267B" w:rsidP="0080267B">
      <w:r w:rsidRPr="0080267B">
        <w:t xml:space="preserve">        "wow_delta_front_week": None if wow_delta is None else float(wow_delta),</w:t>
      </w:r>
    </w:p>
    <w:p w14:paraId="584142CB" w14:textId="77777777" w:rsidR="0080267B" w:rsidRPr="0080267B" w:rsidRDefault="0080267B" w:rsidP="0080267B">
      <w:r w:rsidRPr="0080267B">
        <w:t xml:space="preserve">        "flags": ";".join(sorted(set(flags)))</w:t>
      </w:r>
    </w:p>
    <w:p w14:paraId="5AAC4042" w14:textId="77777777" w:rsidR="0080267B" w:rsidRPr="0080267B" w:rsidRDefault="0080267B" w:rsidP="0080267B">
      <w:r w:rsidRPr="0080267B">
        <w:t xml:space="preserve">    }</w:t>
      </w:r>
    </w:p>
    <w:p w14:paraId="1D2A0E01" w14:textId="77777777" w:rsidR="0080267B" w:rsidRPr="0080267B" w:rsidRDefault="0080267B" w:rsidP="0080267B">
      <w:r w:rsidRPr="0080267B">
        <w:pict w14:anchorId="3F19252E">
          <v:rect id="_x0000_i1084" style="width:0;height:1.5pt" o:hralign="center" o:hrstd="t" o:hr="t" fillcolor="#a0a0a0" stroked="f"/>
        </w:pict>
      </w:r>
    </w:p>
    <w:p w14:paraId="7167F0A9" w14:textId="77777777" w:rsidR="0080267B" w:rsidRPr="0080267B" w:rsidRDefault="0080267B" w:rsidP="0080267B">
      <w:pPr>
        <w:rPr>
          <w:b/>
          <w:bCs/>
        </w:rPr>
      </w:pPr>
      <w:r w:rsidRPr="0080267B">
        <w:rPr>
          <w:b/>
          <w:bCs/>
        </w:rPr>
        <w:t>Storage &amp; audit (simple, reliable)</w:t>
      </w:r>
    </w:p>
    <w:p w14:paraId="3B887B5B" w14:textId="77777777" w:rsidR="0080267B" w:rsidRPr="0080267B" w:rsidRDefault="0080267B" w:rsidP="0080267B">
      <w:pPr>
        <w:numPr>
          <w:ilvl w:val="0"/>
          <w:numId w:val="77"/>
        </w:numPr>
      </w:pPr>
      <w:r w:rsidRPr="0080267B">
        <w:rPr>
          <w:b/>
          <w:bCs/>
        </w:rPr>
        <w:t>Append</w:t>
      </w:r>
      <w:r w:rsidRPr="0080267B">
        <w:rPr>
          <w:b/>
          <w:bCs/>
        </w:rPr>
        <w:noBreakHyphen/>
        <w:t>only CSV</w:t>
      </w:r>
      <w:r w:rsidRPr="0080267B">
        <w:t xml:space="preserve"> (easy diffable): odin_iv_snapshots.csv</w:t>
      </w:r>
    </w:p>
    <w:p w14:paraId="7DF1248D" w14:textId="77777777" w:rsidR="0080267B" w:rsidRPr="0080267B" w:rsidRDefault="0080267B" w:rsidP="0080267B">
      <w:pPr>
        <w:numPr>
          <w:ilvl w:val="0"/>
          <w:numId w:val="77"/>
        </w:numPr>
      </w:pPr>
      <w:r w:rsidRPr="0080267B">
        <w:rPr>
          <w:b/>
          <w:bCs/>
        </w:rPr>
        <w:t>Raw dumps</w:t>
      </w:r>
      <w:r w:rsidRPr="0080267B">
        <w:t>: raw/&lt;ticker&gt;/&lt;timestamp_utc&gt;_marketchameleon.html, _barchart.html, _optioncharts.csv</w:t>
      </w:r>
    </w:p>
    <w:p w14:paraId="271434E7" w14:textId="77777777" w:rsidR="0080267B" w:rsidRPr="0080267B" w:rsidRDefault="0080267B" w:rsidP="0080267B">
      <w:pPr>
        <w:numPr>
          <w:ilvl w:val="0"/>
          <w:numId w:val="77"/>
        </w:numPr>
      </w:pPr>
      <w:r w:rsidRPr="0080267B">
        <w:t>Keep a small MANIFEST.json alongside each raw dump noting the exact URLs, retrieval times, and parse success.</w:t>
      </w:r>
    </w:p>
    <w:p w14:paraId="4D3E492D" w14:textId="77777777" w:rsidR="0080267B" w:rsidRPr="0080267B" w:rsidRDefault="0080267B" w:rsidP="0080267B">
      <w:r w:rsidRPr="0080267B">
        <w:pict w14:anchorId="42B42B21">
          <v:rect id="_x0000_i1085" style="width:0;height:1.5pt" o:hralign="center" o:hrstd="t" o:hr="t" fillcolor="#a0a0a0" stroked="f"/>
        </w:pict>
      </w:r>
    </w:p>
    <w:p w14:paraId="698A1338" w14:textId="77777777" w:rsidR="0080267B" w:rsidRPr="0080267B" w:rsidRDefault="0080267B" w:rsidP="0080267B">
      <w:pPr>
        <w:rPr>
          <w:b/>
          <w:bCs/>
        </w:rPr>
      </w:pPr>
      <w:r w:rsidRPr="0080267B">
        <w:rPr>
          <w:b/>
          <w:bCs/>
        </w:rPr>
        <w:t>Quick QA checklist (per row)</w:t>
      </w:r>
    </w:p>
    <w:p w14:paraId="71103D4F" w14:textId="77777777" w:rsidR="0080267B" w:rsidRPr="0080267B" w:rsidRDefault="0080267B" w:rsidP="0080267B">
      <w:pPr>
        <w:numPr>
          <w:ilvl w:val="0"/>
          <w:numId w:val="78"/>
        </w:numPr>
      </w:pPr>
      <w:r w:rsidRPr="0080267B">
        <w:t>Spot vs ATM strike proximity checked; interpolation documented.</w:t>
      </w:r>
    </w:p>
    <w:p w14:paraId="170CE41B" w14:textId="77777777" w:rsidR="0080267B" w:rsidRPr="0080267B" w:rsidRDefault="0080267B" w:rsidP="0080267B">
      <w:pPr>
        <w:numPr>
          <w:ilvl w:val="0"/>
          <w:numId w:val="78"/>
        </w:numPr>
      </w:pPr>
      <w:r w:rsidRPr="0080267B">
        <w:t>Front</w:t>
      </w:r>
      <w:r w:rsidRPr="0080267B">
        <w:noBreakHyphen/>
        <w:t>week expiry really covers event date.</w:t>
      </w:r>
    </w:p>
    <w:p w14:paraId="6497A291" w14:textId="77777777" w:rsidR="0080267B" w:rsidRPr="0080267B" w:rsidRDefault="0080267B" w:rsidP="0080267B">
      <w:pPr>
        <w:numPr>
          <w:ilvl w:val="0"/>
          <w:numId w:val="78"/>
        </w:numPr>
      </w:pPr>
      <w:r w:rsidRPr="0080267B">
        <w:t xml:space="preserve">All IVs are </w:t>
      </w:r>
      <w:r w:rsidRPr="0080267B">
        <w:rPr>
          <w:b/>
          <w:bCs/>
        </w:rPr>
        <w:t>bid/ask</w:t>
      </w:r>
      <w:r w:rsidRPr="0080267B">
        <w:rPr>
          <w:b/>
          <w:bCs/>
        </w:rPr>
        <w:noBreakHyphen/>
        <w:t>mid</w:t>
      </w:r>
      <w:r w:rsidRPr="0080267B">
        <w:t xml:space="preserve"> (not last).</w:t>
      </w:r>
    </w:p>
    <w:p w14:paraId="28448ED0" w14:textId="77777777" w:rsidR="0080267B" w:rsidRPr="0080267B" w:rsidRDefault="0080267B" w:rsidP="0080267B">
      <w:pPr>
        <w:numPr>
          <w:ilvl w:val="0"/>
          <w:numId w:val="78"/>
        </w:numPr>
      </w:pPr>
      <w:r w:rsidRPr="0080267B">
        <w:t>Timestamps are UTC ISO</w:t>
      </w:r>
      <w:r w:rsidRPr="0080267B">
        <w:noBreakHyphen/>
        <w:t>8601.</w:t>
      </w:r>
    </w:p>
    <w:p w14:paraId="692777E2" w14:textId="77777777" w:rsidR="0080267B" w:rsidRPr="0080267B" w:rsidRDefault="0080267B" w:rsidP="0080267B">
      <w:pPr>
        <w:numPr>
          <w:ilvl w:val="0"/>
          <w:numId w:val="78"/>
        </w:numPr>
      </w:pPr>
      <w:r w:rsidRPr="0080267B">
        <w:t>Flags reflect rules verbatim.</w:t>
      </w:r>
    </w:p>
    <w:p w14:paraId="2A2F0D64" w14:textId="77777777" w:rsidR="0080267B" w:rsidRPr="0080267B" w:rsidRDefault="0080267B" w:rsidP="0080267B">
      <w:r w:rsidRPr="0080267B">
        <w:pict w14:anchorId="14E76D87">
          <v:rect id="_x0000_i1086" style="width:0;height:1.5pt" o:hralign="center" o:hrstd="t" o:hr="t" fillcolor="#a0a0a0" stroked="f"/>
        </w:pict>
      </w:r>
    </w:p>
    <w:p w14:paraId="6A218B91" w14:textId="77777777" w:rsidR="0080267B" w:rsidRPr="0080267B" w:rsidRDefault="0080267B" w:rsidP="0080267B">
      <w:pPr>
        <w:rPr>
          <w:b/>
          <w:bCs/>
        </w:rPr>
      </w:pPr>
      <w:r w:rsidRPr="0080267B">
        <w:rPr>
          <w:b/>
          <w:bCs/>
        </w:rPr>
        <w:t>Where this plugs into ODIN</w:t>
      </w:r>
    </w:p>
    <w:p w14:paraId="23F43C81" w14:textId="77777777" w:rsidR="0080267B" w:rsidRPr="0080267B" w:rsidRDefault="0080267B" w:rsidP="0080267B">
      <w:pPr>
        <w:numPr>
          <w:ilvl w:val="0"/>
          <w:numId w:val="79"/>
        </w:numPr>
      </w:pPr>
      <w:r w:rsidRPr="0080267B">
        <w:t>Use this as the “Event</w:t>
      </w:r>
      <w:r w:rsidRPr="0080267B">
        <w:noBreakHyphen/>
        <w:t xml:space="preserve">IV Lens” feeding your </w:t>
      </w:r>
      <w:r w:rsidRPr="0080267B">
        <w:rPr>
          <w:b/>
          <w:bCs/>
        </w:rPr>
        <w:t>run</w:t>
      </w:r>
      <w:r w:rsidRPr="0080267B">
        <w:rPr>
          <w:b/>
          <w:bCs/>
        </w:rPr>
        <w:noBreakHyphen/>
        <w:t>up</w:t>
      </w:r>
      <w:r w:rsidRPr="0080267B">
        <w:t xml:space="preserve"> and </w:t>
      </w:r>
      <w:r w:rsidRPr="0080267B">
        <w:rPr>
          <w:b/>
          <w:bCs/>
        </w:rPr>
        <w:t>post</w:t>
      </w:r>
      <w:r w:rsidRPr="0080267B">
        <w:rPr>
          <w:b/>
          <w:bCs/>
        </w:rPr>
        <w:noBreakHyphen/>
        <w:t>event crush</w:t>
      </w:r>
      <w:r w:rsidRPr="0080267B">
        <w:t xml:space="preserve"> modules.</w:t>
      </w:r>
    </w:p>
    <w:p w14:paraId="6BC1D9E2" w14:textId="77777777" w:rsidR="0080267B" w:rsidRPr="0080267B" w:rsidRDefault="0080267B" w:rsidP="0080267B">
      <w:pPr>
        <w:numPr>
          <w:ilvl w:val="0"/>
          <w:numId w:val="79"/>
        </w:numPr>
      </w:pPr>
      <w:r w:rsidRPr="0080267B">
        <w:lastRenderedPageBreak/>
        <w:t xml:space="preserve">Export a slim </w:t>
      </w:r>
      <w:r w:rsidRPr="0080267B">
        <w:rPr>
          <w:b/>
          <w:bCs/>
        </w:rPr>
        <w:t>daily dashboard</w:t>
      </w:r>
      <w:r w:rsidRPr="0080267B">
        <w:t>: ticker, event date, front_week_atm_iv, front_vs_next, wow_delta_front_week, flags.</w:t>
      </w:r>
    </w:p>
    <w:p w14:paraId="06D095B6" w14:textId="77777777" w:rsidR="0080267B" w:rsidRPr="0080267B" w:rsidRDefault="0080267B" w:rsidP="0080267B">
      <w:pPr>
        <w:numPr>
          <w:ilvl w:val="0"/>
          <w:numId w:val="79"/>
        </w:numPr>
      </w:pPr>
      <w:r w:rsidRPr="0080267B">
        <w:t xml:space="preserve">When priced_in fires, surface to the </w:t>
      </w:r>
      <w:r w:rsidRPr="0080267B">
        <w:rPr>
          <w:b/>
          <w:bCs/>
        </w:rPr>
        <w:t>catalyst calendar</w:t>
      </w:r>
      <w:r w:rsidRPr="0080267B">
        <w:t xml:space="preserve"> (badge + tooltip with the computed fields).</w:t>
      </w:r>
    </w:p>
    <w:p w14:paraId="0B0C1C18" w14:textId="77777777" w:rsidR="0080267B" w:rsidRPr="0080267B" w:rsidRDefault="0080267B" w:rsidP="0080267B">
      <w:r w:rsidRPr="0080267B">
        <w:t>Want me to output a starter CSV schema and a tiny CLI that appends rows given vendor numbers you paste in? I can generate that now.</w:t>
      </w:r>
    </w:p>
    <w:p w14:paraId="464A10B0" w14:textId="77777777" w:rsidR="00C47E0A" w:rsidRDefault="00C47E0A"/>
    <w:sectPr w:rsidR="00C47E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4483"/>
    <w:multiLevelType w:val="multilevel"/>
    <w:tmpl w:val="51B020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55529"/>
    <w:multiLevelType w:val="multilevel"/>
    <w:tmpl w:val="7BE45E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419AB"/>
    <w:multiLevelType w:val="multilevel"/>
    <w:tmpl w:val="D7DE0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FB3F20"/>
    <w:multiLevelType w:val="multilevel"/>
    <w:tmpl w:val="E9E0D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801889"/>
    <w:multiLevelType w:val="multilevel"/>
    <w:tmpl w:val="10BA2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CA6833"/>
    <w:multiLevelType w:val="multilevel"/>
    <w:tmpl w:val="6A1C3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EE4C0F"/>
    <w:multiLevelType w:val="multilevel"/>
    <w:tmpl w:val="59E2A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F03801"/>
    <w:multiLevelType w:val="multilevel"/>
    <w:tmpl w:val="6562F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8418BD"/>
    <w:multiLevelType w:val="multilevel"/>
    <w:tmpl w:val="8EDC0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B20325"/>
    <w:multiLevelType w:val="multilevel"/>
    <w:tmpl w:val="B108F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784329"/>
    <w:multiLevelType w:val="multilevel"/>
    <w:tmpl w:val="639A7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F42CF3"/>
    <w:multiLevelType w:val="multilevel"/>
    <w:tmpl w:val="2F309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065758"/>
    <w:multiLevelType w:val="multilevel"/>
    <w:tmpl w:val="3B92D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1C5406"/>
    <w:multiLevelType w:val="multilevel"/>
    <w:tmpl w:val="79B0B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A85D35"/>
    <w:multiLevelType w:val="multilevel"/>
    <w:tmpl w:val="EF041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944B6D"/>
    <w:multiLevelType w:val="multilevel"/>
    <w:tmpl w:val="9AA06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7B93CE4"/>
    <w:multiLevelType w:val="multilevel"/>
    <w:tmpl w:val="710EB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3F709B"/>
    <w:multiLevelType w:val="multilevel"/>
    <w:tmpl w:val="58288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994D56"/>
    <w:multiLevelType w:val="multilevel"/>
    <w:tmpl w:val="4E8CB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CE548A"/>
    <w:multiLevelType w:val="multilevel"/>
    <w:tmpl w:val="DDDCF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4257BD"/>
    <w:multiLevelType w:val="multilevel"/>
    <w:tmpl w:val="4888E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8D2CAE"/>
    <w:multiLevelType w:val="multilevel"/>
    <w:tmpl w:val="98C08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9B6C2D"/>
    <w:multiLevelType w:val="multilevel"/>
    <w:tmpl w:val="808E6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B41676"/>
    <w:multiLevelType w:val="multilevel"/>
    <w:tmpl w:val="E15AE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CC7513"/>
    <w:multiLevelType w:val="multilevel"/>
    <w:tmpl w:val="57F237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3F40803"/>
    <w:multiLevelType w:val="multilevel"/>
    <w:tmpl w:val="FC143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19174B"/>
    <w:multiLevelType w:val="multilevel"/>
    <w:tmpl w:val="BD54F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935AD0"/>
    <w:multiLevelType w:val="multilevel"/>
    <w:tmpl w:val="66927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832853"/>
    <w:multiLevelType w:val="multilevel"/>
    <w:tmpl w:val="85E07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6C43FB"/>
    <w:multiLevelType w:val="multilevel"/>
    <w:tmpl w:val="7CD43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DE0238C"/>
    <w:multiLevelType w:val="multilevel"/>
    <w:tmpl w:val="E0666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5512DC"/>
    <w:multiLevelType w:val="multilevel"/>
    <w:tmpl w:val="80DAC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645373"/>
    <w:multiLevelType w:val="multilevel"/>
    <w:tmpl w:val="6B96E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254255"/>
    <w:multiLevelType w:val="multilevel"/>
    <w:tmpl w:val="E9B66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326203"/>
    <w:multiLevelType w:val="multilevel"/>
    <w:tmpl w:val="AEBC1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AE2A60"/>
    <w:multiLevelType w:val="multilevel"/>
    <w:tmpl w:val="D47AD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7602E2D"/>
    <w:multiLevelType w:val="multilevel"/>
    <w:tmpl w:val="3F0E7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BB2537D"/>
    <w:multiLevelType w:val="multilevel"/>
    <w:tmpl w:val="6D5E2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D551387"/>
    <w:multiLevelType w:val="multilevel"/>
    <w:tmpl w:val="CBBA4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EE0259"/>
    <w:multiLevelType w:val="multilevel"/>
    <w:tmpl w:val="813AF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09423C5"/>
    <w:multiLevelType w:val="multilevel"/>
    <w:tmpl w:val="DE364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09A05F6"/>
    <w:multiLevelType w:val="multilevel"/>
    <w:tmpl w:val="DA847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22970E0"/>
    <w:multiLevelType w:val="multilevel"/>
    <w:tmpl w:val="10B0A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2365973"/>
    <w:multiLevelType w:val="multilevel"/>
    <w:tmpl w:val="906C2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8552A97"/>
    <w:multiLevelType w:val="multilevel"/>
    <w:tmpl w:val="5C049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8FE6C8B"/>
    <w:multiLevelType w:val="multilevel"/>
    <w:tmpl w:val="AE92B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ABA7B14"/>
    <w:multiLevelType w:val="multilevel"/>
    <w:tmpl w:val="DCEE1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C244825"/>
    <w:multiLevelType w:val="multilevel"/>
    <w:tmpl w:val="CC568E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CA238F5"/>
    <w:multiLevelType w:val="multilevel"/>
    <w:tmpl w:val="8A707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D88149B"/>
    <w:multiLevelType w:val="multilevel"/>
    <w:tmpl w:val="89564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FA37887"/>
    <w:multiLevelType w:val="multilevel"/>
    <w:tmpl w:val="5C1AE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0910139"/>
    <w:multiLevelType w:val="multilevel"/>
    <w:tmpl w:val="3E5E0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2A84173"/>
    <w:multiLevelType w:val="multilevel"/>
    <w:tmpl w:val="4118A0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387216F"/>
    <w:multiLevelType w:val="multilevel"/>
    <w:tmpl w:val="CD027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540392B"/>
    <w:multiLevelType w:val="multilevel"/>
    <w:tmpl w:val="EEFE0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63E5070"/>
    <w:multiLevelType w:val="multilevel"/>
    <w:tmpl w:val="2236E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6471AB5"/>
    <w:multiLevelType w:val="multilevel"/>
    <w:tmpl w:val="8320E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7744BC4"/>
    <w:multiLevelType w:val="multilevel"/>
    <w:tmpl w:val="C388B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BF05CE9"/>
    <w:multiLevelType w:val="multilevel"/>
    <w:tmpl w:val="52005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E0D71C1"/>
    <w:multiLevelType w:val="multilevel"/>
    <w:tmpl w:val="B2227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F31326C"/>
    <w:multiLevelType w:val="multilevel"/>
    <w:tmpl w:val="317A7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00D2BB8"/>
    <w:multiLevelType w:val="multilevel"/>
    <w:tmpl w:val="F1A4A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11B0C19"/>
    <w:multiLevelType w:val="multilevel"/>
    <w:tmpl w:val="A04C3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44275DD"/>
    <w:multiLevelType w:val="multilevel"/>
    <w:tmpl w:val="07D85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7BB3027"/>
    <w:multiLevelType w:val="multilevel"/>
    <w:tmpl w:val="FE802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85973B6"/>
    <w:multiLevelType w:val="multilevel"/>
    <w:tmpl w:val="99A26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85D17D5"/>
    <w:multiLevelType w:val="multilevel"/>
    <w:tmpl w:val="024A3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B18550C"/>
    <w:multiLevelType w:val="multilevel"/>
    <w:tmpl w:val="E320F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E237AEC"/>
    <w:multiLevelType w:val="multilevel"/>
    <w:tmpl w:val="E834A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F387735"/>
    <w:multiLevelType w:val="multilevel"/>
    <w:tmpl w:val="21287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25D1977"/>
    <w:multiLevelType w:val="multilevel"/>
    <w:tmpl w:val="3E862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38F01CC"/>
    <w:multiLevelType w:val="multilevel"/>
    <w:tmpl w:val="2418E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419381C"/>
    <w:multiLevelType w:val="multilevel"/>
    <w:tmpl w:val="86226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5102F35"/>
    <w:multiLevelType w:val="multilevel"/>
    <w:tmpl w:val="74A2C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57B3A04"/>
    <w:multiLevelType w:val="multilevel"/>
    <w:tmpl w:val="F89C3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A805E4F"/>
    <w:multiLevelType w:val="multilevel"/>
    <w:tmpl w:val="8D325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BBF33AC"/>
    <w:multiLevelType w:val="multilevel"/>
    <w:tmpl w:val="080E6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D0A3FA5"/>
    <w:multiLevelType w:val="multilevel"/>
    <w:tmpl w:val="A7481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DF7529D"/>
    <w:multiLevelType w:val="multilevel"/>
    <w:tmpl w:val="2878E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2979059">
    <w:abstractNumId w:val="25"/>
  </w:num>
  <w:num w:numId="2" w16cid:durableId="371851655">
    <w:abstractNumId w:val="48"/>
  </w:num>
  <w:num w:numId="3" w16cid:durableId="283846724">
    <w:abstractNumId w:val="51"/>
  </w:num>
  <w:num w:numId="4" w16cid:durableId="27460564">
    <w:abstractNumId w:val="76"/>
  </w:num>
  <w:num w:numId="5" w16cid:durableId="371420532">
    <w:abstractNumId w:val="46"/>
  </w:num>
  <w:num w:numId="6" w16cid:durableId="2022928589">
    <w:abstractNumId w:val="52"/>
  </w:num>
  <w:num w:numId="7" w16cid:durableId="2142261666">
    <w:abstractNumId w:val="35"/>
  </w:num>
  <w:num w:numId="8" w16cid:durableId="2027250756">
    <w:abstractNumId w:val="0"/>
  </w:num>
  <w:num w:numId="9" w16cid:durableId="2067727457">
    <w:abstractNumId w:val="54"/>
  </w:num>
  <w:num w:numId="10" w16cid:durableId="1703897677">
    <w:abstractNumId w:val="42"/>
  </w:num>
  <w:num w:numId="11" w16cid:durableId="469788096">
    <w:abstractNumId w:val="61"/>
  </w:num>
  <w:num w:numId="12" w16cid:durableId="620840064">
    <w:abstractNumId w:val="45"/>
  </w:num>
  <w:num w:numId="13" w16cid:durableId="1529948706">
    <w:abstractNumId w:val="43"/>
  </w:num>
  <w:num w:numId="14" w16cid:durableId="17856810">
    <w:abstractNumId w:val="9"/>
  </w:num>
  <w:num w:numId="15" w16cid:durableId="793670832">
    <w:abstractNumId w:val="10"/>
  </w:num>
  <w:num w:numId="16" w16cid:durableId="1743915805">
    <w:abstractNumId w:val="55"/>
  </w:num>
  <w:num w:numId="17" w16cid:durableId="3408593">
    <w:abstractNumId w:val="78"/>
  </w:num>
  <w:num w:numId="18" w16cid:durableId="1009714968">
    <w:abstractNumId w:val="33"/>
  </w:num>
  <w:num w:numId="19" w16cid:durableId="949162294">
    <w:abstractNumId w:val="63"/>
  </w:num>
  <w:num w:numId="20" w16cid:durableId="1219391643">
    <w:abstractNumId w:val="74"/>
  </w:num>
  <w:num w:numId="21" w16cid:durableId="1541822110">
    <w:abstractNumId w:val="44"/>
  </w:num>
  <w:num w:numId="22" w16cid:durableId="1015039586">
    <w:abstractNumId w:val="31"/>
  </w:num>
  <w:num w:numId="23" w16cid:durableId="1233657610">
    <w:abstractNumId w:val="66"/>
  </w:num>
  <w:num w:numId="24" w16cid:durableId="806625298">
    <w:abstractNumId w:val="29"/>
  </w:num>
  <w:num w:numId="25" w16cid:durableId="1058213324">
    <w:abstractNumId w:val="3"/>
  </w:num>
  <w:num w:numId="26" w16cid:durableId="302657411">
    <w:abstractNumId w:val="72"/>
  </w:num>
  <w:num w:numId="27" w16cid:durableId="1819035020">
    <w:abstractNumId w:val="60"/>
  </w:num>
  <w:num w:numId="28" w16cid:durableId="1493987432">
    <w:abstractNumId w:val="38"/>
  </w:num>
  <w:num w:numId="29" w16cid:durableId="1842088286">
    <w:abstractNumId w:val="23"/>
  </w:num>
  <w:num w:numId="30" w16cid:durableId="715082686">
    <w:abstractNumId w:val="16"/>
  </w:num>
  <w:num w:numId="31" w16cid:durableId="1111706282">
    <w:abstractNumId w:val="69"/>
  </w:num>
  <w:num w:numId="32" w16cid:durableId="2006057096">
    <w:abstractNumId w:val="12"/>
  </w:num>
  <w:num w:numId="33" w16cid:durableId="1059550907">
    <w:abstractNumId w:val="8"/>
  </w:num>
  <w:num w:numId="34" w16cid:durableId="1391002811">
    <w:abstractNumId w:val="40"/>
  </w:num>
  <w:num w:numId="35" w16cid:durableId="1018583725">
    <w:abstractNumId w:val="27"/>
  </w:num>
  <w:num w:numId="36" w16cid:durableId="1822118447">
    <w:abstractNumId w:val="71"/>
  </w:num>
  <w:num w:numId="37" w16cid:durableId="962466108">
    <w:abstractNumId w:val="28"/>
  </w:num>
  <w:num w:numId="38" w16cid:durableId="1954482483">
    <w:abstractNumId w:val="19"/>
  </w:num>
  <w:num w:numId="39" w16cid:durableId="1870557819">
    <w:abstractNumId w:val="13"/>
  </w:num>
  <w:num w:numId="40" w16cid:durableId="376129503">
    <w:abstractNumId w:val="39"/>
  </w:num>
  <w:num w:numId="41" w16cid:durableId="473959030">
    <w:abstractNumId w:val="65"/>
  </w:num>
  <w:num w:numId="42" w16cid:durableId="562376876">
    <w:abstractNumId w:val="11"/>
  </w:num>
  <w:num w:numId="43" w16cid:durableId="1637905432">
    <w:abstractNumId w:val="75"/>
  </w:num>
  <w:num w:numId="44" w16cid:durableId="529949706">
    <w:abstractNumId w:val="21"/>
  </w:num>
  <w:num w:numId="45" w16cid:durableId="578486571">
    <w:abstractNumId w:val="20"/>
  </w:num>
  <w:num w:numId="46" w16cid:durableId="93214182">
    <w:abstractNumId w:val="6"/>
  </w:num>
  <w:num w:numId="47" w16cid:durableId="1773698061">
    <w:abstractNumId w:val="37"/>
  </w:num>
  <w:num w:numId="48" w16cid:durableId="1229075667">
    <w:abstractNumId w:val="77"/>
  </w:num>
  <w:num w:numId="49" w16cid:durableId="171771800">
    <w:abstractNumId w:val="22"/>
  </w:num>
  <w:num w:numId="50" w16cid:durableId="2018651681">
    <w:abstractNumId w:val="18"/>
  </w:num>
  <w:num w:numId="51" w16cid:durableId="1873567928">
    <w:abstractNumId w:val="67"/>
  </w:num>
  <w:num w:numId="52" w16cid:durableId="1444183450">
    <w:abstractNumId w:val="41"/>
  </w:num>
  <w:num w:numId="53" w16cid:durableId="1702317210">
    <w:abstractNumId w:val="58"/>
  </w:num>
  <w:num w:numId="54" w16cid:durableId="1488202537">
    <w:abstractNumId w:val="73"/>
  </w:num>
  <w:num w:numId="55" w16cid:durableId="132479565">
    <w:abstractNumId w:val="62"/>
  </w:num>
  <w:num w:numId="56" w16cid:durableId="593707956">
    <w:abstractNumId w:val="36"/>
  </w:num>
  <w:num w:numId="57" w16cid:durableId="1812944074">
    <w:abstractNumId w:val="7"/>
  </w:num>
  <w:num w:numId="58" w16cid:durableId="2037656557">
    <w:abstractNumId w:val="53"/>
  </w:num>
  <w:num w:numId="59" w16cid:durableId="160122829">
    <w:abstractNumId w:val="47"/>
  </w:num>
  <w:num w:numId="60" w16cid:durableId="495267134">
    <w:abstractNumId w:val="50"/>
  </w:num>
  <w:num w:numId="61" w16cid:durableId="1623461598">
    <w:abstractNumId w:val="68"/>
  </w:num>
  <w:num w:numId="62" w16cid:durableId="745952564">
    <w:abstractNumId w:val="15"/>
  </w:num>
  <w:num w:numId="63" w16cid:durableId="792600794">
    <w:abstractNumId w:val="64"/>
  </w:num>
  <w:num w:numId="64" w16cid:durableId="707342615">
    <w:abstractNumId w:val="70"/>
  </w:num>
  <w:num w:numId="65" w16cid:durableId="1025517069">
    <w:abstractNumId w:val="5"/>
  </w:num>
  <w:num w:numId="66" w16cid:durableId="1035958287">
    <w:abstractNumId w:val="32"/>
  </w:num>
  <w:num w:numId="67" w16cid:durableId="1558008778">
    <w:abstractNumId w:val="34"/>
  </w:num>
  <w:num w:numId="68" w16cid:durableId="150411729">
    <w:abstractNumId w:val="14"/>
  </w:num>
  <w:num w:numId="69" w16cid:durableId="44070415">
    <w:abstractNumId w:val="24"/>
  </w:num>
  <w:num w:numId="70" w16cid:durableId="1233660263">
    <w:abstractNumId w:val="59"/>
  </w:num>
  <w:num w:numId="71" w16cid:durableId="383798152">
    <w:abstractNumId w:val="17"/>
  </w:num>
  <w:num w:numId="72" w16cid:durableId="1195311791">
    <w:abstractNumId w:val="26"/>
  </w:num>
  <w:num w:numId="73" w16cid:durableId="2124490784">
    <w:abstractNumId w:val="30"/>
  </w:num>
  <w:num w:numId="74" w16cid:durableId="878786919">
    <w:abstractNumId w:val="1"/>
  </w:num>
  <w:num w:numId="75" w16cid:durableId="725109209">
    <w:abstractNumId w:val="57"/>
  </w:num>
  <w:num w:numId="76" w16cid:durableId="1252085604">
    <w:abstractNumId w:val="49"/>
  </w:num>
  <w:num w:numId="77" w16cid:durableId="1774200197">
    <w:abstractNumId w:val="2"/>
  </w:num>
  <w:num w:numId="78" w16cid:durableId="51468125">
    <w:abstractNumId w:val="4"/>
  </w:num>
  <w:num w:numId="79" w16cid:durableId="1702052326">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E0A"/>
    <w:rsid w:val="00012DA0"/>
    <w:rsid w:val="00644371"/>
    <w:rsid w:val="00765448"/>
    <w:rsid w:val="0080267B"/>
    <w:rsid w:val="008E7F05"/>
    <w:rsid w:val="0091716F"/>
    <w:rsid w:val="00AC6AED"/>
    <w:rsid w:val="00B76AF0"/>
    <w:rsid w:val="00C47E0A"/>
    <w:rsid w:val="00C83164"/>
    <w:rsid w:val="00DA57B3"/>
    <w:rsid w:val="00E43784"/>
    <w:rsid w:val="00EE5A3A"/>
    <w:rsid w:val="00FB56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074AC"/>
  <w15:chartTrackingRefBased/>
  <w15:docId w15:val="{B8B51584-B7B8-43E0-B72B-83083CEF1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7E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7E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7E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7E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7E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7E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7E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7E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7E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7E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7E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7E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7E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7E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7E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7E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7E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7E0A"/>
    <w:rPr>
      <w:rFonts w:eastAsiaTheme="majorEastAsia" w:cstheme="majorBidi"/>
      <w:color w:val="272727" w:themeColor="text1" w:themeTint="D8"/>
    </w:rPr>
  </w:style>
  <w:style w:type="paragraph" w:styleId="Title">
    <w:name w:val="Title"/>
    <w:basedOn w:val="Normal"/>
    <w:next w:val="Normal"/>
    <w:link w:val="TitleChar"/>
    <w:uiPriority w:val="10"/>
    <w:qFormat/>
    <w:rsid w:val="00C47E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7E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7E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7E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7E0A"/>
    <w:pPr>
      <w:spacing w:before="160"/>
      <w:jc w:val="center"/>
    </w:pPr>
    <w:rPr>
      <w:i/>
      <w:iCs/>
      <w:color w:val="404040" w:themeColor="text1" w:themeTint="BF"/>
    </w:rPr>
  </w:style>
  <w:style w:type="character" w:customStyle="1" w:styleId="QuoteChar">
    <w:name w:val="Quote Char"/>
    <w:basedOn w:val="DefaultParagraphFont"/>
    <w:link w:val="Quote"/>
    <w:uiPriority w:val="29"/>
    <w:rsid w:val="00C47E0A"/>
    <w:rPr>
      <w:i/>
      <w:iCs/>
      <w:color w:val="404040" w:themeColor="text1" w:themeTint="BF"/>
    </w:rPr>
  </w:style>
  <w:style w:type="paragraph" w:styleId="ListParagraph">
    <w:name w:val="List Paragraph"/>
    <w:basedOn w:val="Normal"/>
    <w:uiPriority w:val="34"/>
    <w:qFormat/>
    <w:rsid w:val="00C47E0A"/>
    <w:pPr>
      <w:ind w:left="720"/>
      <w:contextualSpacing/>
    </w:pPr>
  </w:style>
  <w:style w:type="character" w:styleId="IntenseEmphasis">
    <w:name w:val="Intense Emphasis"/>
    <w:basedOn w:val="DefaultParagraphFont"/>
    <w:uiPriority w:val="21"/>
    <w:qFormat/>
    <w:rsid w:val="00C47E0A"/>
    <w:rPr>
      <w:i/>
      <w:iCs/>
      <w:color w:val="0F4761" w:themeColor="accent1" w:themeShade="BF"/>
    </w:rPr>
  </w:style>
  <w:style w:type="paragraph" w:styleId="IntenseQuote">
    <w:name w:val="Intense Quote"/>
    <w:basedOn w:val="Normal"/>
    <w:next w:val="Normal"/>
    <w:link w:val="IntenseQuoteChar"/>
    <w:uiPriority w:val="30"/>
    <w:qFormat/>
    <w:rsid w:val="00C47E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7E0A"/>
    <w:rPr>
      <w:i/>
      <w:iCs/>
      <w:color w:val="0F4761" w:themeColor="accent1" w:themeShade="BF"/>
    </w:rPr>
  </w:style>
  <w:style w:type="character" w:styleId="IntenseReference">
    <w:name w:val="Intense Reference"/>
    <w:basedOn w:val="DefaultParagraphFont"/>
    <w:uiPriority w:val="32"/>
    <w:qFormat/>
    <w:rsid w:val="00C47E0A"/>
    <w:rPr>
      <w:b/>
      <w:bCs/>
      <w:smallCaps/>
      <w:color w:val="0F4761" w:themeColor="accent1" w:themeShade="BF"/>
      <w:spacing w:val="5"/>
    </w:rPr>
  </w:style>
  <w:style w:type="character" w:styleId="Hyperlink">
    <w:name w:val="Hyperlink"/>
    <w:basedOn w:val="DefaultParagraphFont"/>
    <w:uiPriority w:val="99"/>
    <w:unhideWhenUsed/>
    <w:rsid w:val="00C47E0A"/>
    <w:rPr>
      <w:color w:val="467886" w:themeColor="hyperlink"/>
      <w:u w:val="single"/>
    </w:rPr>
  </w:style>
  <w:style w:type="character" w:styleId="UnresolvedMention">
    <w:name w:val="Unresolved Mention"/>
    <w:basedOn w:val="DefaultParagraphFont"/>
    <w:uiPriority w:val="99"/>
    <w:semiHidden/>
    <w:unhideWhenUsed/>
    <w:rsid w:val="00C47E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fda.gov/about-fda/center-drug-evaluation-and-research-cder/artificial-intelligence-drug-development?utm_source=chatgpt.com" TargetMode="External"/><Relationship Id="rId21" Type="http://schemas.openxmlformats.org/officeDocument/2006/relationships/image" Target="media/image7.png"/><Relationship Id="rId42" Type="http://schemas.openxmlformats.org/officeDocument/2006/relationships/hyperlink" Target="https://intellectia.ai/news/stock/disc-medicines-bitopertin-approval-delayed-to-february?utm_source=chatgpt.com" TargetMode="External"/><Relationship Id="rId63" Type="http://schemas.openxmlformats.org/officeDocument/2006/relationships/hyperlink" Target="https://www.pharmexec.com/view/sanegenebio-1-billion-exclusive-global-license-agreement-genentech-rnai-program?utm_source=chatgpt.com" TargetMode="External"/><Relationship Id="rId84" Type="http://schemas.openxmlformats.org/officeDocument/2006/relationships/hyperlink" Target="https://papers.ssrn.com/sol3/Delivery.cfm/SSRN_ID4032947_code2800477.pdf?abstractid=3223184&amp;mirid=1&amp;utm_source=chatgpt.com" TargetMode="External"/><Relationship Id="rId138" Type="http://schemas.openxmlformats.org/officeDocument/2006/relationships/hyperlink" Target="https://www.sec.gov/Archives/edgar/data/1347178/000162828025023154/vnda8-k572025exhibit991.htm?utm_source=chatgpt.com" TargetMode="External"/><Relationship Id="rId159" Type="http://schemas.openxmlformats.org/officeDocument/2006/relationships/hyperlink" Target="https://www.cgtlive.com/view/bla-rocket-lad-i-gene-therapy-under-review-fda-again?utm_source=chatgpt.com" TargetMode="External"/><Relationship Id="rId170" Type="http://schemas.openxmlformats.org/officeDocument/2006/relationships/hyperlink" Target="https://www.fda.gov/advisory-committees/advisory-committee-calendar?utm_source=chatgpt.com" TargetMode="External"/><Relationship Id="rId107" Type="http://schemas.openxmlformats.org/officeDocument/2006/relationships/hyperlink" Target="https://papers.ssrn.com/sol3/papers.cfm?abstract_id=4138512&amp;utm_source=chatgpt.com" TargetMode="External"/><Relationship Id="rId11" Type="http://schemas.openxmlformats.org/officeDocument/2006/relationships/hyperlink" Target="https://www.globenewswire.com/news-release/2026/02/01/3229924/0/en/pharming-group-receives-complete-response-letter-from-u-s-fda-for-snda-for-joenja-leniolisib-in-children-aged-4-to-11-years-with-apds.html?utm_source=chatgpt.com" TargetMode="External"/><Relationship Id="rId32" Type="http://schemas.openxmlformats.org/officeDocument/2006/relationships/hyperlink" Target="https://www.sec.gov/Archives/edgar/data/1515673/000119312526030590/rare-20260130.htm?utm_source=chatgpt.com" TargetMode="External"/><Relationship Id="rId53" Type="http://schemas.openxmlformats.org/officeDocument/2006/relationships/hyperlink" Target="https://www.linkedin.com/posts/stockwirex_biotech-pharmaceuticals-innovation-activity-7419715560126496769-2b81?utm_source=chatgpt.com" TargetMode="External"/><Relationship Id="rId74" Type="http://schemas.openxmlformats.org/officeDocument/2006/relationships/hyperlink" Target="https://www.kurtaltrichter.com/p/222026-gamma-report?utm_source=chatgpt.com" TargetMode="External"/><Relationship Id="rId128" Type="http://schemas.openxmlformats.org/officeDocument/2006/relationships/hyperlink" Target="https://intuitionlabs.ai/articles/fda-ai-drug-development-guidance?utm_source=chatgpt.com" TargetMode="External"/><Relationship Id="rId149" Type="http://schemas.openxmlformats.org/officeDocument/2006/relationships/image" Target="media/image33.jpeg"/><Relationship Id="rId5" Type="http://schemas.openxmlformats.org/officeDocument/2006/relationships/hyperlink" Target="https://www.globenewswire.com/news-release/2026/02/01/3229924/0/en/pharming-group-receives-complete-response-letter-from-u-s-fda-for-snda-for-joenja-leniolisib-in-children-aged-4-to-11-years-with-apds.html?utm_source=chatgpt.com" TargetMode="External"/><Relationship Id="rId95" Type="http://schemas.openxmlformats.org/officeDocument/2006/relationships/hyperlink" Target="https://marketchameleon.com/Reports/biotech-stock-catalysts?utm_source=chatgpt.com" TargetMode="External"/><Relationship Id="rId160" Type="http://schemas.openxmlformats.org/officeDocument/2006/relationships/image" Target="media/image37.png"/><Relationship Id="rId181" Type="http://schemas.openxmlformats.org/officeDocument/2006/relationships/hyperlink" Target="https://public.com/stocks/qttb/market-cap?utm_source=chatgpt.com" TargetMode="External"/><Relationship Id="rId22" Type="http://schemas.openxmlformats.org/officeDocument/2006/relationships/image" Target="media/image8.gif"/><Relationship Id="rId43" Type="http://schemas.openxmlformats.org/officeDocument/2006/relationships/hyperlink" Target="https://www.astrazeneca.com/media-centre/press-releases/2026/update-on-saphnelo-subcutaneous-administration.html?utm_source=chatgpt.com" TargetMode="External"/><Relationship Id="rId64" Type="http://schemas.openxmlformats.org/officeDocument/2006/relationships/hyperlink" Target="https://www.stocktitan.net/sec-filings/VTVT/8-k-v-tv-therapeutics-inc-reports-material-event-a079a7675883.html?utm_source=chatgpt.com" TargetMode="External"/><Relationship Id="rId118" Type="http://schemas.openxmlformats.org/officeDocument/2006/relationships/hyperlink" Target="https://catalystalert.io/?utm_source=chatgpt.com" TargetMode="External"/><Relationship Id="rId139" Type="http://schemas.openxmlformats.org/officeDocument/2006/relationships/hyperlink" Target="https://www.urologytimes.com/view/fda-accepts-nda-for-new-formulation-of-piflufolastat-f-18-in-prostate-cancer?utm_source=chatgpt.com" TargetMode="External"/><Relationship Id="rId85" Type="http://schemas.openxmlformats.org/officeDocument/2006/relationships/hyperlink" Target="https://pmc.ncbi.nlm.nih.gov/articles/PMC10817120/?utm_source=chatgpt.com" TargetMode="External"/><Relationship Id="rId150" Type="http://schemas.openxmlformats.org/officeDocument/2006/relationships/image" Target="media/image34.jpeg"/><Relationship Id="rId171" Type="http://schemas.openxmlformats.org/officeDocument/2006/relationships/hyperlink" Target="https://www.fda.gov/advisory-committees/about-advisory-committees/common-questions-and-answers-about-fda-advisory-committee-meetings?utm_source=chatgpt.com" TargetMode="External"/><Relationship Id="rId12" Type="http://schemas.openxmlformats.org/officeDocument/2006/relationships/hyperlink" Target="https://www.globenewswire.com/news-release/2026/02/01/3229924/0/en/pharming-group-receives-complete-response-letter-from-u-s-fda-for-snda-for-joenja-leniolisib-in-children-aged-4-to-11-years-with-apds.html?utm_source=chatgpt.com" TargetMode="External"/><Relationship Id="rId33" Type="http://schemas.openxmlformats.org/officeDocument/2006/relationships/hyperlink" Target="https://www.sec.gov/Archives/edgar/data/1515673/000119312526030590/rare-20260130.htm?utm_source=chatgpt.com" TargetMode="External"/><Relationship Id="rId108" Type="http://schemas.openxmlformats.org/officeDocument/2006/relationships/hyperlink" Target="https://www.sciencedirect.com/science/article/pii/S0304405X25000947?utm_source=chatgpt.com" TargetMode="External"/><Relationship Id="rId129" Type="http://schemas.openxmlformats.org/officeDocument/2006/relationships/hyperlink" Target="https://catalystalert.io/?utm_source=chatgpt.com" TargetMode="External"/><Relationship Id="rId54" Type="http://schemas.openxmlformats.org/officeDocument/2006/relationships/image" Target="media/image17.png"/><Relationship Id="rId75" Type="http://schemas.openxmlformats.org/officeDocument/2006/relationships/image" Target="media/image24.jpeg"/><Relationship Id="rId96" Type="http://schemas.openxmlformats.org/officeDocument/2006/relationships/hyperlink" Target="https://www.emergentmind.com/topics/order-flow-imbalance-ofi-7dff1686-44cf-4cf4-a602-b24df2b7c56e?utm_source=chatgpt.com" TargetMode="External"/><Relationship Id="rId140" Type="http://schemas.openxmlformats.org/officeDocument/2006/relationships/hyperlink" Target="https://lantheusholdings.gcs-web.com/news-releases/news-release-details/lantheus-announces-fda-grants-pdufa-date-lnth-2501-ga-68?utm_source=chatgpt.com" TargetMode="External"/><Relationship Id="rId161" Type="http://schemas.openxmlformats.org/officeDocument/2006/relationships/image" Target="media/image38.jpeg"/><Relationship Id="rId182" Type="http://schemas.openxmlformats.org/officeDocument/2006/relationships/hyperlink" Target="https://uk.investing.com/news/analyst-ratings/oppenheimer-maintains-outperform-rating-on-q32-bio-stock-at-20-target-93CH-4423486?utm_source=chatgpt.com" TargetMode="External"/><Relationship Id="rId6" Type="http://schemas.openxmlformats.org/officeDocument/2006/relationships/image" Target="media/image1.png"/><Relationship Id="rId23" Type="http://schemas.openxmlformats.org/officeDocument/2006/relationships/hyperlink" Target="https://www.reuters.com/business/healthcare-pharmaceuticals/corcept-shares-tumble-after-fda-letter-reveals-warnings-before-drug-rejection-2026-01-30/?utm_source=chatgpt.com" TargetMode="External"/><Relationship Id="rId119" Type="http://schemas.openxmlformats.org/officeDocument/2006/relationships/hyperlink" Target="https://app.bpiq.com/?utm_source=chatgpt.com" TargetMode="External"/><Relationship Id="rId44" Type="http://schemas.openxmlformats.org/officeDocument/2006/relationships/hyperlink" Target="https://www.biospace.com/press-releases/aquestive-therapeutics-announces-fda-issuance-of-complete-response-letter-for-anaphylm?utm_source=chatgpt.com" TargetMode="External"/><Relationship Id="rId65" Type="http://schemas.openxmlformats.org/officeDocument/2006/relationships/hyperlink" Target="https://www.stocktitan.net/sec-filings/VTVT/8-k-v-tv-therapeutics-inc-reports-material-event-a079a7675883.html?utm_source=chatgpt.com" TargetMode="External"/><Relationship Id="rId86" Type="http://schemas.openxmlformats.org/officeDocument/2006/relationships/hyperlink" Target="https://journals.plos.org/plosone/article?id=10.1371%2Fjournal.pone.0071966&amp;utm_source=chatgpt.com" TargetMode="External"/><Relationship Id="rId130" Type="http://schemas.openxmlformats.org/officeDocument/2006/relationships/hyperlink" Target="https://en.wikipedia.org/wiki/Sentinel_Common_Data_Model?utm_source=chatgpt.com" TargetMode="External"/><Relationship Id="rId151" Type="http://schemas.openxmlformats.org/officeDocument/2006/relationships/image" Target="media/image35.jpeg"/><Relationship Id="rId172" Type="http://schemas.openxmlformats.org/officeDocument/2006/relationships/hyperlink" Target="https://www.ecfr.gov/current/title-21/chapter-I/subchapter-A/part-14?utm_source=chatgpt.com" TargetMode="External"/><Relationship Id="rId13" Type="http://schemas.openxmlformats.org/officeDocument/2006/relationships/hyperlink" Target="https://www.globenewswire.com/news-release/2026/02/01/3229924/0/en/pharming-group-receives-complete-response-letter-from-u-s-fda-for-snda-for-joenja-leniolisib-in-children-aged-4-to-11-years-with-apds.html?utm_source=chatgpt.com" TargetMode="External"/><Relationship Id="rId18" Type="http://schemas.openxmlformats.org/officeDocument/2006/relationships/hyperlink" Target="https://www.reuters.com/business/healthcare-pharmaceuticals/corcept-shares-tumble-after-fda-letter-reveals-warnings-before-drug-rejection-2026-01-30/?utm_source=chatgpt.com" TargetMode="External"/><Relationship Id="rId39" Type="http://schemas.openxmlformats.org/officeDocument/2006/relationships/image" Target="media/image13.png"/><Relationship Id="rId109" Type="http://schemas.openxmlformats.org/officeDocument/2006/relationships/hyperlink" Target="https://www.sciencedirect.com/science/article/pii/S1042444X25000489?utm_source=chatgpt.com" TargetMode="External"/><Relationship Id="rId34" Type="http://schemas.openxmlformats.org/officeDocument/2006/relationships/hyperlink" Target="https://ir.ultragenyx.com/news-releases/news-release-details/ultragenyx-resubmits-biologics-license-application-ux111-aav?utm_source=chatgpt.com" TargetMode="External"/><Relationship Id="rId50" Type="http://schemas.openxmlformats.org/officeDocument/2006/relationships/hyperlink" Target="https://www.stocktitan.net/sec-filings/FBIO/8-k-fortress-biotech-inc-reports-material-event-9c051682c00a.html?utm_source=chatgpt.com" TargetMode="External"/><Relationship Id="rId55" Type="http://schemas.openxmlformats.org/officeDocument/2006/relationships/image" Target="media/image18.jpeg"/><Relationship Id="rId76" Type="http://schemas.openxmlformats.org/officeDocument/2006/relationships/image" Target="media/image25.jpeg"/><Relationship Id="rId97" Type="http://schemas.openxmlformats.org/officeDocument/2006/relationships/hyperlink" Target="https://www.emergentmind.com/topics/order-flow-imbalance-ofi-7dff1686-44cf-4cf4-a602-b24df2b7c56e?utm_source=chatgpt.com" TargetMode="External"/><Relationship Id="rId104" Type="http://schemas.openxmlformats.org/officeDocument/2006/relationships/hyperlink" Target="https://www.emergentmind.com/topics/order-flow-imbalance-ofi-7dff1686-44cf-4cf4-a602-b24df2b7c56e?utm_source=chatgpt.com" TargetMode="External"/><Relationship Id="rId120" Type="http://schemas.openxmlformats.org/officeDocument/2006/relationships/hyperlink" Target="https://en.wikipedia.org/wiki/Sentinel_Common_Data_Model?utm_source=chatgpt.com" TargetMode="External"/><Relationship Id="rId125" Type="http://schemas.openxmlformats.org/officeDocument/2006/relationships/hyperlink" Target="https://arxiv.org/abs/2404.12827?utm_source=chatgpt.com" TargetMode="External"/><Relationship Id="rId141" Type="http://schemas.openxmlformats.org/officeDocument/2006/relationships/hyperlink" Target="https://ir.achievelifesciences.com/news-events/press-releases/detail/238/achieve-life-sciences-announces-fda-acceptance-of-cytisinicline-new-drug-application-for-treatment-of-nicotine-dependence-for-smoking-cessation?utm_source=chatgpt.com" TargetMode="External"/><Relationship Id="rId146" Type="http://schemas.openxmlformats.org/officeDocument/2006/relationships/image" Target="media/image32.jpeg"/><Relationship Id="rId167" Type="http://schemas.openxmlformats.org/officeDocument/2006/relationships/image" Target="media/image40.jpeg"/><Relationship Id="rId7" Type="http://schemas.openxmlformats.org/officeDocument/2006/relationships/image" Target="media/image2.jpeg"/><Relationship Id="rId71" Type="http://schemas.openxmlformats.org/officeDocument/2006/relationships/image" Target="media/image23.png"/><Relationship Id="rId92" Type="http://schemas.openxmlformats.org/officeDocument/2006/relationships/hyperlink" Target="https://marketchameleon.com/Reports/biotech-stock-catalysts?utm_source=chatgpt.com" TargetMode="External"/><Relationship Id="rId162" Type="http://schemas.openxmlformats.org/officeDocument/2006/relationships/image" Target="media/image39.jpeg"/><Relationship Id="rId183" Type="http://schemas.openxmlformats.org/officeDocument/2006/relationships/hyperlink" Target="https://finimize.com/content/qttb-asset-snapshot?utm_source=chatgpt.com" TargetMode="External"/><Relationship Id="rId2" Type="http://schemas.openxmlformats.org/officeDocument/2006/relationships/styles" Target="styles.xml"/><Relationship Id="rId29" Type="http://schemas.openxmlformats.org/officeDocument/2006/relationships/image" Target="media/image9.jpeg"/><Relationship Id="rId24" Type="http://schemas.openxmlformats.org/officeDocument/2006/relationships/hyperlink" Target="https://www.reuters.com/business/healthcare-pharmaceuticals/corcept-shares-tumble-after-fda-letter-reveals-warnings-before-drug-rejection-2026-01-30/?utm_source=chatgpt.com" TargetMode="External"/><Relationship Id="rId40" Type="http://schemas.openxmlformats.org/officeDocument/2006/relationships/hyperlink" Target="https://www.astrazeneca.com/media-centre/press-releases/2026/update-on-saphnelo-subcutaneous-administration.html?utm_source=chatgpt.com" TargetMode="External"/><Relationship Id="rId45" Type="http://schemas.openxmlformats.org/officeDocument/2006/relationships/hyperlink" Target="https://intellectia.ai/news/stock/disc-medicines-bitopertin-approval-delayed-to-february?utm_source=chatgpt.com" TargetMode="External"/><Relationship Id="rId66" Type="http://schemas.openxmlformats.org/officeDocument/2006/relationships/hyperlink" Target="https://www.stocktitan.net/sec-filings/VTVT/8-k-v-tv-therapeutics-inc-reports-material-event-a079a7675883.html?utm_source=chatgpt.com" TargetMode="External"/><Relationship Id="rId87" Type="http://schemas.openxmlformats.org/officeDocument/2006/relationships/hyperlink" Target="https://arxiv.org/abs/2512.18648?utm_source=chatgpt.com" TargetMode="External"/><Relationship Id="rId110" Type="http://schemas.openxmlformats.org/officeDocument/2006/relationships/hyperlink" Target="https://arxiv.org/abs/2406.10292?utm_source=chatgpt.com" TargetMode="External"/><Relationship Id="rId115" Type="http://schemas.openxmlformats.org/officeDocument/2006/relationships/hyperlink" Target="https://www.clinicalleader.com/doc/how-ai-can-accelerate-clinical-trials-probabilities-of-technical-and-regulatory-success-ptrs-0001?utm_source=chatgpt.com" TargetMode="External"/><Relationship Id="rId131" Type="http://schemas.openxmlformats.org/officeDocument/2006/relationships/hyperlink" Target="https://www.clarifai.com/blog/ai-in-biotech?utm_source=chatgpt.com" TargetMode="External"/><Relationship Id="rId136" Type="http://schemas.openxmlformats.org/officeDocument/2006/relationships/hyperlink" Target="https://glance.eyesoneyecare.com/stories/2025-12-16/fda-extends-reproxalap-s-pdufa-to-march-2026/?utm_source=chatgpt.com" TargetMode="External"/><Relationship Id="rId157" Type="http://schemas.openxmlformats.org/officeDocument/2006/relationships/hyperlink" Target="https://www.cgtlive.com/view/bla-rocket-lad-i-gene-therapy-under-review-fda-again?utm_source=chatgpt.com" TargetMode="External"/><Relationship Id="rId178" Type="http://schemas.openxmlformats.org/officeDocument/2006/relationships/hyperlink" Target="https://www.prnewswire.com/news-releases/q32-bio-announces-completion-of-enrollment-in-part-b-of-signal-aa-phase-2a-clinical-trial-of-bempikibart-for-alopecia-areata-302589401.html?utm_source=chatgpt.com" TargetMode="External"/><Relationship Id="rId61" Type="http://schemas.openxmlformats.org/officeDocument/2006/relationships/hyperlink" Target="https://www.prnewswire.com/news-releases/sanegenebio-announces-rnai-global-licensing-collaboration-with-genentech-302676224.html?utm_source=chatgpt.com" TargetMode="External"/><Relationship Id="rId82" Type="http://schemas.openxmlformats.org/officeDocument/2006/relationships/hyperlink" Target="https://pubmed.ncbi.nlm.nih.gov/21949081/?utm_source=chatgpt.com" TargetMode="External"/><Relationship Id="rId152" Type="http://schemas.openxmlformats.org/officeDocument/2006/relationships/image" Target="media/image36.jpeg"/><Relationship Id="rId173" Type="http://schemas.openxmlformats.org/officeDocument/2006/relationships/hyperlink" Target="https://www.fda.gov/advisory-committees/about-advisory-committees/common-questions-and-answers-about-fda-advisory-committee-meetings?utm_source=chatgpt.com" TargetMode="External"/><Relationship Id="rId19" Type="http://schemas.openxmlformats.org/officeDocument/2006/relationships/image" Target="media/image5.jpeg"/><Relationship Id="rId14" Type="http://schemas.openxmlformats.org/officeDocument/2006/relationships/hyperlink" Target="https://www.biospace.com/press-releases/pharming-group-announces-u-s-fda-acceptance-and-priority-review-of-supplemental-new-drug-application-for-leniolisib-in-children-with-apds-aged-4-to-11-years?utm_source=chatgpt.com" TargetMode="External"/><Relationship Id="rId30" Type="http://schemas.openxmlformats.org/officeDocument/2006/relationships/image" Target="media/image10.png"/><Relationship Id="rId35" Type="http://schemas.openxmlformats.org/officeDocument/2006/relationships/hyperlink" Target="https://ir.ultragenyx.com/news-releases/news-release-details/ultragenyx-resubmits-biologics-license-application-ux111-aav?utm_source=chatgpt.com" TargetMode="External"/><Relationship Id="rId56" Type="http://schemas.openxmlformats.org/officeDocument/2006/relationships/image" Target="media/image19.jpeg"/><Relationship Id="rId77" Type="http://schemas.openxmlformats.org/officeDocument/2006/relationships/hyperlink" Target="https://www.fidelity.com/news/article/default/202602011517PRIMZONEFULLFEED1001162373?utm_source=chatgpt.com" TargetMode="External"/><Relationship Id="rId100" Type="http://schemas.openxmlformats.org/officeDocument/2006/relationships/hyperlink" Target="https://papers.ssrn.com/sol3/papers.cfm?abstract_id=4138512&amp;utm_source=chatgpt.com" TargetMode="External"/><Relationship Id="rId105" Type="http://schemas.openxmlformats.org/officeDocument/2006/relationships/hyperlink" Target="https://arxiv.org/html/2601.23172v2?utm_source=chatgpt.com" TargetMode="External"/><Relationship Id="rId126" Type="http://schemas.openxmlformats.org/officeDocument/2006/relationships/hyperlink" Target="https://pubmed.ncbi.nlm.nih.gov/37550410/?utm_source=chatgpt.com" TargetMode="External"/><Relationship Id="rId147" Type="http://schemas.openxmlformats.org/officeDocument/2006/relationships/hyperlink" Target="https://www.sec.gov/Archives/edgar/data/0001398733/000139873326000005/aqst-20260130.htm?utm_source=chatgpt.com" TargetMode="External"/><Relationship Id="rId168" Type="http://schemas.openxmlformats.org/officeDocument/2006/relationships/image" Target="media/image41.png"/><Relationship Id="rId8" Type="http://schemas.openxmlformats.org/officeDocument/2006/relationships/image" Target="media/image3.jpeg"/><Relationship Id="rId51" Type="http://schemas.openxmlformats.org/officeDocument/2006/relationships/hyperlink" Target="https://www.stocktitan.net/sec-filings/FBIO/8-k-fortress-biotech-inc-reports-material-event-9c051682c00a.html?utm_source=chatgpt.com" TargetMode="External"/><Relationship Id="rId72" Type="http://schemas.openxmlformats.org/officeDocument/2006/relationships/hyperlink" Target="https://www.kurtaltrichter.com/p/222026-gamma-report?utm_source=chatgpt.com" TargetMode="External"/><Relationship Id="rId93" Type="http://schemas.openxmlformats.org/officeDocument/2006/relationships/hyperlink" Target="https://en.wikipedia.org/wiki/Market_microstructure?utm_source=chatgpt.com" TargetMode="External"/><Relationship Id="rId98" Type="http://schemas.openxmlformats.org/officeDocument/2006/relationships/hyperlink" Target="https://arxiv.org/html/2601.23172v2?utm_source=chatgpt.com" TargetMode="External"/><Relationship Id="rId121" Type="http://schemas.openxmlformats.org/officeDocument/2006/relationships/hyperlink" Target="https://en.wikipedia.org/wiki/Clinical_Data_Interchange_Standards_Consortium?utm_source=chatgpt.com" TargetMode="External"/><Relationship Id="rId142" Type="http://schemas.openxmlformats.org/officeDocument/2006/relationships/hyperlink" Target="https://www.sobi.com/en/press-releases/fda-accepts-biologics-license-application-sobis-nasp-patients-uncontrolled-gout-2389168?utm_source=chatgpt.com" TargetMode="External"/><Relationship Id="rId163" Type="http://schemas.openxmlformats.org/officeDocument/2006/relationships/hyperlink" Target="https://www.globenewswire.com/news-release/2026/01/13/3217693/28889/en/Fortress-Biotech-and-Cyprium-Therapeutics-Announce-U-S-FDA-Approval-of-ZYCUBO-copper-histidinate-the-First-and-Only-Approved-Treatment-for-Menkes-Disease-in-the-United-States.html?utm_source=chatgpt.com" TargetMode="External"/><Relationship Id="rId184" Type="http://schemas.openxmlformats.org/officeDocument/2006/relationships/fontTable" Target="fontTable.xml"/><Relationship Id="rId3" Type="http://schemas.openxmlformats.org/officeDocument/2006/relationships/settings" Target="settings.xml"/><Relationship Id="rId25" Type="http://schemas.openxmlformats.org/officeDocument/2006/relationships/hyperlink" Target="https://www.reuters.com/business/healthcare-pharmaceuticals/corcept-shares-tumble-after-fda-letter-reveals-warnings-before-drug-rejection-2026-01-30/?utm_source=chatgpt.com" TargetMode="External"/><Relationship Id="rId46" Type="http://schemas.openxmlformats.org/officeDocument/2006/relationships/image" Target="media/image14.jpeg"/><Relationship Id="rId67" Type="http://schemas.openxmlformats.org/officeDocument/2006/relationships/hyperlink" Target="https://www.kurtaltrichter.com/p/222026-gamma-report?utm_source=chatgpt.com" TargetMode="External"/><Relationship Id="rId116" Type="http://schemas.openxmlformats.org/officeDocument/2006/relationships/hyperlink" Target="https://intuitionlabs.ai/articles/fda-ai-drug-development-guidance?utm_source=chatgpt.com" TargetMode="External"/><Relationship Id="rId137" Type="http://schemas.openxmlformats.org/officeDocument/2006/relationships/hyperlink" Target="https://glance.eyesoneyecare.com/stories/2025-12-16/fda-extends-reproxalap-s-pdufa-to-march-2026/?utm_source=chatgpt.com" TargetMode="External"/><Relationship Id="rId158" Type="http://schemas.openxmlformats.org/officeDocument/2006/relationships/hyperlink" Target="https://finance.yahoo.com/news/rocket-pharmaceuticals-announces-fda-acceptance-110000620.html?utm_source=chatgpt.com" TargetMode="External"/><Relationship Id="rId20" Type="http://schemas.openxmlformats.org/officeDocument/2006/relationships/image" Target="media/image6.jpeg"/><Relationship Id="rId41" Type="http://schemas.openxmlformats.org/officeDocument/2006/relationships/hyperlink" Target="https://www.biospace.com/press-releases/aquestive-therapeutics-announces-fda-issuance-of-complete-response-letter-for-anaphylm?utm_source=chatgpt.com" TargetMode="External"/><Relationship Id="rId62" Type="http://schemas.openxmlformats.org/officeDocument/2006/relationships/hyperlink" Target="https://www.prnewswire.com/news-releases/sanegenebio-announces-rnai-global-licensing-collaboration-with-genentech-302676224.html?utm_source=chatgpt.com" TargetMode="External"/><Relationship Id="rId83" Type="http://schemas.openxmlformats.org/officeDocument/2006/relationships/hyperlink" Target="https://papers.ssrn.com/sol3/papers.cfm?abstract_id=6027774&amp;utm_source=chatgpt.com" TargetMode="External"/><Relationship Id="rId88" Type="http://schemas.openxmlformats.org/officeDocument/2006/relationships/hyperlink" Target="https://arxiv.org/abs/1808.03668?utm_source=chatgpt.com" TargetMode="External"/><Relationship Id="rId111" Type="http://schemas.openxmlformats.org/officeDocument/2006/relationships/hyperlink" Target="https://pmc.ncbi.nlm.nih.gov/articles/PMC12475113/?utm_source=chatgpt.com" TargetMode="External"/><Relationship Id="rId132" Type="http://schemas.openxmlformats.org/officeDocument/2006/relationships/image" Target="media/image26.jpeg"/><Relationship Id="rId153" Type="http://schemas.openxmlformats.org/officeDocument/2006/relationships/hyperlink" Target="https://www.cgtlive.com/view/bla-rocket-lad-i-gene-therapy-under-review-fda-again?utm_source=chatgpt.com" TargetMode="External"/><Relationship Id="rId174" Type="http://schemas.openxmlformats.org/officeDocument/2006/relationships/hyperlink" Target="https://www.fda.gov/advisory-committees/about-advisory-committees/common-questions-and-answers-about-fda-advisory-committee-meetings?utm_source=chatgpt.com" TargetMode="External"/><Relationship Id="rId179" Type="http://schemas.openxmlformats.org/officeDocument/2006/relationships/hyperlink" Target="https://www.prnewswire.com/news-releases/q32-bio-announces-completion-of-enrollment-in-part-b-of-signal-aa-phase-2a-clinical-trial-of-bempikibart-for-alopecia-areata-302589401.html?utm_source=chatgpt.com" TargetMode="External"/><Relationship Id="rId15" Type="http://schemas.openxmlformats.org/officeDocument/2006/relationships/hyperlink" Target="https://www.pharming.com/sites/default/files/imce/Press%20releases/News%20items/FINAL_Pharming%20receives%20FDA%20CRL%20for%20Joenja%20sNDA%20in%20children_EN_1Feb26.pdf?utm_source=chatgpt.com" TargetMode="External"/><Relationship Id="rId36" Type="http://schemas.openxmlformats.org/officeDocument/2006/relationships/hyperlink" Target="https://ir.ultragenyx.com/news-releases/news-release-details/ultragenyx-resubmits-biologics-license-application-ux111-aav?utm_source=chatgpt.com" TargetMode="External"/><Relationship Id="rId57" Type="http://schemas.openxmlformats.org/officeDocument/2006/relationships/hyperlink" Target="https://www.expresspharma.in/sparc-receives-priority-review-voucher-associated-with-sezaby-approval/?utm_source=chatgpt.com" TargetMode="External"/><Relationship Id="rId106" Type="http://schemas.openxmlformats.org/officeDocument/2006/relationships/hyperlink" Target="https://www.ebc.com/forex/0dte-options-the-hidden-driver-of-market-volatility?utm_source=chatgpt.com" TargetMode="External"/><Relationship Id="rId127" Type="http://schemas.openxmlformats.org/officeDocument/2006/relationships/hyperlink" Target="https://pmc.ncbi.nlm.nih.gov/articles/PMC11031120/?utm_source=chatgpt.com" TargetMode="External"/><Relationship Id="rId10" Type="http://schemas.openxmlformats.org/officeDocument/2006/relationships/hyperlink" Target="https://www.globenewswire.com/news-release/2026/02/01/3229924/0/en/pharming-group-receives-complete-response-letter-from-u-s-fda-for-snda-for-joenja-leniolisib-in-children-aged-4-to-11-years-with-apds.html?utm_source=chatgpt.com" TargetMode="External"/><Relationship Id="rId31" Type="http://schemas.openxmlformats.org/officeDocument/2006/relationships/image" Target="media/image11.png"/><Relationship Id="rId52" Type="http://schemas.openxmlformats.org/officeDocument/2006/relationships/hyperlink" Target="https://www.linkedin.com/posts/stockwirex_biotech-pharmaceuticals-innovation-activity-7419715560126496769-2b81?utm_source=chatgpt.com" TargetMode="External"/><Relationship Id="rId73" Type="http://schemas.openxmlformats.org/officeDocument/2006/relationships/hyperlink" Target="https://marketchameleon.com/Overview/XBI/IV/?utm_source=chatgpt.com" TargetMode="External"/><Relationship Id="rId78" Type="http://schemas.openxmlformats.org/officeDocument/2006/relationships/hyperlink" Target="https://www.globenewswire.com/news-release/2026/02/02/3230115/0/en/aquestive-therapeutics-announces-fda-issuance-of-complete-response-letter-for-anaphylm.html?utm_source=chatgpt.com" TargetMode="External"/><Relationship Id="rId94" Type="http://schemas.openxmlformats.org/officeDocument/2006/relationships/hyperlink" Target="https://en.wikipedia.org/wiki/Dark_pool?utm_source=chatgpt.com" TargetMode="External"/><Relationship Id="rId99" Type="http://schemas.openxmlformats.org/officeDocument/2006/relationships/hyperlink" Target="https://www.ebc.com/forex/0dte-options-the-hidden-driver-of-market-volatility?utm_source=chatgpt.com" TargetMode="External"/><Relationship Id="rId101" Type="http://schemas.openxmlformats.org/officeDocument/2006/relationships/hyperlink" Target="https://www.sciencedirect.com/science/article/pii/S0304405X25000947?utm_source=chatgpt.com" TargetMode="External"/><Relationship Id="rId122" Type="http://schemas.openxmlformats.org/officeDocument/2006/relationships/hyperlink" Target="https://www.clarifai.com/blog/ai-in-biotech?utm_source=chatgpt.com" TargetMode="External"/><Relationship Id="rId143" Type="http://schemas.openxmlformats.org/officeDocument/2006/relationships/hyperlink" Target="sandbox://mnt/data/odin_options_snapshot_2026-02-06.csv" TargetMode="External"/><Relationship Id="rId148" Type="http://schemas.openxmlformats.org/officeDocument/2006/relationships/hyperlink" Target="https://www.biospace.com/press-releases/pharming-group-receives-complete-response-letter-from-u-s-fda-for-snda-for-joenja-leniolisib-in-children-aged-4-to-11-years-with-apds?utm_source=chatgpt.com" TargetMode="External"/><Relationship Id="rId164" Type="http://schemas.openxmlformats.org/officeDocument/2006/relationships/hyperlink" Target="https://www.sec.gov/Archives/edgar/data/318306/000164117225017460/form8-k.htm?utm_source=chatgpt.com" TargetMode="External"/><Relationship Id="rId169" Type="http://schemas.openxmlformats.org/officeDocument/2006/relationships/image" Target="media/image42.png"/><Relationship Id="rId18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jpeg"/><Relationship Id="rId180" Type="http://schemas.openxmlformats.org/officeDocument/2006/relationships/hyperlink" Target="https://www.prnewswire.com/news-releases/q32-bio-doses-first-patients-in-both-part-a-open-label-extension-and-part-b-of-signal-aa-phase-2a-trial-evaluating-bempikibart-in-alopecia-areata-302429636.html?utm_source=chatgpt.com" TargetMode="External"/><Relationship Id="rId26" Type="http://schemas.openxmlformats.org/officeDocument/2006/relationships/hyperlink" Target="https://www.reuters.com/business/healthcare-pharmaceuticals/corcept-shares-tumble-after-fda-letter-reveals-warnings-before-drug-rejection-2026-01-30/?utm_source=chatgpt.com" TargetMode="External"/><Relationship Id="rId47" Type="http://schemas.openxmlformats.org/officeDocument/2006/relationships/image" Target="media/image15.jpeg"/><Relationship Id="rId68" Type="http://schemas.openxmlformats.org/officeDocument/2006/relationships/image" Target="media/image20.png"/><Relationship Id="rId89" Type="http://schemas.openxmlformats.org/officeDocument/2006/relationships/hyperlink" Target="https://www.researchgate.net/publication/391310513_Detecting_Information_Asymmetry_in_Dark_Pool_Trading_Through_Temporal_Microstructure_Analysis?utm_source=chatgpt.com" TargetMode="External"/><Relationship Id="rId112" Type="http://schemas.openxmlformats.org/officeDocument/2006/relationships/hyperlink" Target="https://arxiv.org/abs/2404.12827?utm_source=chatgpt.com" TargetMode="External"/><Relationship Id="rId133" Type="http://schemas.openxmlformats.org/officeDocument/2006/relationships/image" Target="media/image27.png"/><Relationship Id="rId154" Type="http://schemas.openxmlformats.org/officeDocument/2006/relationships/hyperlink" Target="https://www.rttnews.com/amp/3610695/will-the-fda-s-decision-on-kresladi-propel-rocket-pharmaceuticals.aspx?utm_source=chatgpt.com" TargetMode="External"/><Relationship Id="rId175" Type="http://schemas.openxmlformats.org/officeDocument/2006/relationships/hyperlink" Target="https://investors.aquestive.com/news-releases/news-release-details/aquestive-therapeutics-announces-fda-issuance-complete-response?utm_source=chatgpt.com" TargetMode="External"/><Relationship Id="rId16" Type="http://schemas.openxmlformats.org/officeDocument/2006/relationships/hyperlink" Target="https://www.globenewswire.com/news-release/2026/02/01/3229924/0/en/pharming-group-receives-complete-response-letter-from-u-s-fda-for-snda-for-joenja-leniolisib-in-children-aged-4-to-11-years-with-apds.html?utm_source=chatgpt.com" TargetMode="External"/><Relationship Id="rId37" Type="http://schemas.openxmlformats.org/officeDocument/2006/relationships/hyperlink" Target="https://www.sec.gov/Archives/edgar/data/1515673/000119312526030590/rare-20260130.htm?utm_source=chatgpt.com" TargetMode="External"/><Relationship Id="rId58" Type="http://schemas.openxmlformats.org/officeDocument/2006/relationships/hyperlink" Target="https://www.asgct.org/advocacy/policy-statements/rare-pediatric-disease-priority-review-voucher-prv-sign-on?utm_source=chatgpt.com" TargetMode="External"/><Relationship Id="rId79" Type="http://schemas.openxmlformats.org/officeDocument/2006/relationships/hyperlink" Target="https://www.stocktitan.net/news/AQST/aquestive-therapeutics-announces-fda-issuance-of-complete-response-j2lg4nsf8fpy.html?utm_source=chatgpt.com" TargetMode="External"/><Relationship Id="rId102" Type="http://schemas.openxmlformats.org/officeDocument/2006/relationships/hyperlink" Target="https://www.sciencedirect.com/science/article/pii/S1042444X25000489?utm_source=chatgpt.com" TargetMode="External"/><Relationship Id="rId123" Type="http://schemas.openxmlformats.org/officeDocument/2006/relationships/hyperlink" Target="https://arxiv.org/abs/2406.10292?utm_source=chatgpt.com" TargetMode="External"/><Relationship Id="rId144" Type="http://schemas.openxmlformats.org/officeDocument/2006/relationships/image" Target="media/image30.png"/><Relationship Id="rId90" Type="http://schemas.openxmlformats.org/officeDocument/2006/relationships/hyperlink" Target="https://blog.traderspost.io/article/dark-pool-trading-liquidity-guide?utm_source=chatgpt.com" TargetMode="External"/><Relationship Id="rId165" Type="http://schemas.openxmlformats.org/officeDocument/2006/relationships/hyperlink" Target="https://investors.x4pharma.com/news-releases/news-release-details/x4-pharmaceuticals-announces-125-million-capital-infusion-105?utm_source=chatgpt.com" TargetMode="External"/><Relationship Id="rId27" Type="http://schemas.openxmlformats.org/officeDocument/2006/relationships/hyperlink" Target="https://www.reuters.com/business/healthcare-pharmaceuticals/corcept-shares-tumble-after-fda-letter-reveals-warnings-before-drug-rejection-2026-01-30/?utm_source=chatgpt.com" TargetMode="External"/><Relationship Id="rId48" Type="http://schemas.openxmlformats.org/officeDocument/2006/relationships/image" Target="media/image16.png"/><Relationship Id="rId69" Type="http://schemas.openxmlformats.org/officeDocument/2006/relationships/image" Target="media/image21.png"/><Relationship Id="rId113" Type="http://schemas.openxmlformats.org/officeDocument/2006/relationships/hyperlink" Target="https://pubmed.ncbi.nlm.nih.gov/37550410/?utm_source=chatgpt.com" TargetMode="External"/><Relationship Id="rId134" Type="http://schemas.openxmlformats.org/officeDocument/2006/relationships/image" Target="media/image28.jpeg"/><Relationship Id="rId80" Type="http://schemas.openxmlformats.org/officeDocument/2006/relationships/hyperlink" Target="https://www.rttnews.com/corpinfo/fdacalendar.aspx?utm_source=chatgpt.com" TargetMode="External"/><Relationship Id="rId155" Type="http://schemas.openxmlformats.org/officeDocument/2006/relationships/hyperlink" Target="https://www.agcbio.com/news/agc-biologics-expands-partnership-with-rocket-pharmaceuticals?utm_source=chatgpt.com" TargetMode="External"/><Relationship Id="rId176" Type="http://schemas.openxmlformats.org/officeDocument/2006/relationships/image" Target="media/image43.jpeg"/><Relationship Id="rId17" Type="http://schemas.openxmlformats.org/officeDocument/2006/relationships/hyperlink" Target="https://www.globenewswire.com/news-release/2026/02/01/3229924/0/en/pharming-group-receives-complete-response-letter-from-u-s-fda-for-snda-for-joenja-leniolisib-in-children-aged-4-to-11-years-with-apds.html?utm_source=chatgpt.com" TargetMode="External"/><Relationship Id="rId38" Type="http://schemas.openxmlformats.org/officeDocument/2006/relationships/image" Target="media/image12.jpeg"/><Relationship Id="rId59" Type="http://schemas.openxmlformats.org/officeDocument/2006/relationships/hyperlink" Target="https://www.expresspharma.in/sparc-receives-priority-review-voucher-associated-with-sezaby-approval/?utm_source=chatgpt.com" TargetMode="External"/><Relationship Id="rId103" Type="http://schemas.openxmlformats.org/officeDocument/2006/relationships/hyperlink" Target="https://arxiv.org/abs/2506.07711?utm_source=chatgpt.com" TargetMode="External"/><Relationship Id="rId124" Type="http://schemas.openxmlformats.org/officeDocument/2006/relationships/hyperlink" Target="https://pmc.ncbi.nlm.nih.gov/articles/PMC12475113/?utm_source=chatgpt.com" TargetMode="External"/><Relationship Id="rId70" Type="http://schemas.openxmlformats.org/officeDocument/2006/relationships/image" Target="media/image22.png"/><Relationship Id="rId91" Type="http://schemas.openxmlformats.org/officeDocument/2006/relationships/hyperlink" Target="https://docs.blackboxstocks.com/en/getting-started/our-proprietary-indicators/?utm_source=chatgpt.com" TargetMode="External"/><Relationship Id="rId145" Type="http://schemas.openxmlformats.org/officeDocument/2006/relationships/image" Target="media/image31.png"/><Relationship Id="rId166" Type="http://schemas.openxmlformats.org/officeDocument/2006/relationships/hyperlink" Target="https://www.fda.gov/advisory-committees/advisory-committee-calendar?utm_source=chatgpt.com" TargetMode="External"/><Relationship Id="rId1" Type="http://schemas.openxmlformats.org/officeDocument/2006/relationships/numbering" Target="numbering.xml"/><Relationship Id="rId28" Type="http://schemas.openxmlformats.org/officeDocument/2006/relationships/hyperlink" Target="https://www.reuters.com/business/healthcare-pharmaceuticals/corcept-shares-tumble-after-fda-letter-reveals-warnings-before-drug-rejection-2026-01-30/?utm_source=chatgpt.com" TargetMode="External"/><Relationship Id="rId49" Type="http://schemas.openxmlformats.org/officeDocument/2006/relationships/hyperlink" Target="https://www.stocktitan.net/sec-filings/FBIO/8-k-fortress-biotech-inc-reports-material-event-9c051682c00a.html?utm_source=chatgpt.com" TargetMode="External"/><Relationship Id="rId114" Type="http://schemas.openxmlformats.org/officeDocument/2006/relationships/hyperlink" Target="https://pmc.ncbi.nlm.nih.gov/articles/PMC11031120/?utm_source=chatgpt.com" TargetMode="External"/><Relationship Id="rId60" Type="http://schemas.openxmlformats.org/officeDocument/2006/relationships/hyperlink" Target="https://www.prnewswire.com/news-releases/sanegenebio-announces-rnai-global-licensing-collaboration-with-genentech-302676224.html?utm_source=chatgpt.com" TargetMode="External"/><Relationship Id="rId81" Type="http://schemas.openxmlformats.org/officeDocument/2006/relationships/hyperlink" Target="https://pubmed.ncbi.nlm.nih.gov/10736971/?utm_source=chatgpt.com" TargetMode="External"/><Relationship Id="rId135" Type="http://schemas.openxmlformats.org/officeDocument/2006/relationships/image" Target="media/image29.jpeg"/><Relationship Id="rId156" Type="http://schemas.openxmlformats.org/officeDocument/2006/relationships/hyperlink" Target="https://www.agcbio.com/news/agc-biologics-expands-partnership-with-rocket-pharmaceuticals?utm_source=chatgpt.com" TargetMode="External"/><Relationship Id="rId177"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1886</TotalTime>
  <Pages>71</Pages>
  <Words>14978</Words>
  <Characters>85376</Characters>
  <Application>Microsoft Office Word</Application>
  <DocSecurity>0</DocSecurity>
  <Lines>711</Lines>
  <Paragraphs>200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Moore</dc:creator>
  <cp:keywords/>
  <dc:description/>
  <cp:lastModifiedBy>David Moore</cp:lastModifiedBy>
  <cp:revision>1</cp:revision>
  <dcterms:created xsi:type="dcterms:W3CDTF">2026-02-04T17:03:00Z</dcterms:created>
  <dcterms:modified xsi:type="dcterms:W3CDTF">2026-02-11T18:56:00Z</dcterms:modified>
</cp:coreProperties>
</file>