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4"/>
          <w:szCs w:val="44"/>
        </w:rPr>
        <w:t xml:space="preserve">NEW SIGNAL FAMILIES</w:t>
      </w:r>
    </w:p>
    <w:p>
      <w:pPr>
        <w:spacing w:after="80"/>
      </w:pPr>
      <w:r>
        <w:rPr>
          <w:rFonts w:ascii="Arial" w:cs="Arial" w:eastAsia="Arial" w:hAnsi="Arial"/>
          <w:color w:val="2E75B6"/>
          <w:sz w:val="28"/>
          <w:szCs w:val="28"/>
        </w:rPr>
        <w:t xml:space="preserve">Research Brief &amp; Ranked Priorities</w:t>
      </w:r>
    </w:p>
    <w:p>
      <w:pPr>
        <w:spacing w:after="300"/>
      </w:pPr>
      <w:r>
        <w:rPr>
          <w:rFonts w:ascii="Arial" w:cs="Arial" w:eastAsia="Arial" w:hAnsi="Arial"/>
          <w:b/>
          <w:bCs/>
          <w:sz w:val="20"/>
          <w:szCs w:val="20"/>
        </w:rPr>
        <w:t xml:space="preserve">Date: </w:t>
      </w:r>
      <w:r>
        <w:rPr>
          <w:rFonts w:ascii="Arial" w:cs="Arial" w:eastAsia="Arial" w:hAnsi="Arial"/>
          <w:sz w:val="20"/>
          <w:szCs w:val="20"/>
        </w:rPr>
        <w:t xml:space="preserve">April 21, 2026    </w:t>
      </w:r>
      <w:r>
        <w:rPr>
          <w:rFonts w:ascii="Arial" w:cs="Arial" w:eastAsia="Arial" w:hAnsi="Arial"/>
          <w:b/>
          <w:bCs/>
          <w:sz w:val="20"/>
          <w:szCs w:val="20"/>
        </w:rPr>
        <w:t xml:space="preserve">Author: </w:t>
      </w:r>
      <w:r>
        <w:rPr>
          <w:rFonts w:ascii="Arial" w:cs="Arial" w:eastAsia="Arial" w:hAnsi="Arial"/>
          <w:sz w:val="20"/>
          <w:szCs w:val="20"/>
        </w:rPr>
        <w:t xml:space="preserve">Claude (9 Realms)    </w:t>
      </w:r>
      <w:r>
        <w:rPr>
          <w:rFonts w:ascii="Arial" w:cs="Arial" w:eastAsia="Arial" w:hAnsi="Arial"/>
          <w:b/>
          <w:bCs/>
          <w:sz w:val="20"/>
          <w:szCs w:val="20"/>
        </w:rPr>
        <w:t xml:space="preserve">Classification: </w:t>
      </w:r>
      <w:r>
        <w:rPr>
          <w:rFonts w:ascii="Arial" w:cs="Arial" w:eastAsia="Arial" w:hAnsi="Arial"/>
          <w:sz w:val="20"/>
          <w:szCs w:val="20"/>
        </w:rPr>
        <w:t xml:space="preserve">Internal</w:t>
      </w:r>
    </w:p>
    <w:p>
      <w:pPr>
        <w:pStyle w:val="Heading1"/>
        <w:spacing w:after="120"/>
      </w:pPr>
      <w:r>
        <w:rPr>
          <w:rFonts w:ascii="Arial" w:cs="Arial" w:eastAsia="Arial" w:hAnsi="Arial"/>
          <w:sz w:val="22"/>
          <w:szCs w:val="22"/>
        </w:rPr>
        <w:t xml:space="preserve">Executive Summary</w:t>
      </w:r>
    </w:p>
    <w:p>
      <w:pPr>
        <w:spacing w:after="120"/>
      </w:pPr>
      <w:r>
        <w:rPr>
          <w:rFonts w:ascii="Arial" w:cs="Arial" w:eastAsia="Arial" w:hAnsi="Arial"/>
          <w:b/>
          <w:bCs/>
          <w:sz w:val="22"/>
          <w:szCs w:val="22"/>
        </w:rPr>
        <w:t xml:space="preserve">Nine consecutive honest Kaizen cycles have returned NULL</w:t>
      </w:r>
      <w:r>
        <w:rPr>
          <w:rFonts w:ascii="Arial" w:cs="Arial" w:eastAsia="Arial" w:hAnsi="Arial"/>
          <w:sz w:val="22"/>
          <w:szCs w:val="22"/>
        </w:rPr>
        <w:t xml:space="preserve"> across BIFROST Explosion (v5.7, v5.8, v5.9), ODIN (v17 HINT), Gungnir (v47), and the Smart Money / Short Interest feature-family pulls. The pattern is decisive: </w:t>
      </w:r>
      <w:r>
        <w:rPr>
          <w:rFonts w:ascii="Arial" w:cs="Arial" w:eastAsia="Arial" w:hAnsi="Arial"/>
          <w:b/>
          <w:bCs/>
          <w:sz w:val="22"/>
          <w:szCs w:val="22"/>
        </w:rPr>
        <w:t xml:space="preserve">locally-computable features on the existing PDUFA, phase readout, and explosion event datasets are saturated</w:t>
      </w:r>
      <w:r>
        <w:rPr>
          <w:rFonts w:ascii="Arial" w:cs="Arial" w:eastAsia="Arial" w:hAnsi="Arial"/>
          <w:sz w:val="22"/>
          <w:szCs w:val="22"/>
        </w:rPr>
        <w:t xml:space="preserve">. Further kaizen on the same primitives will keep producing nulls.</w:t>
      </w:r>
    </w:p>
    <w:p>
      <w:pPr>
        <w:spacing w:after="120"/>
      </w:pPr>
      <w:r>
        <w:rPr>
          <w:rFonts w:ascii="Arial" w:cs="Arial" w:eastAsia="Arial" w:hAnsi="Arial"/>
          <w:sz w:val="22"/>
          <w:szCs w:val="22"/>
        </w:rPr>
        <w:t xml:space="preserve">This brief pivots the roadmap along two orthogonal axes: </w:t>
      </w:r>
      <w:r>
        <w:rPr>
          <w:rFonts w:ascii="Arial" w:cs="Arial" w:eastAsia="Arial" w:hAnsi="Arial"/>
          <w:b/>
          <w:bCs/>
          <w:sz w:val="22"/>
          <w:szCs w:val="22"/>
        </w:rPr>
        <w:t xml:space="preserve">NEW EVENT TYPES</w:t>
      </w:r>
      <w:r>
        <w:rPr>
          <w:rFonts w:ascii="Arial" w:cs="Arial" w:eastAsia="Arial" w:hAnsi="Arial"/>
          <w:sz w:val="22"/>
          <w:szCs w:val="22"/>
        </w:rPr>
        <w:t xml:space="preserve"> (catalyst classes the current engines do not score) and </w:t>
      </w:r>
      <w:r>
        <w:rPr>
          <w:rFonts w:ascii="Arial" w:cs="Arial" w:eastAsia="Arial" w:hAnsi="Arial"/>
          <w:b/>
          <w:bCs/>
          <w:sz w:val="22"/>
          <w:szCs w:val="22"/>
        </w:rPr>
        <w:t xml:space="preserve">NEW DATA INFRASTRUCTURE</w:t>
      </w:r>
      <w:r>
        <w:rPr>
          <w:rFonts w:ascii="Arial" w:cs="Arial" w:eastAsia="Arial" w:hAnsi="Arial"/>
          <w:sz w:val="22"/>
          <w:szCs w:val="22"/>
        </w:rPr>
        <w:t xml:space="preserve"> (orthogonal feature sources that would enrich predictions on existing events). Each candidate is scored on info value, coverage, T-1 compliance, and implementation cost, then mapped to the engine(s) it would lift.</w:t>
      </w:r>
    </w:p>
    <w:p>
      <w:pPr>
        <w:spacing w:after="120"/>
      </w:pPr>
      <w:r>
        <w:rPr>
          <w:rFonts w:ascii="Arial" w:cs="Arial" w:eastAsia="Arial" w:hAnsi="Arial"/>
          <w:sz w:val="22"/>
          <w:szCs w:val="22"/>
        </w:rPr>
        <w:t xml:space="preserve">Top-5 combined priorities (see the Combined Priority Matrix for the full top-10 ranking):</w:t>
      </w:r>
    </w:p>
    <w:p>
      <w:pPr>
        <w:pStyle w:val="ListParagraph"/>
        <w:numPr>
          <w:ilvl w:val="0"/>
          <w:numId w:val="2"/>
        </w:numPr>
        <w:spacing w:after="120"/>
      </w:pPr>
      <w:r>
        <w:rPr>
          <w:rFonts w:ascii="Arial" w:cs="Arial" w:eastAsia="Arial" w:hAnsi="Arial"/>
          <w:b/>
          <w:bCs/>
          <w:sz w:val="22"/>
          <w:szCs w:val="22"/>
        </w:rPr>
        <w:t xml:space="preserve">#1 — </w:t>
      </w:r>
      <w:r>
        <w:rPr>
          <w:rFonts w:ascii="Arial" w:cs="Arial" w:eastAsia="Arial" w:hAnsi="Arial"/>
          <w:b/>
          <w:bCs/>
          <w:sz w:val="22"/>
          <w:szCs w:val="22"/>
        </w:rPr>
        <w:t xml:space="preserve">Form 4 historical insider time series (2015-2026)</w:t>
      </w:r>
      <w:r>
        <w:rPr>
          <w:rFonts w:ascii="Arial" w:cs="Arial" w:eastAsia="Arial" w:hAnsi="Arial"/>
          <w:sz w:val="22"/>
          <w:szCs w:val="22"/>
        </w:rPr>
        <w:t xml:space="preserve"> — standing #1 since v5.9 null. High expected info value, free SEC source, truly orthogonal to the 9 null families. Lifts all 3 engines.</w:t>
      </w:r>
    </w:p>
    <w:p>
      <w:pPr>
        <w:pStyle w:val="ListParagraph"/>
        <w:numPr>
          <w:ilvl w:val="0"/>
          <w:numId w:val="2"/>
        </w:numPr>
        <w:spacing w:after="120"/>
      </w:pPr>
      <w:r>
        <w:rPr>
          <w:rFonts w:ascii="Arial" w:cs="Arial" w:eastAsia="Arial" w:hAnsi="Arial"/>
          <w:b/>
          <w:bCs/>
          <w:sz w:val="22"/>
          <w:szCs w:val="22"/>
        </w:rPr>
        <w:t xml:space="preserve">#2 — </w:t>
      </w:r>
      <w:r>
        <w:rPr>
          <w:rFonts w:ascii="Arial" w:cs="Arial" w:eastAsia="Arial" w:hAnsi="Arial"/>
          <w:b/>
          <w:bCs/>
          <w:sz w:val="22"/>
          <w:szCs w:val="22"/>
        </w:rPr>
        <w:t xml:space="preserve">ADCOM / FDA Advisory Committee events</w:t>
      </w:r>
      <w:r>
        <w:rPr>
          <w:rFonts w:ascii="Arial" w:cs="Arial" w:eastAsia="Arial" w:hAnsi="Arial"/>
          <w:sz w:val="22"/>
          <w:szCs w:val="22"/>
        </w:rPr>
        <w:t xml:space="preserve"> (NEW event type). Vote outcome is predictive of PDUFA; briefing-doc release is a separate tradeable window. Scores a new 30-40/year catalyst stream currently uncaptured.</w:t>
      </w:r>
    </w:p>
    <w:p>
      <w:pPr>
        <w:pStyle w:val="ListParagraph"/>
        <w:numPr>
          <w:ilvl w:val="0"/>
          <w:numId w:val="2"/>
        </w:numPr>
        <w:spacing w:after="120"/>
      </w:pPr>
      <w:r>
        <w:rPr>
          <w:rFonts w:ascii="Arial" w:cs="Arial" w:eastAsia="Arial" w:hAnsi="Arial"/>
          <w:b/>
          <w:bCs/>
          <w:sz w:val="22"/>
          <w:szCs w:val="22"/>
        </w:rPr>
        <w:t xml:space="preserve">#3 — </w:t>
      </w:r>
      <w:r>
        <w:rPr>
          <w:rFonts w:ascii="Arial" w:cs="Arial" w:eastAsia="Arial" w:hAnsi="Arial"/>
          <w:b/>
          <w:bCs/>
          <w:sz w:val="22"/>
          <w:szCs w:val="22"/>
        </w:rPr>
        <w:t xml:space="preserve">NDA/BLA submission event stream</w:t>
      </w:r>
      <w:r>
        <w:rPr>
          <w:rFonts w:ascii="Arial" w:cs="Arial" w:eastAsia="Arial" w:hAnsi="Arial"/>
          <w:sz w:val="22"/>
          <w:szCs w:val="22"/>
        </w:rPr>
        <w:t xml:space="preserve"> (NEW event type). Public FDA acceptance/RTF decisions create ~300 filings/year with clean stock reactions. Feeds ODIN upstream.</w:t>
      </w:r>
    </w:p>
    <w:p>
      <w:pPr>
        <w:pStyle w:val="ListParagraph"/>
        <w:numPr>
          <w:ilvl w:val="0"/>
          <w:numId w:val="2"/>
        </w:numPr>
        <w:spacing w:after="120"/>
      </w:pPr>
      <w:r>
        <w:rPr>
          <w:rFonts w:ascii="Arial" w:cs="Arial" w:eastAsia="Arial" w:hAnsi="Arial"/>
          <w:b/>
          <w:bCs/>
          <w:sz w:val="22"/>
          <w:szCs w:val="22"/>
        </w:rPr>
        <w:t xml:space="preserve">#4 — </w:t>
      </w:r>
      <w:r>
        <w:rPr>
          <w:rFonts w:ascii="Arial" w:cs="Arial" w:eastAsia="Arial" w:hAnsi="Arial"/>
          <w:b/>
          <w:bCs/>
          <w:sz w:val="22"/>
          <w:szCs w:val="22"/>
        </w:rPr>
        <w:t xml:space="preserve">CMS NCD / local coverage determinations</w:t>
      </w:r>
      <w:r>
        <w:rPr>
          <w:rFonts w:ascii="Arial" w:cs="Arial" w:eastAsia="Arial" w:hAnsi="Arial"/>
          <w:sz w:val="22"/>
          <w:szCs w:val="22"/>
        </w:rPr>
        <w:t xml:space="preserve"> (NEW event type + data source). Reimbursement decisions drive post-approval stock moves; MCP already connected but unused in models.</w:t>
      </w:r>
    </w:p>
    <w:p>
      <w:pPr>
        <w:pStyle w:val="ListParagraph"/>
        <w:numPr>
          <w:ilvl w:val="0"/>
          <w:numId w:val="2"/>
        </w:numPr>
        <w:spacing w:after="120"/>
      </w:pPr>
      <w:r>
        <w:rPr>
          <w:rFonts w:ascii="Arial" w:cs="Arial" w:eastAsia="Arial" w:hAnsi="Arial"/>
          <w:b/>
          <w:bCs/>
          <w:sz w:val="22"/>
          <w:szCs w:val="22"/>
        </w:rPr>
        <w:t xml:space="preserve">#5 — </w:t>
      </w:r>
      <w:r>
        <w:rPr>
          <w:rFonts w:ascii="Arial" w:cs="Arial" w:eastAsia="Arial" w:hAnsi="Arial"/>
          <w:b/>
          <w:bCs/>
          <w:sz w:val="22"/>
          <w:szCs w:val="22"/>
        </w:rPr>
        <w:t xml:space="preserve">EDGAR 8-K real-time event stream</w:t>
      </w:r>
      <w:r>
        <w:rPr>
          <w:rFonts w:ascii="Arial" w:cs="Arial" w:eastAsia="Arial" w:hAnsi="Arial"/>
          <w:sz w:val="22"/>
          <w:szCs w:val="22"/>
        </w:rPr>
        <w:t xml:space="preserve"> (NEW data infrastructure). Captures licensing deals, CEO changes, strategic reviews, PIPE pricings — all currently invisible to our models.</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execute the Form 4 backfill (priority #1) immediately while this brief catalogs the full landscape. Form 4 is the single highest-probability lift that remains uncontaminated by the 9-null saturation pattern. Priorities #2-#5 are scoped as parallel kaizen tracks once Form 4 ships.</w:t>
      </w:r>
    </w:p>
    <w:p>
      <w:r>
        <w:br w:type="page"/>
      </w:r>
    </w:p>
    <w:p>
      <w:pPr>
        <w:pStyle w:val="Heading1"/>
        <w:spacing w:after="120"/>
      </w:pPr>
      <w:r>
        <w:rPr>
          <w:rFonts w:ascii="Arial" w:cs="Arial" w:eastAsia="Arial" w:hAnsi="Arial"/>
          <w:sz w:val="22"/>
          <w:szCs w:val="22"/>
        </w:rPr>
        <w:t xml:space="preserve">Motivation &amp; Context</w:t>
      </w:r>
    </w:p>
    <w:p>
      <w:pPr>
        <w:pStyle w:val="Heading2"/>
        <w:spacing w:after="120"/>
      </w:pPr>
      <w:r>
        <w:rPr>
          <w:rFonts w:ascii="Arial" w:cs="Arial" w:eastAsia="Arial" w:hAnsi="Arial"/>
          <w:sz w:val="22"/>
          <w:szCs w:val="22"/>
        </w:rPr>
        <w:t xml:space="preserve">The Saturation Pattern</w:t>
      </w:r>
    </w:p>
    <w:p>
      <w:pPr>
        <w:spacing w:after="120"/>
      </w:pPr>
      <w:r>
        <w:rPr>
          <w:rFonts w:ascii="Arial" w:cs="Arial" w:eastAsia="Arial" w:hAnsi="Arial"/>
          <w:sz w:val="22"/>
          <w:szCs w:val="22"/>
        </w:rPr>
        <w:t xml:space="preserve">Between Apr 17 and Apr 21, 2026, nine consecutive honest Kaizens returned NULL against their respective deployed champions. All nine used identical discipline: strict 3-way temporal split (train to 2023 / val 2024 / test 2025+), val-only feature selection, bootstrap 95% CI on test, and single test-touch. The failures span three engines and three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400"/>
        <w:gridCol w:w="2860"/>
      </w:tblGrid>
      <w:tr>
        <w:trPr>
          <w:tblHeader/>
        </w:trP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Kaizen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Engine / Event</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Honest Verdict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BIFROST v5.7 non-linear transforms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Explosion / |move|&gt;25%</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NULL — absorbed by v5.5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BIFROST v5.8 architecture + 37 local features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Explosion / |move|&gt;25%</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NULL — -190 bp vs v5.6 bar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Gungnir v47 backward elimination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Gungnir / phase readout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NULL on AUC — Brier lift only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ODIN v17 HINT integration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ODIN / PDUFA outcome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NULL — -301 bp test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Smart Money Phase 3 (13F god tier)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ODIN / PDUFA outcome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NULL — -96 bp test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 historical panel on ODIN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ODIN / PDUFA outcome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NULL — +6 bp (tied within CI)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 historical panel on Gungnir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Gungnir / phase readout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HARD NULL — 0 features selected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Smart Money Q2 pre-screen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ODIN / PDUFA outcome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NULL — signal already absorbed</w:t>
            </w:r>
          </w:p>
        </w:tc>
      </w:tr>
      <w:tr>
        <w:tc>
          <w:tcPr>
            <w:tcW w:type="dxa" w:w="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18"/>
                <w:szCs w:val="18"/>
              </w:rPr>
              <w:t xml:space="preserve">9</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18"/>
                <w:szCs w:val="18"/>
              </w:rPr>
              <w:t xml:space="preserve">BIFROST v5.9 ORATS options panel (128 cands)</w:t>
            </w:r>
          </w:p>
        </w:tc>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18"/>
                <w:szCs w:val="18"/>
              </w:rPr>
              <w:t xml:space="preserve">Explosion / |move|&gt;25%</w:t>
            </w:r>
          </w:p>
        </w:tc>
        <w:tc>
          <w:tcPr>
            <w:tcW w:type="dxa" w:w="28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18"/>
                <w:szCs w:val="18"/>
              </w:rPr>
              <w:t xml:space="preserve">NULL — -204 bp test; coverage artifact</w:t>
            </w:r>
          </w:p>
        </w:tc>
      </w:tr>
    </w:tbl>
    <w:p>
      <w:pPr>
        <w:spacing w:after="120"/>
      </w:pPr>
      <w:r>
        <w:rPr>
          <w:rFonts w:ascii="Arial" w:cs="Arial" w:eastAsia="Arial" w:hAnsi="Arial"/>
          <w:sz w:val="22"/>
          <w:szCs w:val="22"/>
        </w:rPr>
        <w:t xml:space="preserve"> </w:t>
      </w:r>
    </w:p>
    <w:p>
      <w:pPr>
        <w:pStyle w:val="Heading2"/>
        <w:spacing w:after="120"/>
      </w:pPr>
      <w:r>
        <w:rPr>
          <w:rFonts w:ascii="Arial" w:cs="Arial" w:eastAsia="Arial" w:hAnsi="Arial"/>
          <w:sz w:val="22"/>
          <w:szCs w:val="22"/>
        </w:rPr>
        <w:t xml:space="preserve">Why Local Features Are Saturated</w:t>
      </w:r>
    </w:p>
    <w:p>
      <w:pPr>
        <w:spacing w:after="120"/>
      </w:pPr>
      <w:r>
        <w:rPr>
          <w:rFonts w:ascii="Arial" w:cs="Arial" w:eastAsia="Arial" w:hAnsi="Arial"/>
          <w:sz w:val="22"/>
          <w:szCs w:val="22"/>
        </w:rPr>
        <w:t xml:space="preserve">Every deployed engine has absorbed the available signal from its primary feature families. ODIN v14 (51 features) has mined PDUFA regulatory metadata, sponsor history, CRL reason classification, and designation stacking. Gungnir v46 (126 features) has mined journey history, drug modality, trial design, conference signal, and ChEMBL mechanisms. BIFROST Explosion v5.5 (65 features) has mined market microstructure, short interest, XBI regime, and pre-catalyst runup patterns. The nine null Kaizens prove that additional variants of these feature families (non-linear transforms, pairwise interactions, alternative architectures, micro-enrichments) add no generalizable signal.</w:t>
      </w:r>
    </w:p>
    <w:p>
      <w:pPr>
        <w:spacing w:after="120"/>
      </w:pPr>
      <w:r>
        <w:rPr>
          <w:rFonts w:ascii="Arial" w:cs="Arial" w:eastAsia="Arial" w:hAnsi="Arial"/>
          <w:sz w:val="22"/>
          <w:szCs w:val="22"/>
        </w:rPr>
        <w:t xml:space="preserve">The only durable path forward is new ground: either (a) event types the engines do not currently score, or (b) data sources orthogonal to the saturated families. This brief catalogs both axes.</w:t>
      </w:r>
    </w:p>
    <w:p>
      <w:r>
        <w:br w:type="page"/>
      </w:r>
    </w:p>
    <w:p>
      <w:pPr>
        <w:pStyle w:val="Heading1"/>
        <w:spacing w:after="120"/>
      </w:pPr>
      <w:r>
        <w:rPr>
          <w:rFonts w:ascii="Arial" w:cs="Arial" w:eastAsia="Arial" w:hAnsi="Arial"/>
          <w:sz w:val="22"/>
          <w:szCs w:val="22"/>
        </w:rPr>
        <w:t xml:space="preserve">Scope, Methodology, Scoring</w:t>
      </w:r>
    </w:p>
    <w:p>
      <w:pPr>
        <w:pStyle w:val="Heading2"/>
        <w:spacing w:after="120"/>
      </w:pPr>
      <w:r>
        <w:rPr>
          <w:rFonts w:ascii="Arial" w:cs="Arial" w:eastAsia="Arial" w:hAnsi="Arial"/>
          <w:sz w:val="22"/>
          <w:szCs w:val="22"/>
        </w:rPr>
        <w:t xml:space="preserve">Evaluation Criteria</w:t>
      </w:r>
    </w:p>
    <w:p>
      <w:pPr>
        <w:spacing w:after="120"/>
      </w:pPr>
      <w:r>
        <w:rPr>
          <w:rFonts w:ascii="Arial" w:cs="Arial" w:eastAsia="Arial" w:hAnsi="Arial"/>
          <w:sz w:val="22"/>
          <w:szCs w:val="22"/>
        </w:rPr>
        <w:t xml:space="preserve">Each candidate is scored on four dimensions:</w:t>
      </w:r>
    </w:p>
    <w:p>
      <w:pPr>
        <w:pStyle w:val="ListParagraph"/>
        <w:numPr>
          <w:ilvl w:val="0"/>
          <w:numId w:val="2"/>
        </w:numPr>
        <w:spacing w:after="120"/>
      </w:pPr>
      <w:r>
        <w:rPr>
          <w:rFonts w:ascii="Arial" w:cs="Arial" w:eastAsia="Arial" w:hAnsi="Arial"/>
          <w:b/>
          <w:bCs/>
          <w:sz w:val="22"/>
          <w:szCs w:val="22"/>
        </w:rPr>
        <w:t xml:space="preserve">Info Value (1-5): </w:t>
      </w:r>
      <w:r>
        <w:rPr>
          <w:rFonts w:ascii="Arial" w:cs="Arial" w:eastAsia="Arial" w:hAnsi="Arial"/>
          <w:sz w:val="22"/>
          <w:szCs w:val="22"/>
        </w:rPr>
        <w:t xml:space="preserve">expected honest AUC lift / Brier reduction / Sharpe contribution. Anchored to prior engine kaizens. Higher = more likely to beat the deployed bar.</w:t>
      </w:r>
    </w:p>
    <w:p>
      <w:pPr>
        <w:pStyle w:val="ListParagraph"/>
        <w:numPr>
          <w:ilvl w:val="0"/>
          <w:numId w:val="2"/>
        </w:numPr>
        <w:spacing w:after="120"/>
      </w:pPr>
      <w:r>
        <w:rPr>
          <w:rFonts w:ascii="Arial" w:cs="Arial" w:eastAsia="Arial" w:hAnsi="Arial"/>
          <w:b/>
          <w:bCs/>
          <w:sz w:val="22"/>
          <w:szCs w:val="22"/>
        </w:rPr>
        <w:t xml:space="preserve">Coverage (1-5): </w:t>
      </w:r>
      <w:r>
        <w:rPr>
          <w:rFonts w:ascii="Arial" w:cs="Arial" w:eastAsia="Arial" w:hAnsi="Arial"/>
          <w:sz w:val="22"/>
          <w:szCs w:val="22"/>
        </w:rPr>
        <w:t xml:space="preserve">fraction of existing events a signal covers. Low coverage creates the OOD problem HINT hit (11.4%). 5 = &gt;70% coverage on all three engines’ event sets.</w:t>
      </w:r>
    </w:p>
    <w:p>
      <w:pPr>
        <w:pStyle w:val="ListParagraph"/>
        <w:numPr>
          <w:ilvl w:val="0"/>
          <w:numId w:val="2"/>
        </w:numPr>
        <w:spacing w:after="120"/>
      </w:pPr>
      <w:r>
        <w:rPr>
          <w:rFonts w:ascii="Arial" w:cs="Arial" w:eastAsia="Arial" w:hAnsi="Arial"/>
          <w:b/>
          <w:bCs/>
          <w:sz w:val="22"/>
          <w:szCs w:val="22"/>
        </w:rPr>
        <w:t xml:space="preserve">T-1 Compliance (1-5): </w:t>
      </w:r>
      <w:r>
        <w:rPr>
          <w:rFonts w:ascii="Arial" w:cs="Arial" w:eastAsia="Arial" w:hAnsi="Arial"/>
          <w:sz w:val="22"/>
          <w:szCs w:val="22"/>
        </w:rPr>
        <w:t xml:space="preserve">cleanness of pre-catalyst availability. 5 = fully T-1 by definition (e.g., SEC filing timestamp). 1 = requires careful snapshotting to avoid future leakage.</w:t>
      </w:r>
    </w:p>
    <w:p>
      <w:pPr>
        <w:pStyle w:val="ListParagraph"/>
        <w:numPr>
          <w:ilvl w:val="0"/>
          <w:numId w:val="2"/>
        </w:numPr>
        <w:spacing w:after="120"/>
      </w:pPr>
      <w:r>
        <w:rPr>
          <w:rFonts w:ascii="Arial" w:cs="Arial" w:eastAsia="Arial" w:hAnsi="Arial"/>
          <w:b/>
          <w:bCs/>
          <w:sz w:val="22"/>
          <w:szCs w:val="22"/>
        </w:rPr>
        <w:t xml:space="preserve">Implementation Cost (1-5, lower = cheaper): </w:t>
      </w:r>
      <w:r>
        <w:rPr>
          <w:rFonts w:ascii="Arial" w:cs="Arial" w:eastAsia="Arial" w:hAnsi="Arial"/>
          <w:sz w:val="22"/>
          <w:szCs w:val="22"/>
        </w:rPr>
        <w:t xml:space="preserve">backfill effort, API rate limits, parsing complexity, engineering time. 1 = a one-day pull. 5 = multi-week scraping / paid data / custom parser pipeline.</w:t>
      </w:r>
    </w:p>
    <w:p>
      <w:pPr>
        <w:spacing w:after="120"/>
      </w:pPr>
      <w:r>
        <w:rPr>
          <w:rFonts w:ascii="Arial" w:cs="Arial" w:eastAsia="Arial" w:hAnsi="Arial"/>
          <w:sz w:val="22"/>
          <w:szCs w:val="22"/>
        </w:rPr>
        <w:t xml:space="preserve">Composite score = (Info × 0.40) + (Coverage × 0.25) + (T-1 × 0.20) + (6 − Cost) × 0.15. Higher is better. Each candidate is also mapped to which engines it lifts: O = ODIN, G = Gungnir, B = BIFROST Explosion.</w:t>
      </w:r>
    </w:p>
    <w:p>
      <w:r>
        <w:br w:type="page"/>
      </w:r>
    </w:p>
    <w:p>
      <w:pPr>
        <w:pStyle w:val="Heading1"/>
        <w:spacing w:after="120"/>
      </w:pPr>
      <w:r>
        <w:rPr>
          <w:rFonts w:ascii="Arial" w:cs="Arial" w:eastAsia="Arial" w:hAnsi="Arial"/>
          <w:sz w:val="22"/>
          <w:szCs w:val="22"/>
        </w:rPr>
        <w:t xml:space="preserve">Axis A — New Event Types</w:t>
      </w:r>
    </w:p>
    <w:p>
      <w:pPr>
        <w:spacing w:after="120"/>
      </w:pPr>
      <w:r>
        <w:rPr>
          <w:rFonts w:ascii="Arial" w:cs="Arial" w:eastAsia="Arial" w:hAnsi="Arial"/>
          <w:sz w:val="22"/>
          <w:szCs w:val="22"/>
        </w:rPr>
        <w:t xml:space="preserve">Catalyst categories the current engines do not score, ranked by composite score. Each NEW event type could become either (a) a feature stream feeding an existing engine, or (b) the training set for a NEW engine.</w:t>
      </w:r>
    </w:p>
    <w:p>
      <w:pPr>
        <w:pStyle w:val="Heading2"/>
        <w:spacing w:after="120"/>
      </w:pPr>
      <w:r>
        <w:rPr>
          <w:rFonts w:ascii="Arial" w:cs="Arial" w:eastAsia="Arial" w:hAnsi="Arial"/>
          <w:sz w:val="22"/>
          <w:szCs w:val="22"/>
        </w:rPr>
        <w:t xml:space="preserve">Candidate Catalog (ranked)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80"/>
        <w:gridCol w:w="720"/>
        <w:gridCol w:w="600"/>
        <w:gridCol w:w="720"/>
        <w:gridCol w:w="520"/>
        <w:gridCol w:w="3120"/>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Event Type</w:t>
            </w:r>
          </w:p>
        </w:tc>
        <w:tc>
          <w:tcPr>
            <w:tcW w:type="dxa" w:w="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Info</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Cov</w:t>
            </w:r>
          </w:p>
        </w:tc>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T-1</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Cost</w:t>
            </w:r>
          </w:p>
        </w:tc>
        <w:tc>
          <w:tcPr>
            <w:tcW w:type="dxa" w:w="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Engines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Rationale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FDA ADCOM / ODAC votes</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 / new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calendar, ~30-40 votes/year. Vote outcome is highly predictive of PDUFA approval. Briefing docs released T-2; stocks move on briefing-doc sentiment. A NEW ADCOM Vote Predictor engine is viable. Lifts ODIN as feature "adcom_yes_rate" + its own predictor.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NDA / BLA submission + FDA acceptance</w:t>
            </w:r>
          </w:p>
        </w:tc>
        <w:tc>
          <w:tcPr>
            <w:tcW w:type="dxa" w:w="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~300 filings/year. FDA acceptance announcements (60-74 days post-submission) create binary events. Refusal-to-file (RTF) is a rare but severe negative. Extends ODIN upstream — currently ODIN only scores the 10-month outcome, not the 2-month acceptance.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CMS NCD / LCD coverage decisions</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 / new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Medicare National and Local Coverage Determinations. Major post-approval drivers for drug revenue (e.g., oncology, rare disease). MCP already connected (batch_get_ncds, search_local_coverage). ~20-50 meaningful drug-specific NCDs/year. New engine candidate for POST-PDUFA event scoring.</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CHMP (EMA) opinions</w:t>
            </w:r>
          </w:p>
        </w:tc>
        <w:tc>
          <w:tcPr>
            <w:tcW w:type="dxa" w:w="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Monthly CHMP meeting calendar; EU approval opinion often precedes or follows US by weeks. Cross-jurisdictional momentum signal. Lifts ODIN via feature chmp_prior_positive and CHMP timing relative to PDUFA.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FDA Complete Response Letter (CRL) resubmissions</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Currently ODIN scores FIRST-round outcomes. Resubmission-class features (resub1_x_*, resub2_x_*) exist, but the resubmission EVENT itself (not its 10-month outcome) creates its own tradeable catalyst: news of resubmission + class + time-gap since CRL predicts acceptance. New event stream.</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Licensing &amp; M&amp;A deals (in/out-licensing)</w:t>
            </w:r>
          </w:p>
        </w:tc>
        <w:tc>
          <w:tcPr>
            <w:tcW w:type="dxa" w:w="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 / new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Deal $ magnitude + sponsor quality + indication is highly predictive of follow-on stock performance and Phase 2/3 success (partners selectively acquire de-risked assets). Parse from 8-K filings. Lifts Gungnir via licensed_by_big_pharma, deal_upfront_usd.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Competitor readouts in same indication</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Indirect signal: if a mechanism-adjacent competitor reads positive in Phase 2, it raises the prior for our event. Requires cross-indexing Gungnir training events by indication + mechanism. Adds competitor_recent_positive feature family.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PIPE / at-the-market / secondary offerings</w:t>
            </w:r>
          </w:p>
        </w:tc>
        <w:tc>
          <w:tcPr>
            <w:tcW w:type="dxa" w:w="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 / G / 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Dilution announcements are Form 8-K events. Post-offering stock drift + signal about capital runway. High coverage (every biotech). Lifts all three engines as feature pipe_within_60d.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CEO / CMO / Chief Scientific Officer changes</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 8-K Item 5.02 filings. Executive changes within 90 days of catalyst are a conviction signal (bullish or bearish depending on timing + stock direction). Easy to parse.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A10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FDA Inspection Form 483 issuance</w:t>
            </w:r>
          </w:p>
        </w:tc>
        <w:tc>
          <w:tcPr>
            <w:tcW w:type="dxa" w:w="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 / 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Manufacturing inspection outcomes. Currently ODIN has mfg_risk_bin as an ex-post aggregate but lacks the Form 483 event stream. Critical for CMC-related CRL prediction. Data lives on FDA dashboard + FOIA + ORA inspection database.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Type A / B / C FDA meetings</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Pre-submission meetings signal sponsor readiness. Hard to capture — meetings are confidential, disclosures come via 10-K risk factors + investor calls. Expensive to extract.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A12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Orange Book / Purple Book patent + exclusivity events</w:t>
            </w:r>
          </w:p>
        </w:tc>
        <w:tc>
          <w:tcPr>
            <w:tcW w:type="dxa" w:w="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 / 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Patent grant / challenge / expiry events drive stock. Paragraph IV challenges (generic filings) create catalysts. Orange Book is freely downloadable.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Citizen petitions</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Can delay PDUFA approvals by weeks-to-months. Low volume (~30/year meaningful ones). Search Regulations.gov dockets.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A14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ICER / CER value framework reviews</w:t>
            </w:r>
          </w:p>
        </w:tc>
        <w:tc>
          <w:tcPr>
            <w:tcW w:type="dxa" w:w="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 / 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Independent Institute for Clinical and Economic Review reports set pricing expectations. Negative ICER reviews precede payer pushback. ~20 major reports/year. Publicly downloadable.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Health Canada / TGA / PMDA parallel filings</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Global approval momentum. A drug approved in Canada before PDUFA is higher-confidence. Health Canada DPD, TGA ARTG, PMDA are all public but require multi-source integration.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A16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DSMB / IDMC interim-analysis recommendations</w:t>
            </w:r>
          </w:p>
        </w:tc>
        <w:tc>
          <w:tcPr>
            <w:tcW w:type="dxa" w:w="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 / new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Data Safety Monitoring Board recommendations on phase trials (continue, stop-for-efficacy, stop-for-futility, continue-with-modification) are highly predictive of final readout. Captured in 8-Ks and press releases. Extends Gungnir.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A17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Congressional hearings / CMS formulary decisions</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Macro signal on drug pricing pressure. Rare events, low signal-per-event. Hearings calendar is public.</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A18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Conference KOL presentations + Q&amp;A</w:t>
            </w:r>
          </w:p>
        </w:tc>
        <w:tc>
          <w:tcPr>
            <w:tcW w:type="dxa" w:w="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Currently Gungnir v40+ uses conference acceptance but not PRESENTATION content. KOL panel discussions (often recorded, transcripts available) leak trial optimism/skepticism pre-readout.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A19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PDUFA date slippage / delay announcements</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3-month PDUFA extensions are publicly announced. Currently ODIN trains on the FINAL action date; it does not encode whether a slip occurred. Delays correlate with CRL risk.</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A20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Sponsor earnings call sentiment on pipeline</w:t>
            </w:r>
          </w:p>
        </w:tc>
        <w:tc>
          <w:tcPr>
            <w:tcW w:type="dxa" w:w="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 / 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Quarterly earnings calls are public (10-Q + transcripts). Management language about upcoming readouts / PDUFAs / trials has predictive content. Requires NLP on transcripts.</w:t>
            </w:r>
          </w:p>
        </w:tc>
      </w:tr>
    </w:tbl>
    <w:p>
      <w:pPr>
        <w:spacing w:after="120"/>
      </w:pPr>
      <w:r>
        <w:rPr>
          <w:rFonts w:ascii="Arial" w:cs="Arial" w:eastAsia="Arial" w:hAnsi="Arial"/>
          <w:sz w:val="22"/>
          <w:szCs w:val="22"/>
        </w:rPr>
        <w:t xml:space="preserve"> </w:t>
      </w:r>
    </w:p>
    <w:p>
      <w:pPr>
        <w:pStyle w:val="Heading2"/>
        <w:spacing w:after="120"/>
      </w:pPr>
      <w:r>
        <w:rPr>
          <w:rFonts w:ascii="Arial" w:cs="Arial" w:eastAsia="Arial" w:hAnsi="Arial"/>
          <w:sz w:val="22"/>
          <w:szCs w:val="22"/>
        </w:rPr>
        <w:t xml:space="preserve">Axis A — Top-3 Deep Dive</w:t>
      </w:r>
    </w:p>
    <w:p>
      <w:pPr>
        <w:pStyle w:val="Heading3"/>
        <w:spacing w:after="120"/>
      </w:pPr>
      <w:r>
        <w:rPr>
          <w:rFonts w:ascii="Arial" w:cs="Arial" w:eastAsia="Arial" w:hAnsi="Arial"/>
          <w:sz w:val="22"/>
          <w:szCs w:val="22"/>
        </w:rPr>
        <w:t xml:space="preserve">A1. FDA Advisory Committee (ADCOM) Votes</w:t>
      </w:r>
    </w:p>
    <w:p>
      <w:pPr>
        <w:spacing w:after="120"/>
      </w:pPr>
      <w:r>
        <w:rPr>
          <w:rFonts w:ascii="Arial" w:cs="Arial" w:eastAsia="Arial" w:hAnsi="Arial"/>
          <w:b/>
          <w:bCs/>
          <w:sz w:val="22"/>
          <w:szCs w:val="22"/>
        </w:rPr>
        <w:t xml:space="preserve">Coverage &amp; cadence: </w:t>
      </w:r>
      <w:r>
        <w:rPr>
          <w:rFonts w:ascii="Arial" w:cs="Arial" w:eastAsia="Arial" w:hAnsi="Arial"/>
          <w:sz w:val="22"/>
          <w:szCs w:val="22"/>
        </w:rPr>
        <w:t xml:space="preserve">~30-40 FDA AdComm meetings per year (ODAC, PADAC, CRDAC, etc.). Each produces a public recorded vote on approval recommendation. ODAC votes correlate with subsequent PDUFA approval at ~85-90% agreement historically. Briefing documents are released T-2 and contain FDA reviewer assessment language.</w:t>
      </w:r>
    </w:p>
    <w:p>
      <w:pPr>
        <w:spacing w:after="120"/>
      </w:pPr>
      <w:r>
        <w:rPr>
          <w:rFonts w:ascii="Arial" w:cs="Arial" w:eastAsia="Arial" w:hAnsi="Arial"/>
          <w:b/>
          <w:bCs/>
          <w:sz w:val="22"/>
          <w:szCs w:val="22"/>
        </w:rPr>
        <w:t xml:space="preserve">Signal structure: </w:t>
      </w:r>
      <w:r>
        <w:rPr>
          <w:rFonts w:ascii="Arial" w:cs="Arial" w:eastAsia="Arial" w:hAnsi="Arial"/>
          <w:sz w:val="22"/>
          <w:szCs w:val="22"/>
        </w:rPr>
        <w:t xml:space="preserve">Two distinct catalyst windows: (1) briefing-doc release T-2 (stock reacts to FDA reviewer tone — stereotyped bull/bear language), (2) vote outcome T-0. Either can be traded. Post-vote, the FDA decision is effectively pre-committed in most cases.</w:t>
      </w:r>
    </w:p>
    <w:p>
      <w:pPr>
        <w:spacing w:after="120"/>
      </w:pPr>
      <w:r>
        <w:rPr>
          <w:rFonts w:ascii="Arial" w:cs="Arial" w:eastAsia="Arial" w:hAnsi="Arial"/>
          <w:b/>
          <w:bCs/>
          <w:sz w:val="22"/>
          <w:szCs w:val="22"/>
        </w:rPr>
        <w:t xml:space="preserve">Integration: </w:t>
      </w:r>
      <w:r>
        <w:rPr>
          <w:rFonts w:ascii="Arial" w:cs="Arial" w:eastAsia="Arial" w:hAnsi="Arial"/>
          <w:sz w:val="22"/>
          <w:szCs w:val="22"/>
        </w:rPr>
        <w:t xml:space="preserve">Two deployment paths: (a) feature-level — add adcom_vote_yes / adcom_vote_margin / adcom_briefing_doc_sentiment into ODIN v18 (partial coverage ~15-20% of PDUFA events have an ADCOM); (b) engine-level — build ADCOM Vote Predictor scoring briefing-doc sentiment + panel composition + drug-sponsor history. Vote prediction could front-run ODIN by T-2 to T-60.</w:t>
      </w:r>
    </w:p>
    <w:p>
      <w:pPr>
        <w:spacing w:after="120"/>
      </w:pPr>
      <w:r>
        <w:rPr>
          <w:rFonts w:ascii="Arial" w:cs="Arial" w:eastAsia="Arial" w:hAnsi="Arial"/>
          <w:b/>
          <w:bCs/>
          <w:sz w:val="22"/>
          <w:szCs w:val="22"/>
        </w:rPr>
        <w:t xml:space="preserve">Data source: </w:t>
      </w:r>
      <w:r>
        <w:rPr>
          <w:rFonts w:ascii="Arial" w:cs="Arial" w:eastAsia="Arial" w:hAnsi="Arial"/>
          <w:sz w:val="22"/>
          <w:szCs w:val="22"/>
        </w:rPr>
        <w:t xml:space="preserve">FDA AdComm calendar page (www.fda.gov/advisory-committees), briefing docs PDF (public), transcripts PDF (public, lagged ~2 weeks). Scraper + PDF parser required. ~100 briefing docs + transcripts/year across all committees. Implementation cost: 2 weeks engineering.</w:t>
      </w:r>
    </w:p>
    <w:p>
      <w:pPr>
        <w:pStyle w:val="Heading3"/>
        <w:spacing w:after="120"/>
      </w:pPr>
      <w:r>
        <w:rPr>
          <w:rFonts w:ascii="Arial" w:cs="Arial" w:eastAsia="Arial" w:hAnsi="Arial"/>
          <w:sz w:val="22"/>
          <w:szCs w:val="22"/>
        </w:rPr>
        <w:t xml:space="preserve">A2. NDA / BLA Submission + FDA Acceptance Events</w:t>
      </w:r>
    </w:p>
    <w:p>
      <w:pPr>
        <w:spacing w:after="120"/>
      </w:pPr>
      <w:r>
        <w:rPr>
          <w:rFonts w:ascii="Arial" w:cs="Arial" w:eastAsia="Arial" w:hAnsi="Arial"/>
          <w:b/>
          <w:bCs/>
          <w:sz w:val="22"/>
          <w:szCs w:val="22"/>
        </w:rPr>
        <w:t xml:space="preserve">Coverage &amp; cadence: </w:t>
      </w:r>
      <w:r>
        <w:rPr>
          <w:rFonts w:ascii="Arial" w:cs="Arial" w:eastAsia="Arial" w:hAnsi="Arial"/>
          <w:sz w:val="22"/>
          <w:szCs w:val="22"/>
        </w:rPr>
        <w:t xml:space="preserve">~300 new NDA/BLA submissions/year. FDA filing decision (accept / refuse-to-file) comes 60-74 days post-submission. Both events are public via FDA press releases + Drugs@FDA. Refuse-to-file (RTF) is rare (~3-5% of submissions) but severe (-30% to -60% on sponsor stock).</w:t>
      </w:r>
    </w:p>
    <w:p>
      <w:pPr>
        <w:spacing w:after="120"/>
      </w:pPr>
      <w:r>
        <w:rPr>
          <w:rFonts w:ascii="Arial" w:cs="Arial" w:eastAsia="Arial" w:hAnsi="Arial"/>
          <w:b/>
          <w:bCs/>
          <w:sz w:val="22"/>
          <w:szCs w:val="22"/>
        </w:rPr>
        <w:t xml:space="preserve">Signal structure: </w:t>
      </w:r>
      <w:r>
        <w:rPr>
          <w:rFonts w:ascii="Arial" w:cs="Arial" w:eastAsia="Arial" w:hAnsi="Arial"/>
          <w:sz w:val="22"/>
          <w:szCs w:val="22"/>
        </w:rPr>
        <w:t xml:space="preserve">Three upstream catalysts before PDUFA: (1) submission announcement (typically +5-15% on small-caps), (2) FDA acceptance (+3-10% on confirmation of review, -15% to -60% on RTF), (3) filing for priority review (+5-15% if granted).</w:t>
      </w:r>
    </w:p>
    <w:p>
      <w:pPr>
        <w:spacing w:after="120"/>
      </w:pPr>
      <w:r>
        <w:rPr>
          <w:rFonts w:ascii="Arial" w:cs="Arial" w:eastAsia="Arial" w:hAnsi="Arial"/>
          <w:b/>
          <w:bCs/>
          <w:sz w:val="22"/>
          <w:szCs w:val="22"/>
        </w:rPr>
        <w:t xml:space="preserve">Integration: </w:t>
      </w:r>
      <w:r>
        <w:rPr>
          <w:rFonts w:ascii="Arial" w:cs="Arial" w:eastAsia="Arial" w:hAnsi="Arial"/>
          <w:sz w:val="22"/>
          <w:szCs w:val="22"/>
        </w:rPr>
        <w:t xml:space="preserve">ODIN currently starts at PDUFA scoring. Extending upstream adds 2-3 new catalysts per ODIN-scored PDUFA. Build an NDA/BLA Submission Predictor that outputs P(accepted) at submission time + P(priority review granted). Directly feeds ODIN via feature fda_acceptance_flag and submission_to_pdufa_days.</w:t>
      </w:r>
    </w:p>
    <w:p>
      <w:pPr>
        <w:spacing w:after="120"/>
      </w:pPr>
      <w:r>
        <w:rPr>
          <w:rFonts w:ascii="Arial" w:cs="Arial" w:eastAsia="Arial" w:hAnsi="Arial"/>
          <w:b/>
          <w:bCs/>
          <w:sz w:val="22"/>
          <w:szCs w:val="22"/>
        </w:rPr>
        <w:t xml:space="preserve">Data source: </w:t>
      </w:r>
      <w:r>
        <w:rPr>
          <w:rFonts w:ascii="Arial" w:cs="Arial" w:eastAsia="Arial" w:hAnsi="Arial"/>
          <w:sz w:val="22"/>
          <w:szCs w:val="22"/>
        </w:rPr>
        <w:t xml:space="preserve">Drugs@FDA (www.accessdata.fda.gov/scripts/cder/daf/) downloadable. FDA press releases RSS. FOIA for RTF letters. Implementation cost: 1-2 weeks to build the event pipeline.</w:t>
      </w:r>
    </w:p>
    <w:p>
      <w:pPr>
        <w:pStyle w:val="Heading3"/>
        <w:spacing w:after="120"/>
      </w:pPr>
      <w:r>
        <w:rPr>
          <w:rFonts w:ascii="Arial" w:cs="Arial" w:eastAsia="Arial" w:hAnsi="Arial"/>
          <w:sz w:val="22"/>
          <w:szCs w:val="22"/>
        </w:rPr>
        <w:t xml:space="preserve">A3. CMS NCD / LCD Coverage Decisions</w:t>
      </w:r>
    </w:p>
    <w:p>
      <w:pPr>
        <w:spacing w:after="120"/>
      </w:pPr>
      <w:r>
        <w:rPr>
          <w:rFonts w:ascii="Arial" w:cs="Arial" w:eastAsia="Arial" w:hAnsi="Arial"/>
          <w:b/>
          <w:bCs/>
          <w:sz w:val="22"/>
          <w:szCs w:val="22"/>
        </w:rPr>
        <w:t xml:space="preserve">Coverage &amp; cadence: </w:t>
      </w:r>
      <w:r>
        <w:rPr>
          <w:rFonts w:ascii="Arial" w:cs="Arial" w:eastAsia="Arial" w:hAnsi="Arial"/>
          <w:sz w:val="22"/>
          <w:szCs w:val="22"/>
        </w:rPr>
        <w:t xml:space="preserve">CMS National Coverage Determinations (NCDs) are the gold standard for reimbursement. Local Coverage Determinations (LCDs) from Medicare Administrative Contractors cover many more drugs. ~20-50 drug-specific NCDs / LCDs per year with material stock impact. MCP server already connected (batch_get_ncds, search_local_coverage).</w:t>
      </w:r>
    </w:p>
    <w:p>
      <w:pPr>
        <w:spacing w:after="120"/>
      </w:pPr>
      <w:r>
        <w:rPr>
          <w:rFonts w:ascii="Arial" w:cs="Arial" w:eastAsia="Arial" w:hAnsi="Arial"/>
          <w:b/>
          <w:bCs/>
          <w:sz w:val="22"/>
          <w:szCs w:val="22"/>
        </w:rPr>
        <w:t xml:space="preserve">Signal structure: </w:t>
      </w:r>
      <w:r>
        <w:rPr>
          <w:rFonts w:ascii="Arial" w:cs="Arial" w:eastAsia="Arial" w:hAnsi="Arial"/>
          <w:sz w:val="22"/>
          <w:szCs w:val="22"/>
        </w:rPr>
        <w:t xml:space="preserve">Three catalyst sub-events: (1) NCA (National Coverage Analysis) opening (uncertainty, typically -5% to -15%), (2) proposed decision memo (+/- 20%), (3) final NCD (binding). Orphan drugs especially sensitive to coverage scope.</w:t>
      </w:r>
    </w:p>
    <w:p>
      <w:pPr>
        <w:spacing w:after="120"/>
      </w:pPr>
      <w:r>
        <w:rPr>
          <w:rFonts w:ascii="Arial" w:cs="Arial" w:eastAsia="Arial" w:hAnsi="Arial"/>
          <w:b/>
          <w:bCs/>
          <w:sz w:val="22"/>
          <w:szCs w:val="22"/>
        </w:rPr>
        <w:t xml:space="preserve">Integration: </w:t>
      </w:r>
      <w:r>
        <w:rPr>
          <w:rFonts w:ascii="Arial" w:cs="Arial" w:eastAsia="Arial" w:hAnsi="Arial"/>
          <w:sz w:val="22"/>
          <w:szCs w:val="22"/>
        </w:rPr>
        <w:t xml:space="preserve">This is a POST-PDUFA engine — scores commercial-stage drugs. Completely new territory. Candidate: build a CMS Coverage Predictor that outputs P(favorable NCD) given drug label + indication + ICER review + prior comparable NCDs. Directly tradeable.</w:t>
      </w:r>
    </w:p>
    <w:p>
      <w:pPr>
        <w:spacing w:after="120"/>
      </w:pPr>
      <w:r>
        <w:rPr>
          <w:rFonts w:ascii="Arial" w:cs="Arial" w:eastAsia="Arial" w:hAnsi="Arial"/>
          <w:b/>
          <w:bCs/>
          <w:sz w:val="22"/>
          <w:szCs w:val="22"/>
        </w:rPr>
        <w:t xml:space="preserve">Data source: </w:t>
      </w:r>
      <w:r>
        <w:rPr>
          <w:rFonts w:ascii="Arial" w:cs="Arial" w:eastAsia="Arial" w:hAnsi="Arial"/>
          <w:sz w:val="22"/>
          <w:szCs w:val="22"/>
        </w:rPr>
        <w:t xml:space="preserve">MCP tools batch_get_ncds, search_national_coverage, search_local_coverage already exposed. Implementation cost: LOW — just MCP-driven data ingestion + Ridge/XGB on aggregate features. ~1 week.</w:t>
      </w:r>
    </w:p>
    <w:p>
      <w:r>
        <w:br w:type="page"/>
      </w:r>
    </w:p>
    <w:p>
      <w:pPr>
        <w:pStyle w:val="Heading1"/>
        <w:spacing w:after="120"/>
      </w:pPr>
      <w:r>
        <w:rPr>
          <w:rFonts w:ascii="Arial" w:cs="Arial" w:eastAsia="Arial" w:hAnsi="Arial"/>
          <w:sz w:val="22"/>
          <w:szCs w:val="22"/>
        </w:rPr>
        <w:t xml:space="preserve">Axis B — New Data Infrastructure</w:t>
      </w:r>
    </w:p>
    <w:p>
      <w:pPr>
        <w:spacing w:after="120"/>
      </w:pPr>
      <w:r>
        <w:rPr>
          <w:rFonts w:ascii="Arial" w:cs="Arial" w:eastAsia="Arial" w:hAnsi="Arial"/>
          <w:sz w:val="22"/>
          <w:szCs w:val="22"/>
        </w:rPr>
        <w:t xml:space="preserve">Orthogonal data sources that feed the existing engines (ODIN / Gungnir / BIFROST Explosion). Each is scored the same four ways. Several are free / public; a few are paid or require substantial parsing.</w:t>
      </w:r>
    </w:p>
    <w:p>
      <w:pPr>
        <w:pStyle w:val="Heading2"/>
        <w:spacing w:after="120"/>
      </w:pPr>
      <w:r>
        <w:rPr>
          <w:rFonts w:ascii="Arial" w:cs="Arial" w:eastAsia="Arial" w:hAnsi="Arial"/>
          <w:sz w:val="22"/>
          <w:szCs w:val="22"/>
        </w:rPr>
        <w:t xml:space="preserve">Candidate Catalog (ranked)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80"/>
        <w:gridCol w:w="720"/>
        <w:gridCol w:w="600"/>
        <w:gridCol w:w="720"/>
        <w:gridCol w:w="520"/>
        <w:gridCol w:w="3120"/>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Data Source</w:t>
            </w:r>
          </w:p>
        </w:tc>
        <w:tc>
          <w:tcPr>
            <w:tcW w:type="dxa" w:w="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Info</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Cov</w:t>
            </w:r>
          </w:p>
        </w:tc>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T-1</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Cost</w:t>
            </w:r>
          </w:p>
        </w:tc>
        <w:tc>
          <w:tcPr>
            <w:tcW w:type="dxa" w:w="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Engines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Rationale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 4 insider buying/selling 2015-2026</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 / G / 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Standing #1. SEC EDGAR, free, 2-day filing lag = clean T-1. Truly orthogonal to the 9 null families. CEO/insider conviction buys historically predict positive catalysts at 2-3x baseline. Completely absent from current engines.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EDGAR 8-K real-time event stream</w:t>
            </w:r>
          </w:p>
        </w:tc>
        <w:tc>
          <w:tcPr>
            <w:tcW w:type="dxa" w:w="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 / G / 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All material events: licensing, M&amp;A, CEO changes, PIPE pricings, strategic reviews, trial updates. SEC EDGAR free. Item-type classification gives a structured event taxonomy. Requires NLP on Item text for signal extraction.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13F backfill 2015-2020 + quarter-jump deltas</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 / 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Extends Smart Money Phase 3 cache (which only reached 2020Q1) backward to 2015. Closes the train/val coverage gap that muddied the Phase 3 null. Quarter-jump deltas (&gt;20% position change) are a stronger conviction signal than static ownership levels.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Open Targets drug-target-disease graph</w:t>
            </w:r>
          </w:p>
        </w:tc>
        <w:tc>
          <w:tcPr>
            <w:tcW w:type="dxa" w:w="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Free GraphQL API (MCP already exposed: query_open_targets_graphql). Provides target tractability scores, disease associations, genetic evidence strength. Lifts Gungnir via target_mendelian_evidence, target_tractability_score. Free bio-research tool.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Social volume historical (StockTwits, Reddit WSB, X)</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 / O / 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Pre-catalyst retail chatter is a genuine signal for explosions and small-cap PDUFAs. Requires historical scrape (StockTwits API + Pushshift for Reddit). Very meaningful for |move|&gt;25% prediction on nano/micro-caps. Partial coverage — only popular tickers.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FAERS adverse event reporting</w:t>
            </w:r>
          </w:p>
        </w:tc>
        <w:tc>
          <w:tcPr>
            <w:tcW w:type="dxa" w:w="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 / 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FDA Adverse Event Reporting System. Downloadable quarterly. Safety signal density pre-PDUFA. Currently we have safety_high_x_naive but no event-level count of FAERS filings per drug. Free data, requires entity matching.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ORATS historical options FULL panel (Phase 3 deep)</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DEMOTED. v5.9 already tested skinny ORATS T-14 and got a NULL. A deeper pull (11 endpoints vs 2) would burn significant API budget with low expected marginal value beyond what v5.9 tested. Not worth pursuing without a specific hypothesis.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GTEx tissue expression + DepMap dependency</w:t>
            </w:r>
          </w:p>
        </w:tc>
        <w:tc>
          <w:tcPr>
            <w:tcW w:type="dxa" w:w="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Target biology priors. Tissue-specific expression and cancer cell-line dependency score are orthogonal to ChEMBL. Lifts Gungnir on oncology Phase 1/2 events. Free via GTEx portal + DepMap downloads.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NIH RePORTER grants</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Sponsor + target + indication funding history. Grant funding density is a quality proxy. Free API. Low individual signal but cheap to integrate.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B10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Dark pool / odd-lot volume microstructure</w:t>
            </w:r>
          </w:p>
        </w:tc>
        <w:tc>
          <w:tcPr>
            <w:tcW w:type="dxa" w:w="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Dark pool %, odd-lot trade %, retail vs institutional volume flags. Strong explosion signal but requires paid data (FINRA ATS + LiquidM) or painful scraping. Expensive.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Dockets.regulations.gov public comments</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comment volume on FDA draft guidance / citizen petitions. Noise-heavy. Low signal per event but free.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B12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PatentCenter / PAIR patent filings</w:t>
            </w:r>
          </w:p>
        </w:tc>
        <w:tc>
          <w:tcPr>
            <w:tcW w:type="dxa" w:w="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 / 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Patent application filings during trial development signal sponsor conviction. Orange Book already covers granted; PAIR adds the pending application pipeline. Free USPTO API.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Alphafold structure confidence + target class</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Target drugability priors from AI structure prediction. Orthogonal to ChEMBL mechanism. Free via AlphaFold DB. Low expected info value on its own but cheap.</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B14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EMA CHMP meeting minutes + scientific opinions</w:t>
            </w:r>
          </w:p>
        </w:tc>
        <w:tc>
          <w:tcPr>
            <w:tcW w:type="dxa" w:w="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Monthly CHMP outcomes. Cross-jurisdictional regulatory momentum. Free via EMA website. Requires consistent drug-name matching.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Google Trends for drug / indication</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 / 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Search velocity can proxy retail attention. Weak standalone, could interact with conference events. Free API.</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B16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Earnings call transcripts + management sentiment</w:t>
            </w:r>
          </w:p>
        </w:tc>
        <w:tc>
          <w:tcPr>
            <w:tcW w:type="dxa" w:w="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 / 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Quarterly 10-Q / 10-K transcripts (Seeking Alpha, AlphaSense). Management language about upcoming readouts has predictive content. NLP-heavy.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B17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Cortellis competitive landscape (paid)</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Commercial biotech database with indication-level competition data. Would close gaps in our indication_density feature. Expensive ($50K+/year).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B18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EvaluatePharma / GlobalData forecasts (paid)</w:t>
            </w:r>
          </w:p>
        </w:tc>
        <w:tc>
          <w:tcPr>
            <w:tcW w:type="dxa" w:w="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 / 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Analyst consensus sales forecasts + probability-of-success estimates. Useful as reference target for our own outputs. Expensive.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B19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WHO-UMC pharmacovigilance signals</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Global adverse event signals. Overlap with FAERS. Low incremental value.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B20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Credit card / prescription transaction data (alt data)</w:t>
            </w:r>
          </w:p>
        </w:tc>
        <w:tc>
          <w:tcPr>
            <w:tcW w:type="dxa" w:w="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 / new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Post-approval only (sales trajectory). Useful for CMS NCD Predictor. Expensive — Bloomberg / M Science / 1010data.</w:t>
            </w:r>
          </w:p>
        </w:tc>
      </w:tr>
    </w:tbl>
    <w:p>
      <w:pPr>
        <w:spacing w:after="120"/>
      </w:pPr>
      <w:r>
        <w:rPr>
          <w:rFonts w:ascii="Arial" w:cs="Arial" w:eastAsia="Arial" w:hAnsi="Arial"/>
          <w:sz w:val="22"/>
          <w:szCs w:val="22"/>
        </w:rPr>
        <w:t xml:space="preserve"> </w:t>
      </w:r>
    </w:p>
    <w:p>
      <w:pPr>
        <w:pStyle w:val="Heading2"/>
        <w:spacing w:after="120"/>
      </w:pPr>
      <w:r>
        <w:rPr>
          <w:rFonts w:ascii="Arial" w:cs="Arial" w:eastAsia="Arial" w:hAnsi="Arial"/>
          <w:sz w:val="22"/>
          <w:szCs w:val="22"/>
        </w:rPr>
        <w:t xml:space="preserve">Axis B — Top-3 Deep Dive</w:t>
      </w:r>
    </w:p>
    <w:p>
      <w:pPr>
        <w:pStyle w:val="Heading3"/>
        <w:spacing w:after="120"/>
      </w:pPr>
      <w:r>
        <w:rPr>
          <w:rFonts w:ascii="Arial" w:cs="Arial" w:eastAsia="Arial" w:hAnsi="Arial"/>
          <w:sz w:val="22"/>
          <w:szCs w:val="22"/>
        </w:rPr>
        <w:t xml:space="preserve">B1. Form 4 Historical Insider Time Series</w:t>
      </w:r>
    </w:p>
    <w:p>
      <w:pPr>
        <w:spacing w:after="120"/>
      </w:pPr>
      <w:r>
        <w:rPr>
          <w:rFonts w:ascii="Arial" w:cs="Arial" w:eastAsia="Arial" w:hAnsi="Arial"/>
          <w:b/>
          <w:bCs/>
          <w:sz w:val="22"/>
          <w:szCs w:val="22"/>
        </w:rPr>
        <w:t xml:space="preserve">Why it is #1: </w:t>
      </w:r>
      <w:r>
        <w:rPr>
          <w:rFonts w:ascii="Arial" w:cs="Arial" w:eastAsia="Arial" w:hAnsi="Arial"/>
          <w:sz w:val="22"/>
          <w:szCs w:val="22"/>
        </w:rPr>
        <w:t xml:space="preserve">Nine null Kaizens have eliminated the obvious local-feature families. Form 4 is the single largest remaining orthogonal signal family that has NOT been tested. Baker Bros 37.6% Kodiak Sciences position before GLOW2 (88% stock surge) is the anecdotal case; the systematic edge requires backfilling 11 years of Form 4 filings and building event-level features.</w:t>
      </w:r>
    </w:p>
    <w:p>
      <w:pPr>
        <w:spacing w:after="120"/>
      </w:pPr>
      <w:r>
        <w:rPr>
          <w:rFonts w:ascii="Arial" w:cs="Arial" w:eastAsia="Arial" w:hAnsi="Arial"/>
          <w:b/>
          <w:bCs/>
          <w:sz w:val="22"/>
          <w:szCs w:val="22"/>
        </w:rPr>
        <w:t xml:space="preserve">Feature engineering plan: </w:t>
      </w:r>
      <w:r>
        <w:rPr>
          <w:rFonts w:ascii="Arial" w:cs="Arial" w:eastAsia="Arial" w:hAnsi="Arial"/>
          <w:sz w:val="22"/>
          <w:szCs w:val="22"/>
        </w:rPr>
        <w:t xml:space="preserve">Per (ticker, catalyst_date) event, compute: insider_buys_90d_usd (net CEO + C-suite + Director dollar value), insider_buys_count_90d, insider_sells_90d_usd (excl. RSU / 10b5-1), insider_first_buy_flag, net_buy_ratio, insider_buy_acceleration (30d vs 60d vs 90d), ceo_direct_buy_flag, cso_direct_buy_flag, largest_insider_buy_usd. All from SEC EDGAR Form 4 XML at www.sec.gov/cgi-bin/browse-edgar?action=getcompany.</w:t>
      </w:r>
    </w:p>
    <w:p>
      <w:pPr>
        <w:spacing w:after="120"/>
      </w:pPr>
      <w:r>
        <w:rPr>
          <w:rFonts w:ascii="Arial" w:cs="Arial" w:eastAsia="Arial" w:hAnsi="Arial"/>
          <w:b/>
          <w:bCs/>
          <w:sz w:val="22"/>
          <w:szCs w:val="22"/>
        </w:rPr>
        <w:t xml:space="preserve">Honest eval plan: </w:t>
      </w:r>
      <w:r>
        <w:rPr>
          <w:rFonts w:ascii="Arial" w:cs="Arial" w:eastAsia="Arial" w:hAnsi="Arial"/>
          <w:sz w:val="22"/>
          <w:szCs w:val="22"/>
        </w:rPr>
        <w:t xml:space="preserve">Same 3-way split as all prior honest Kaizens. Val-only selection gate +0.002. Test touched once. Bootstrap 95% CI. Expected outcome: a modest lift of 50-150 bp on ODIN + Gungnir if the Baker Bros / RA Capital / Perceptive insider concentration pattern is real. A HARD NULL (&lt;50 bp val) would lock the saturation thesis at the 10th attempt.</w:t>
      </w:r>
    </w:p>
    <w:p>
      <w:pPr>
        <w:spacing w:after="120"/>
      </w:pPr>
      <w:r>
        <w:rPr>
          <w:rFonts w:ascii="Arial" w:cs="Arial" w:eastAsia="Arial" w:hAnsi="Arial"/>
          <w:b/>
          <w:bCs/>
          <w:sz w:val="22"/>
          <w:szCs w:val="22"/>
        </w:rPr>
        <w:t xml:space="preserve">Cost: </w:t>
      </w:r>
      <w:r>
        <w:rPr>
          <w:rFonts w:ascii="Arial" w:cs="Arial" w:eastAsia="Arial" w:hAnsi="Arial"/>
          <w:sz w:val="22"/>
          <w:szCs w:val="22"/>
        </w:rPr>
        <w:t xml:space="preserve">1-2 days to scrape Form 4 XML for the ~2,200 ODIN event sponsors + ~1,750 Gungnir event sponsors. SEC EDGAR is free. No rate-limit concerns at this volume.</w:t>
      </w:r>
    </w:p>
    <w:p>
      <w:pPr>
        <w:pStyle w:val="Heading3"/>
        <w:spacing w:after="120"/>
      </w:pPr>
      <w:r>
        <w:rPr>
          <w:rFonts w:ascii="Arial" w:cs="Arial" w:eastAsia="Arial" w:hAnsi="Arial"/>
          <w:sz w:val="22"/>
          <w:szCs w:val="22"/>
        </w:rPr>
        <w:t xml:space="preserve">B2. EDGAR 8-K Real-Time Event Stream</w:t>
      </w:r>
    </w:p>
    <w:p>
      <w:pPr>
        <w:spacing w:after="120"/>
      </w:pPr>
      <w:r>
        <w:rPr>
          <w:rFonts w:ascii="Arial" w:cs="Arial" w:eastAsia="Arial" w:hAnsi="Arial"/>
          <w:b/>
          <w:bCs/>
          <w:sz w:val="22"/>
          <w:szCs w:val="22"/>
        </w:rPr>
        <w:t xml:space="preserve">Why it is #2 on data infrastructure: </w:t>
      </w:r>
      <w:r>
        <w:rPr>
          <w:rFonts w:ascii="Arial" w:cs="Arial" w:eastAsia="Arial" w:hAnsi="Arial"/>
          <w:sz w:val="22"/>
          <w:szCs w:val="22"/>
        </w:rPr>
        <w:t xml:space="preserve">8-K filings are the master feed of material corporate events. Item 1.01 (material definitive agreement) = licensing deals + M&amp;A. Item 2.01 (completion of acquisition). Item 5.02 (officer departures / appointments). Item 8.01 (other events) = trial updates, FDA meetings, PIPE pricings. Currently every one of these events is invisible to our engines.</w:t>
      </w:r>
    </w:p>
    <w:p>
      <w:pPr>
        <w:spacing w:after="120"/>
      </w:pPr>
      <w:r>
        <w:rPr>
          <w:rFonts w:ascii="Arial" w:cs="Arial" w:eastAsia="Arial" w:hAnsi="Arial"/>
          <w:b/>
          <w:bCs/>
          <w:sz w:val="22"/>
          <w:szCs w:val="22"/>
        </w:rPr>
        <w:t xml:space="preserve">Feature engineering plan: </w:t>
      </w:r>
      <w:r>
        <w:rPr>
          <w:rFonts w:ascii="Arial" w:cs="Arial" w:eastAsia="Arial" w:hAnsi="Arial"/>
          <w:sz w:val="22"/>
          <w:szCs w:val="22"/>
        </w:rPr>
        <w:t xml:space="preserve">Per event, count 8-K items in pre-catalyst 90-day window: n_8k_material_agreements, n_8k_officer_changes, n_8k_equity_offerings, n_8k_other. Each item text can be NLP-tagged for sentiment (positive / negative / neutral). Item 1.01 deals can be enriched with parsed $ value.</w:t>
      </w:r>
    </w:p>
    <w:p>
      <w:pPr>
        <w:spacing w:after="120"/>
      </w:pPr>
      <w:r>
        <w:rPr>
          <w:rFonts w:ascii="Arial" w:cs="Arial" w:eastAsia="Arial" w:hAnsi="Arial"/>
          <w:b/>
          <w:bCs/>
          <w:sz w:val="22"/>
          <w:szCs w:val="22"/>
        </w:rPr>
        <w:t xml:space="preserve">Signal hypothesis: </w:t>
      </w:r>
      <w:r>
        <w:rPr>
          <w:rFonts w:ascii="Arial" w:cs="Arial" w:eastAsia="Arial" w:hAnsi="Arial"/>
          <w:sz w:val="22"/>
          <w:szCs w:val="22"/>
        </w:rPr>
        <w:t xml:space="preserve">Licensing + strategic deals in the pre-catalyst window signal partner validation. PIPE pricings signal cash distress. Officer departures are ambiguous but time-weighted. Expected lift: 30-100 bp on ODIN, 50-150 bp on Gungnir.</w:t>
      </w:r>
    </w:p>
    <w:p>
      <w:pPr>
        <w:spacing w:after="120"/>
      </w:pPr>
      <w:r>
        <w:rPr>
          <w:rFonts w:ascii="Arial" w:cs="Arial" w:eastAsia="Arial" w:hAnsi="Arial"/>
          <w:b/>
          <w:bCs/>
          <w:sz w:val="22"/>
          <w:szCs w:val="22"/>
        </w:rPr>
        <w:t xml:space="preserve">Cost: </w:t>
      </w:r>
      <w:r>
        <w:rPr>
          <w:rFonts w:ascii="Arial" w:cs="Arial" w:eastAsia="Arial" w:hAnsi="Arial"/>
          <w:sz w:val="22"/>
          <w:szCs w:val="22"/>
        </w:rPr>
        <w:t xml:space="preserve">3-5 days to build the 8-K scraper + item-type classifier + NLP sentiment pipeline. Free via SEC EDGAR. High volume (~100k 8-Ks/year across biotech) so caching + incremental pulls are essential.</w:t>
      </w:r>
    </w:p>
    <w:p>
      <w:pPr>
        <w:pStyle w:val="Heading3"/>
        <w:spacing w:after="120"/>
      </w:pPr>
      <w:r>
        <w:rPr>
          <w:rFonts w:ascii="Arial" w:cs="Arial" w:eastAsia="Arial" w:hAnsi="Arial"/>
          <w:sz w:val="22"/>
          <w:szCs w:val="22"/>
        </w:rPr>
        <w:t xml:space="preserve">B3. 13F Backfill 2015-2020 + Quarter-Jump Deltas</w:t>
      </w:r>
    </w:p>
    <w:p>
      <w:pPr>
        <w:spacing w:after="120"/>
      </w:pPr>
      <w:r>
        <w:rPr>
          <w:rFonts w:ascii="Arial" w:cs="Arial" w:eastAsia="Arial" w:hAnsi="Arial"/>
          <w:b/>
          <w:bCs/>
          <w:sz w:val="22"/>
          <w:szCs w:val="22"/>
        </w:rPr>
        <w:t xml:space="preserve">Why it is #3: </w:t>
      </w:r>
      <w:r>
        <w:rPr>
          <w:rFonts w:ascii="Arial" w:cs="Arial" w:eastAsia="Arial" w:hAnsi="Arial"/>
          <w:sz w:val="22"/>
          <w:szCs w:val="22"/>
        </w:rPr>
        <w:t xml:space="preserve">Smart Money Phase 3 returned NULL in Apr 20 but the root cause was (a) uneven train/val coverage (46% train vs 66% test because cache only reached 2020Q1) and (b) all tested features were level-based, not jump-based. Extending backward to 2015 closes (a); adding quarter-jump deltas captures (b).</w:t>
      </w:r>
    </w:p>
    <w:p>
      <w:pPr>
        <w:spacing w:after="120"/>
      </w:pPr>
      <w:r>
        <w:rPr>
          <w:rFonts w:ascii="Arial" w:cs="Arial" w:eastAsia="Arial" w:hAnsi="Arial"/>
          <w:b/>
          <w:bCs/>
          <w:sz w:val="22"/>
          <w:szCs w:val="22"/>
        </w:rPr>
        <w:t xml:space="preserve">Feature engineering plan: </w:t>
      </w:r>
      <w:r>
        <w:rPr>
          <w:rFonts w:ascii="Arial" w:cs="Arial" w:eastAsia="Arial" w:hAnsi="Arial"/>
          <w:sz w:val="22"/>
          <w:szCs w:val="22"/>
        </w:rPr>
        <w:t xml:space="preserve">For each god-tier fund (top 10 already verified), compute quarter-over-quarter position delta: delta_shares_pct, new_position_flag, exited_position_flag (requires full-cache, NOT just positive-holdings cache), concentration_delta. A jump from 0 to &gt;5% of fund holdings is a MUCH stronger signal than holding 10% continuously.</w:t>
      </w:r>
    </w:p>
    <w:p>
      <w:pPr>
        <w:spacing w:after="120"/>
      </w:pPr>
      <w:r>
        <w:rPr>
          <w:rFonts w:ascii="Arial" w:cs="Arial" w:eastAsia="Arial" w:hAnsi="Arial"/>
          <w:b/>
          <w:bCs/>
          <w:sz w:val="22"/>
          <w:szCs w:val="22"/>
        </w:rPr>
        <w:t xml:space="preserve">Retest plan: </w:t>
      </w:r>
      <w:r>
        <w:rPr>
          <w:rFonts w:ascii="Arial" w:cs="Arial" w:eastAsia="Arial" w:hAnsi="Arial"/>
          <w:sz w:val="22"/>
          <w:szCs w:val="22"/>
        </w:rPr>
        <w:t xml:space="preserve">Rerun Smart Money Phase 3 with the extended cache + new jump features. Same honest 3-way split. Expected lift: modest (30-80 bp) — 13F data has 45-day lag which limits signal freshness, but the quarter-boundary jump event itself is a tradeable catalyst.</w:t>
      </w:r>
    </w:p>
    <w:p>
      <w:pPr>
        <w:spacing w:after="120"/>
      </w:pPr>
      <w:r>
        <w:rPr>
          <w:rFonts w:ascii="Arial" w:cs="Arial" w:eastAsia="Arial" w:hAnsi="Arial"/>
          <w:b/>
          <w:bCs/>
          <w:sz w:val="22"/>
          <w:szCs w:val="22"/>
        </w:rPr>
        <w:t xml:space="preserve">Cost: </w:t>
      </w:r>
      <w:r>
        <w:rPr>
          <w:rFonts w:ascii="Arial" w:cs="Arial" w:eastAsia="Arial" w:hAnsi="Arial"/>
          <w:sz w:val="22"/>
          <w:szCs w:val="22"/>
        </w:rPr>
        <w:t xml:space="preserve">3-4 days to pull 2015-2020 13F filings via SEC XBRL + WhaleWisdom. Feature engineering is a small diff on existing Smart Money Phase 2 pipeline.</w:t>
      </w:r>
    </w:p>
    <w:p>
      <w:r>
        <w:br w:type="page"/>
      </w:r>
    </w:p>
    <w:p>
      <w:pPr>
        <w:pStyle w:val="Heading1"/>
        <w:spacing w:after="120"/>
      </w:pPr>
      <w:r>
        <w:rPr>
          <w:rFonts w:ascii="Arial" w:cs="Arial" w:eastAsia="Arial" w:hAnsi="Arial"/>
          <w:sz w:val="22"/>
          <w:szCs w:val="22"/>
        </w:rPr>
        <w:t xml:space="preserve">Combined Priority Matrix — Top 10</w:t>
      </w:r>
    </w:p>
    <w:p>
      <w:pPr>
        <w:spacing w:after="120"/>
      </w:pPr>
      <w:r>
        <w:rPr>
          <w:rFonts w:ascii="Arial" w:cs="Arial" w:eastAsia="Arial" w:hAnsi="Arial"/>
          <w:sz w:val="22"/>
          <w:szCs w:val="22"/>
        </w:rPr>
        <w:t xml:space="preserve">Both axes merged and ranked by composite score. Composite = (Info × 0.40) + (Coverage × 0.25) + (T-1 × 0.20) + (6 − Cost) × 0.15. Ties broken by Info Value then Cost (lower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
        <w:gridCol w:w="3000"/>
        <w:gridCol w:w="560"/>
        <w:gridCol w:w="560"/>
        <w:gridCol w:w="560"/>
        <w:gridCol w:w="560"/>
        <w:gridCol w:w="600"/>
        <w:gridCol w:w="520"/>
        <w:gridCol w:w="2000"/>
      </w:tblGrid>
      <w:tr>
        <w:trPr>
          <w:tblHeader/>
        </w:trP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Rank</w:t>
            </w:r>
          </w:p>
        </w:tc>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Candidate</w:t>
            </w:r>
          </w:p>
        </w:tc>
        <w:tc>
          <w:tcPr>
            <w:tcW w:type="dxa" w:w="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Info</w:t>
            </w:r>
          </w:p>
        </w:tc>
        <w:tc>
          <w:tcPr>
            <w:tcW w:type="dxa" w:w="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Cov</w:t>
            </w:r>
          </w:p>
        </w:tc>
        <w:tc>
          <w:tcPr>
            <w:tcW w:type="dxa" w:w="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T-1</w:t>
            </w:r>
          </w:p>
        </w:tc>
        <w:tc>
          <w:tcPr>
            <w:tcW w:type="dxa" w:w="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Cost</w:t>
            </w:r>
          </w:p>
        </w:tc>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w:t>
            </w:r>
          </w:p>
        </w:tc>
        <w:tc>
          <w:tcPr>
            <w:tcW w:type="dxa" w:w="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Engines</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One-line Rationale</w:t>
            </w:r>
          </w:p>
        </w:tc>
      </w:tr>
      <w:tr>
        <w:tc>
          <w:tcPr>
            <w:tcW w:type="dxa" w:w="5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18"/>
                <w:szCs w:val="18"/>
              </w:rPr>
              <w:t xml:space="preserve">1</w:t>
            </w:r>
          </w:p>
        </w:tc>
        <w:tc>
          <w:tcPr>
            <w:tcW w:type="dxa" w:w="5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18"/>
                <w:szCs w:val="18"/>
              </w:rPr>
              <w:t xml:space="preserve">B1</w:t>
            </w:r>
          </w:p>
        </w:tc>
        <w:tc>
          <w:tcPr>
            <w:tcW w:type="dxa" w:w="30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18"/>
                <w:szCs w:val="18"/>
              </w:rPr>
              <w:t xml:space="preserve">Form 4 insider time series 2015-2026</w:t>
            </w:r>
          </w:p>
        </w:tc>
        <w:tc>
          <w:tcPr>
            <w:tcW w:type="dxa" w:w="56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18"/>
                <w:szCs w:val="18"/>
              </w:rPr>
              <w:t xml:space="preserve">5</w:t>
            </w:r>
          </w:p>
        </w:tc>
        <w:tc>
          <w:tcPr>
            <w:tcW w:type="dxa" w:w="56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18"/>
                <w:szCs w:val="18"/>
              </w:rPr>
              <w:t xml:space="preserve">5</w:t>
            </w:r>
          </w:p>
        </w:tc>
        <w:tc>
          <w:tcPr>
            <w:tcW w:type="dxa" w:w="56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18"/>
                <w:szCs w:val="18"/>
              </w:rPr>
              <w:t xml:space="preserve">5</w:t>
            </w:r>
          </w:p>
        </w:tc>
        <w:tc>
          <w:tcPr>
            <w:tcW w:type="dxa" w:w="56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18"/>
                <w:szCs w:val="18"/>
              </w:rPr>
              <w:t xml:space="preserve">4.85</w:t>
            </w:r>
          </w:p>
        </w:tc>
        <w:tc>
          <w:tcPr>
            <w:tcW w:type="dxa" w:w="52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18"/>
                <w:szCs w:val="18"/>
              </w:rPr>
              <w:t xml:space="preserve">O/G/B</w:t>
            </w:r>
          </w:p>
        </w:tc>
        <w:tc>
          <w:tcPr>
            <w:tcW w:type="dxa" w:w="20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18"/>
                <w:szCs w:val="18"/>
              </w:rPr>
              <w:t xml:space="preserve">Orthogonal, free, standing #1 since v5.9</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FDA ADCOM / ODAC votes</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4.10</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O/new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30-40 events/year; T-2 briefing docs; new engine candidate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CMS NCD / LCD coverage decisions</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3.70</w:t>
            </w:r>
          </w:p>
        </w:tc>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MCP already connected; new POST-PDUFA engine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NDA/BLA submission + FDA acceptance</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3.95</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Extends ODIN upstream; ~300 filings/year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 Targets drug-target-disease graph</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4.20</w:t>
            </w:r>
          </w:p>
        </w:tc>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MCP exposed; free; target tractability scores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6</w:t>
            </w:r>
          </w:p>
        </w:tc>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EDGAR 8-K real-time event stream</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4.30</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O/G/B</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Master feed of material corporate events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PIPE / ATM / secondary offerings</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4.05</w:t>
            </w:r>
          </w:p>
        </w:tc>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O/G/B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Dilution + cash-runway signal; high coverage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w:t>
            </w:r>
          </w:p>
        </w:tc>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13F backfill 2015-2020 + jump deltas</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4.05</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Closes Smart Money Phase 3 null; new jump-delta features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Licensing &amp; M&amp;A deals</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3.80</w:t>
            </w:r>
          </w:p>
        </w:tc>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G/new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Big-pharma validation signal; parsed from 8-K Item 1.01</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10</w:t>
            </w:r>
          </w:p>
        </w:tc>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A16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DSMB / IDMC interim recommendations</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3.45</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G/new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Interim-analysis outcomes highly predict final readouts</w:t>
            </w:r>
          </w:p>
        </w:tc>
      </w:tr>
    </w:tbl>
    <w:p>
      <w:pPr>
        <w:spacing w:after="120"/>
      </w:pPr>
      <w:r>
        <w:rPr>
          <w:rFonts w:ascii="Arial" w:cs="Arial" w:eastAsia="Arial" w:hAnsi="Arial"/>
          <w:sz w:val="22"/>
          <w:szCs w:val="22"/>
        </w:rPr>
        <w:t xml:space="preserve"> </w:t>
      </w:r>
    </w:p>
    <w:p>
      <w:pPr>
        <w:pStyle w:val="Heading2"/>
        <w:spacing w:after="120"/>
      </w:pPr>
      <w:r>
        <w:rPr>
          <w:rFonts w:ascii="Arial" w:cs="Arial" w:eastAsia="Arial" w:hAnsi="Arial"/>
          <w:sz w:val="22"/>
          <w:szCs w:val="22"/>
        </w:rPr>
        <w:t xml:space="preserve">Engine Lift Map</w:t>
      </w:r>
    </w:p>
    <w:p>
      <w:pPr>
        <w:spacing w:after="120"/>
      </w:pPr>
      <w:r>
        <w:rPr>
          <w:rFonts w:ascii="Arial" w:cs="Arial" w:eastAsia="Arial" w:hAnsi="Arial"/>
          <w:sz w:val="22"/>
          <w:szCs w:val="22"/>
        </w:rPr>
        <w:t xml:space="preserve">Which engines does each top-10 priority potentially lift?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1820"/>
        <w:gridCol w:w="1820"/>
        <w:gridCol w:w="1820"/>
      </w:tblGrid>
      <w:tr>
        <w:trPr>
          <w:tblHeader/>
        </w:trPr>
        <w:tc>
          <w:tcPr>
            <w:tcW w:type="dxa" w:w="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Rank</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Candidate</w:t>
            </w:r>
          </w:p>
        </w:tc>
        <w:tc>
          <w:tcPr>
            <w:tcW w:type="dxa" w:w="18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ODIN (PDUFA)</w:t>
            </w:r>
          </w:p>
        </w:tc>
        <w:tc>
          <w:tcPr>
            <w:tcW w:type="dxa" w:w="18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Gungnir (readout)</w:t>
            </w:r>
          </w:p>
        </w:tc>
        <w:tc>
          <w:tcPr>
            <w:tcW w:type="dxa" w:w="18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BIFROST Explosion</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 4 insider time series</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 primary target</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 secondary</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 explosion correlate</w:t>
            </w:r>
          </w:p>
        </w:tc>
      </w:tr>
      <w:tr>
        <w:tc>
          <w:tcPr>
            <w:tcW w:type="dxa" w:w="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FDA ADCOM / ODAC votes</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YES — feature + new engine</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YES — briefing-doc driven moves</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CMS NCD / LCD</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POST-PDUFA engine</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r>
      <w:tr>
        <w:tc>
          <w:tcPr>
            <w:tcW w:type="dxa" w:w="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NDA/BLA submission</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YES — upstream features</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YES — acceptance-day moves</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 Targets graph</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 primary target</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r>
        <w:tc>
          <w:tcPr>
            <w:tcW w:type="dxa" w:w="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6</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EDGAR 8-K stream</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YES — item counts</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YES — item counts</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YES — high-vol 8-Ks pre-catalyst</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PIPE / ATM / secondary</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 cash runway feature</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 dilution signal</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 post-catalyst amplifier</w:t>
            </w:r>
          </w:p>
        </w:tc>
      </w:tr>
      <w:tr>
        <w:tc>
          <w:tcPr>
            <w:tcW w:type="dxa" w:w="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13F backfill + jumps</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YES — retest Smart Money</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YES — retest</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Licensing / M&amp;A deals</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 big pharma partner</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r>
        <w:tc>
          <w:tcPr>
            <w:tcW w:type="dxa" w:w="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DSMB / IDMC recs</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YES — primary target</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r>
    </w:tbl>
    <w:p>
      <w:pPr>
        <w:spacing w:after="120"/>
      </w:pPr>
      <w:r>
        <w:rPr>
          <w:rFonts w:ascii="Arial" w:cs="Arial" w:eastAsia="Arial" w:hAnsi="Arial"/>
          <w:sz w:val="22"/>
          <w:szCs w:val="22"/>
        </w:rPr>
        <w:t xml:space="preserve"> </w:t>
      </w:r>
    </w:p>
    <w:p>
      <w:r>
        <w:br w:type="page"/>
      </w:r>
    </w:p>
    <w:p>
      <w:pPr>
        <w:pStyle w:val="Heading1"/>
        <w:spacing w:after="120"/>
      </w:pPr>
      <w:r>
        <w:rPr>
          <w:rFonts w:ascii="Arial" w:cs="Arial" w:eastAsia="Arial" w:hAnsi="Arial"/>
          <w:sz w:val="22"/>
          <w:szCs w:val="22"/>
        </w:rPr>
        <w:t xml:space="preserve">T-1 Compliance Audit Principles</w:t>
      </w:r>
    </w:p>
    <w:p>
      <w:pPr>
        <w:spacing w:after="120"/>
      </w:pPr>
      <w:r>
        <w:rPr>
          <w:rFonts w:ascii="Arial" w:cs="Arial" w:eastAsia="Arial" w:hAnsi="Arial"/>
          <w:sz w:val="22"/>
          <w:szCs w:val="22"/>
        </w:rPr>
        <w:t xml:space="preserve">Every new signal family must pass the same T-1 audit that ODIN v14 / Gungnir v46 / BIFROST v5.5 use. The specific pitfalls to watch for:</w:t>
      </w:r>
    </w:p>
    <w:p>
      <w:pPr>
        <w:pStyle w:val="ListParagraph"/>
        <w:numPr>
          <w:ilvl w:val="0"/>
          <w:numId w:val="2"/>
        </w:numPr>
        <w:spacing w:after="120"/>
      </w:pPr>
      <w:r>
        <w:rPr>
          <w:rFonts w:ascii="Arial" w:cs="Arial" w:eastAsia="Arial" w:hAnsi="Arial"/>
          <w:b/>
          <w:bCs/>
          <w:sz w:val="22"/>
          <w:szCs w:val="22"/>
        </w:rPr>
        <w:t xml:space="preserve">Filing-lag snapshotting: </w:t>
      </w:r>
      <w:r>
        <w:rPr>
          <w:rFonts w:ascii="Arial" w:cs="Arial" w:eastAsia="Arial" w:hAnsi="Arial"/>
          <w:sz w:val="22"/>
          <w:szCs w:val="22"/>
        </w:rPr>
        <w:t xml:space="preserve">Form 4 has a 2-day lag, 13F has 45 days, 8-K has 4 business days. Feature must use the FILING date, not the event date it reports on.</w:t>
      </w:r>
    </w:p>
    <w:p>
      <w:pPr>
        <w:pStyle w:val="ListParagraph"/>
        <w:numPr>
          <w:ilvl w:val="0"/>
          <w:numId w:val="2"/>
        </w:numPr>
        <w:spacing w:after="120"/>
      </w:pPr>
      <w:r>
        <w:rPr>
          <w:rFonts w:ascii="Arial" w:cs="Arial" w:eastAsia="Arial" w:hAnsi="Arial"/>
          <w:b/>
          <w:bCs/>
          <w:sz w:val="22"/>
          <w:szCs w:val="22"/>
        </w:rPr>
        <w:t xml:space="preserve">Back-adjusting company identifiers: </w:t>
      </w:r>
      <w:r>
        <w:rPr>
          <w:rFonts w:ascii="Arial" w:cs="Arial" w:eastAsia="Arial" w:hAnsi="Arial"/>
          <w:sz w:val="22"/>
          <w:szCs w:val="22"/>
        </w:rPr>
        <w:t xml:space="preserve">Ticker changes, reverse splits, and M&amp;A-driven delistings corrupt historical series. Use CIK (SEC) as the stable key, not ticker.</w:t>
      </w:r>
    </w:p>
    <w:p>
      <w:pPr>
        <w:pStyle w:val="ListParagraph"/>
        <w:numPr>
          <w:ilvl w:val="0"/>
          <w:numId w:val="2"/>
        </w:numPr>
        <w:spacing w:after="120"/>
      </w:pPr>
      <w:r>
        <w:rPr>
          <w:rFonts w:ascii="Arial" w:cs="Arial" w:eastAsia="Arial" w:hAnsi="Arial"/>
          <w:b/>
          <w:bCs/>
          <w:sz w:val="22"/>
          <w:szCs w:val="22"/>
        </w:rPr>
        <w:t xml:space="preserve">Indicator leakage: </w:t>
      </w:r>
      <w:r>
        <w:rPr>
          <w:rFonts w:ascii="Arial" w:cs="Arial" w:eastAsia="Arial" w:hAnsi="Arial"/>
          <w:sz w:val="22"/>
          <w:szCs w:val="22"/>
        </w:rPr>
        <w:t xml:space="preserve">A "has_adcom" flag where 0 means "no ADCOM scheduled" vs "ADCOM scheduled but cancelled" leaks outcome info. Use raw calendar data and explicit booleans.</w:t>
      </w:r>
    </w:p>
    <w:p>
      <w:pPr>
        <w:pStyle w:val="ListParagraph"/>
        <w:numPr>
          <w:ilvl w:val="0"/>
          <w:numId w:val="2"/>
        </w:numPr>
        <w:spacing w:after="120"/>
      </w:pPr>
      <w:r>
        <w:rPr>
          <w:rFonts w:ascii="Arial" w:cs="Arial" w:eastAsia="Arial" w:hAnsi="Arial"/>
          <w:b/>
          <w:bCs/>
          <w:sz w:val="22"/>
          <w:szCs w:val="22"/>
        </w:rPr>
        <w:t xml:space="preserve">Non-uniform coverage: </w:t>
      </w:r>
      <w:r>
        <w:rPr>
          <w:rFonts w:ascii="Arial" w:cs="Arial" w:eastAsia="Arial" w:hAnsi="Arial"/>
          <w:sz w:val="22"/>
          <w:szCs w:val="22"/>
        </w:rPr>
        <w:t xml:space="preserve">The v5.9 ORATS debacle. If coverage varies by split (train 37% / val 89% / test 56%), coverage-indicator features win greedy selection as partition proxies, not as information features. Require uniform coverage ± 15 pp across splits before greedy selection.</w:t>
      </w:r>
    </w:p>
    <w:p>
      <w:pPr>
        <w:pStyle w:val="ListParagraph"/>
        <w:numPr>
          <w:ilvl w:val="0"/>
          <w:numId w:val="2"/>
        </w:numPr>
        <w:spacing w:after="120"/>
      </w:pPr>
      <w:r>
        <w:rPr>
          <w:rFonts w:ascii="Arial" w:cs="Arial" w:eastAsia="Arial" w:hAnsi="Arial"/>
          <w:b/>
          <w:bCs/>
          <w:sz w:val="22"/>
          <w:szCs w:val="22"/>
        </w:rPr>
        <w:t xml:space="preserve">Intraday vs daily: </w:t>
      </w:r>
      <w:r>
        <w:rPr>
          <w:rFonts w:ascii="Arial" w:cs="Arial" w:eastAsia="Arial" w:hAnsi="Arial"/>
          <w:sz w:val="22"/>
          <w:szCs w:val="22"/>
        </w:rPr>
        <w:t xml:space="preserve">8-K filings can be filed T-0 after market close. Feature computation must lock at T-1 close.</w:t>
      </w:r>
    </w:p>
    <w:p>
      <w:pPr>
        <w:pStyle w:val="Heading1"/>
        <w:spacing w:after="120"/>
      </w:pPr>
      <w:r>
        <w:rPr>
          <w:rFonts w:ascii="Arial" w:cs="Arial" w:eastAsia="Arial" w:hAnsi="Arial"/>
          <w:sz w:val="22"/>
          <w:szCs w:val="22"/>
        </w:rPr>
        <w:t xml:space="preserve">Implementation Cost Ladder</w:t>
      </w:r>
    </w:p>
    <w:p>
      <w:pPr>
        <w:spacing w:after="120"/>
      </w:pPr>
      <w:r>
        <w:rPr>
          <w:rFonts w:ascii="Arial" w:cs="Arial" w:eastAsia="Arial" w:hAnsi="Arial"/>
          <w:sz w:val="22"/>
          <w:szCs w:val="22"/>
        </w:rPr>
        <w:t xml:space="preserve">Ranked by engineering time (top 10 only):</w:t>
      </w:r>
    </w:p>
    <w:p>
      <w:pPr>
        <w:pStyle w:val="ListParagraph"/>
        <w:numPr>
          <w:ilvl w:val="0"/>
          <w:numId w:val="2"/>
        </w:numPr>
        <w:spacing w:after="120"/>
      </w:pPr>
      <w:r>
        <w:rPr>
          <w:rFonts w:ascii="Arial" w:cs="Arial" w:eastAsia="Arial" w:hAnsi="Arial"/>
          <w:b/>
          <w:bCs/>
          <w:sz w:val="22"/>
          <w:szCs w:val="22"/>
        </w:rPr>
        <w:t xml:space="preserve">1-2 days: </w:t>
      </w:r>
      <w:r>
        <w:rPr>
          <w:rFonts w:ascii="Arial" w:cs="Arial" w:eastAsia="Arial" w:hAnsi="Arial"/>
          <w:sz w:val="22"/>
          <w:szCs w:val="22"/>
        </w:rPr>
        <w:t xml:space="preserve">B1 Form 4 backfill, A3 CMS NCD integration (MCP already exposed)</w:t>
      </w:r>
    </w:p>
    <w:p>
      <w:pPr>
        <w:pStyle w:val="ListParagraph"/>
        <w:numPr>
          <w:ilvl w:val="0"/>
          <w:numId w:val="2"/>
        </w:numPr>
        <w:spacing w:after="120"/>
      </w:pPr>
      <w:r>
        <w:rPr>
          <w:rFonts w:ascii="Arial" w:cs="Arial" w:eastAsia="Arial" w:hAnsi="Arial"/>
          <w:b/>
          <w:bCs/>
          <w:sz w:val="22"/>
          <w:szCs w:val="22"/>
        </w:rPr>
        <w:t xml:space="preserve">1-2 weeks: </w:t>
      </w:r>
      <w:r>
        <w:rPr>
          <w:rFonts w:ascii="Arial" w:cs="Arial" w:eastAsia="Arial" w:hAnsi="Arial"/>
          <w:sz w:val="22"/>
          <w:szCs w:val="22"/>
        </w:rPr>
        <w:t xml:space="preserve">A2 NDA/BLA event stream, B4 Open Targets features, A1 ADCOM scraper, A8 PIPE / offering parser</w:t>
      </w:r>
    </w:p>
    <w:p>
      <w:pPr>
        <w:pStyle w:val="ListParagraph"/>
        <w:numPr>
          <w:ilvl w:val="0"/>
          <w:numId w:val="2"/>
        </w:numPr>
        <w:spacing w:after="120"/>
      </w:pPr>
      <w:r>
        <w:rPr>
          <w:rFonts w:ascii="Arial" w:cs="Arial" w:eastAsia="Arial" w:hAnsi="Arial"/>
          <w:b/>
          <w:bCs/>
          <w:sz w:val="22"/>
          <w:szCs w:val="22"/>
        </w:rPr>
        <w:t xml:space="preserve">2-4 weeks: </w:t>
      </w:r>
      <w:r>
        <w:rPr>
          <w:rFonts w:ascii="Arial" w:cs="Arial" w:eastAsia="Arial" w:hAnsi="Arial"/>
          <w:sz w:val="22"/>
          <w:szCs w:val="22"/>
        </w:rPr>
        <w:t xml:space="preserve">B2 EDGAR 8-K classifier + NLP pipeline, B3 13F backfill + jump features, A6 licensing-deal parser, A16 DSMB recommendation extractor</w:t>
      </w:r>
    </w:p>
    <w:p>
      <w:pPr>
        <w:pStyle w:val="ListParagraph"/>
        <w:numPr>
          <w:ilvl w:val="0"/>
          <w:numId w:val="2"/>
        </w:numPr>
        <w:spacing w:after="120"/>
      </w:pPr>
      <w:r>
        <w:rPr>
          <w:rFonts w:ascii="Arial" w:cs="Arial" w:eastAsia="Arial" w:hAnsi="Arial"/>
          <w:b/>
          <w:bCs/>
          <w:sz w:val="22"/>
          <w:szCs w:val="22"/>
        </w:rPr>
        <w:t xml:space="preserve">Over a month: </w:t>
      </w:r>
      <w:r>
        <w:rPr>
          <w:rFonts w:ascii="Arial" w:cs="Arial" w:eastAsia="Arial" w:hAnsi="Arial"/>
          <w:sz w:val="22"/>
          <w:szCs w:val="22"/>
        </w:rPr>
        <w:t xml:space="preserve">Anything requiring paid data (B10 dark pool, B17 Cortellis, B18 EvaluatePharma, B20 alt data), A11 FDA Type meetings</w:t>
      </w:r>
    </w:p>
    <w:p>
      <w:pPr>
        <w:pStyle w:val="Heading1"/>
        <w:spacing w:after="120"/>
      </w:pPr>
      <w:r>
        <w:rPr>
          <w:rFonts w:ascii="Arial" w:cs="Arial" w:eastAsia="Arial" w:hAnsi="Arial"/>
          <w:sz w:val="22"/>
          <w:szCs w:val="22"/>
        </w:rPr>
        <w:t xml:space="preserve">Recommended Next Steps</w:t>
      </w:r>
    </w:p>
    <w:p>
      <w:pPr>
        <w:spacing w:after="120"/>
      </w:pPr>
      <w:r>
        <w:rPr>
          <w:rFonts w:ascii="Arial" w:cs="Arial" w:eastAsia="Arial" w:hAnsi="Arial"/>
          <w:b/>
          <w:bCs/>
          <w:sz w:val="22"/>
          <w:szCs w:val="22"/>
        </w:rPr>
        <w:t xml:space="preserve">Phase 1 (Week 1) — Execute B1 Form 4 backfill. </w:t>
      </w:r>
      <w:r>
        <w:rPr>
          <w:rFonts w:ascii="Arial" w:cs="Arial" w:eastAsia="Arial" w:hAnsi="Arial"/>
          <w:sz w:val="22"/>
          <w:szCs w:val="22"/>
        </w:rPr>
        <w:t xml:space="preserve">Single-track kaizen with honest 3-way split on all three engines. If Form 4 produces a null on ODIN and Gungnir, that is the 10th consecutive null and genuinely locks the saturation thesis — at which point the strategy is to pivot entirely to NEW event types (Phase 2).</w:t>
      </w:r>
    </w:p>
    <w:p>
      <w:pPr>
        <w:spacing w:after="120"/>
      </w:pPr>
      <w:r>
        <w:rPr>
          <w:rFonts w:ascii="Arial" w:cs="Arial" w:eastAsia="Arial" w:hAnsi="Arial"/>
          <w:b/>
          <w:bCs/>
          <w:sz w:val="22"/>
          <w:szCs w:val="22"/>
        </w:rPr>
        <w:t xml:space="preserve">Phase 2 (Week 2-3) — Launch two parallel tracks: </w:t>
      </w:r>
      <w:r>
        <w:rPr>
          <w:rFonts w:ascii="Arial" w:cs="Arial" w:eastAsia="Arial" w:hAnsi="Arial"/>
          <w:sz w:val="22"/>
          <w:szCs w:val="22"/>
        </w:rPr>
        <w:t xml:space="preserve">A3 CMS NCD Predictor (new POST-PDUFA engine) and A2 NDA/BLA Submission Predictor (upstream extension of ODIN). Both are cheap (MCP ready / free data) and open genuinely new tradeable event streams.</w:t>
      </w:r>
    </w:p>
    <w:p>
      <w:pPr>
        <w:spacing w:after="120"/>
      </w:pPr>
      <w:r>
        <w:rPr>
          <w:rFonts w:ascii="Arial" w:cs="Arial" w:eastAsia="Arial" w:hAnsi="Arial"/>
          <w:b/>
          <w:bCs/>
          <w:sz w:val="22"/>
          <w:szCs w:val="22"/>
        </w:rPr>
        <w:t xml:space="preserve">Phase 3 (Week 4-6) — Execute A1 ADCOM Vote Predictor. </w:t>
      </w:r>
      <w:r>
        <w:rPr>
          <w:rFonts w:ascii="Arial" w:cs="Arial" w:eastAsia="Arial" w:hAnsi="Arial"/>
          <w:sz w:val="22"/>
          <w:szCs w:val="22"/>
        </w:rPr>
        <w:t xml:space="preserve">New engine for a new event type. Briefing-doc NLP + panel-composition features + sponsor-history features. Deploy if honest test AUC &gt; 0.70.</w:t>
      </w:r>
    </w:p>
    <w:p>
      <w:pPr>
        <w:spacing w:after="120"/>
      </w:pPr>
      <w:r>
        <w:rPr>
          <w:rFonts w:ascii="Arial" w:cs="Arial" w:eastAsia="Arial" w:hAnsi="Arial"/>
          <w:b/>
          <w:bCs/>
          <w:sz w:val="22"/>
          <w:szCs w:val="22"/>
        </w:rPr>
        <w:t xml:space="preserve">Phase 4 (Week 6-10) — B2 EDGAR 8-K master stream. </w:t>
      </w:r>
      <w:r>
        <w:rPr>
          <w:rFonts w:ascii="Arial" w:cs="Arial" w:eastAsia="Arial" w:hAnsi="Arial"/>
          <w:sz w:val="22"/>
          <w:szCs w:val="22"/>
        </w:rPr>
        <w:t xml:space="preserve">Large-scale NLP pipeline. Builds a permanent events database underlying all future kaizen.</w:t>
      </w:r>
    </w:p>
    <w:p>
      <w:pPr>
        <w:spacing w:after="120"/>
      </w:pPr>
      <w:r>
        <w:rPr>
          <w:rFonts w:ascii="Arial" w:cs="Arial" w:eastAsia="Arial" w:hAnsi="Arial"/>
          <w:b/>
          <w:bCs/>
          <w:sz w:val="22"/>
          <w:szCs w:val="22"/>
        </w:rPr>
        <w:t xml:space="preserve">Phase 5 (Week 10+) — B3 13F extended backfill + jump features retest. </w:t>
      </w:r>
      <w:r>
        <w:rPr>
          <w:rFonts w:ascii="Arial" w:cs="Arial" w:eastAsia="Arial" w:hAnsi="Arial"/>
          <w:sz w:val="22"/>
          <w:szCs w:val="22"/>
        </w:rPr>
        <w:t xml:space="preserve">Only pursue if Phase 1 produces signal (otherwise 13F retest is under the same saturation pattern).</w:t>
      </w:r>
    </w:p>
    <w:p>
      <w:pPr>
        <w:pStyle w:val="Heading1"/>
        <w:spacing w:after="120"/>
      </w:pPr>
      <w:r>
        <w:rPr>
          <w:rFonts w:ascii="Arial" w:cs="Arial" w:eastAsia="Arial" w:hAnsi="Arial"/>
          <w:sz w:val="22"/>
          <w:szCs w:val="22"/>
        </w:rPr>
        <w:t xml:space="preserve">Honest Caveats</w:t>
      </w:r>
    </w:p>
    <w:p>
      <w:pPr>
        <w:pStyle w:val="ListParagraph"/>
        <w:numPr>
          <w:ilvl w:val="0"/>
          <w:numId w:val="2"/>
        </w:numPr>
        <w:spacing w:after="120"/>
      </w:pPr>
      <w:r>
        <w:rPr>
          <w:rFonts w:ascii="Arial" w:cs="Arial" w:eastAsia="Arial" w:hAnsi="Arial"/>
          <w:b/>
          <w:bCs/>
          <w:sz w:val="22"/>
          <w:szCs w:val="22"/>
        </w:rPr>
        <w:t xml:space="preserve">The 9-null pattern could extend to new data infrastructure too. </w:t>
      </w:r>
      <w:r>
        <w:rPr>
          <w:rFonts w:ascii="Arial" w:cs="Arial" w:eastAsia="Arial" w:hAnsi="Arial"/>
          <w:sz w:val="22"/>
          <w:szCs w:val="22"/>
        </w:rPr>
        <w:t xml:space="preserve">Form 4, 8-K, and 13F are all orthogonal to the saturated families but are still LOCAL features on the SAME events. If the fundamental issue is that the 2,200 ODIN events and 1,750 Gungnir events do not contain enough residual unexplained variance, even Form 4 will null. The decisive test is Phase 1.</w:t>
      </w:r>
    </w:p>
    <w:p>
      <w:pPr>
        <w:pStyle w:val="ListParagraph"/>
        <w:numPr>
          <w:ilvl w:val="0"/>
          <w:numId w:val="2"/>
        </w:numPr>
        <w:spacing w:after="120"/>
      </w:pPr>
      <w:r>
        <w:rPr>
          <w:rFonts w:ascii="Arial" w:cs="Arial" w:eastAsia="Arial" w:hAnsi="Arial"/>
          <w:b/>
          <w:bCs/>
          <w:sz w:val="22"/>
          <w:szCs w:val="22"/>
        </w:rPr>
        <w:t xml:space="preserve">NEW event types are a genuine escape hatch from saturation. </w:t>
      </w:r>
      <w:r>
        <w:rPr>
          <w:rFonts w:ascii="Arial" w:cs="Arial" w:eastAsia="Arial" w:hAnsi="Arial"/>
          <w:sz w:val="22"/>
          <w:szCs w:val="22"/>
        </w:rPr>
        <w:t xml:space="preserve">ADCOM, NDA/BLA submission, and CMS NCD are not the same 2,200 events — they are different populations with different selection biases. The saturation thesis does not apply until we have 9 null Kaizens on each new event class.</w:t>
      </w:r>
    </w:p>
    <w:p>
      <w:pPr>
        <w:pStyle w:val="ListParagraph"/>
        <w:numPr>
          <w:ilvl w:val="0"/>
          <w:numId w:val="2"/>
        </w:numPr>
        <w:spacing w:after="120"/>
      </w:pPr>
      <w:r>
        <w:rPr>
          <w:rFonts w:ascii="Arial" w:cs="Arial" w:eastAsia="Arial" w:hAnsi="Arial"/>
          <w:b/>
          <w:bCs/>
          <w:sz w:val="22"/>
          <w:szCs w:val="22"/>
        </w:rPr>
        <w:t xml:space="preserve">Implementation cost ladder is a rough estimate. </w:t>
      </w:r>
      <w:r>
        <w:rPr>
          <w:rFonts w:ascii="Arial" w:cs="Arial" w:eastAsia="Arial" w:hAnsi="Arial"/>
          <w:sz w:val="22"/>
          <w:szCs w:val="22"/>
        </w:rPr>
        <w:t xml:space="preserve">Data parsing surprises are common (malformed filings, inconsistent schemas, CIK / ticker mismatches). Build in 30-50% buffer.</w:t>
      </w:r>
    </w:p>
    <w:p>
      <w:pPr>
        <w:pStyle w:val="ListParagraph"/>
        <w:numPr>
          <w:ilvl w:val="0"/>
          <w:numId w:val="2"/>
        </w:numPr>
        <w:spacing w:after="120"/>
      </w:pPr>
      <w:r>
        <w:rPr>
          <w:rFonts w:ascii="Arial" w:cs="Arial" w:eastAsia="Arial" w:hAnsi="Arial"/>
          <w:b/>
          <w:bCs/>
          <w:sz w:val="22"/>
          <w:szCs w:val="22"/>
        </w:rPr>
        <w:t xml:space="preserve">Paid data sources are excluded from Phase 1-5. </w:t>
      </w:r>
      <w:r>
        <w:rPr>
          <w:rFonts w:ascii="Arial" w:cs="Arial" w:eastAsia="Arial" w:hAnsi="Arial"/>
          <w:sz w:val="22"/>
          <w:szCs w:val="22"/>
        </w:rPr>
        <w:t xml:space="preserve">Cortellis, EvaluatePharma, and alt-data are not in the recommended plan because their incremental value is not proven and the costs are high. Revisit after Form 4 + ADCOM + CMS NCD deliver their own honest verdicts.</w:t>
      </w:r>
    </w:p>
    <w:p>
      <w:pPr>
        <w:spacing w:after="240"/>
      </w:pPr>
      <w:r>
        <w:rPr>
          <w:rFonts w:ascii="Arial" w:cs="Arial" w:eastAsia="Arial" w:hAnsi="Arial"/>
          <w:sz w:val="22"/>
          <w:szCs w:val="22"/>
        </w:rPr>
        <w:t xml:space="preserve"> </w:t>
      </w:r>
    </w:p>
    <w:p>
      <w:pPr>
        <w:spacing w:after="120"/>
      </w:pPr>
      <w:r>
        <w:rPr>
          <w:rFonts w:ascii="Arial" w:cs="Arial" w:eastAsia="Arial" w:hAnsi="Arial"/>
          <w:i/>
          <w:iCs/>
          <w:color w:val="555555"/>
          <w:sz w:val="20"/>
          <w:szCs w:val="20"/>
        </w:rPr>
        <w:t xml:space="preserve">— End of brief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555555"/>
        <w:sz w:val="18"/>
        <w:szCs w:val="18"/>
      </w:rPr>
      <w:t xml:space="preserve">New Signal Families — Research Brief</w:t>
    </w:r>
    <w:r>
      <w:rPr>
        <w:rFonts w:ascii="Arial" w:cs="Arial" w:eastAsia="Arial" w:hAnsi="Arial"/>
        <w:color w:val="555555"/>
        <w:sz w:val="18"/>
        <w:szCs w:val="18"/>
      </w:rPr>
      <w:t xml:space="preserve">	9 Realms / pdufa.bio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0000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Signal Families — Research Brief</dc:title>
  <dc:creator>Claude</dc:creator>
  <cp:lastModifiedBy>Un-named</cp:lastModifiedBy>
  <cp:revision>1</cp:revision>
  <dcterms:created xsi:type="dcterms:W3CDTF">2026-04-21T08:23:55.741Z</dcterms:created>
  <dcterms:modified xsi:type="dcterms:W3CDTF">2026-04-21T08:23:55.743Z</dcterms:modified>
</cp:coreProperties>
</file>

<file path=docProps/custom.xml><?xml version="1.0" encoding="utf-8"?>
<Properties xmlns="http://schemas.openxmlformats.org/officeDocument/2006/custom-properties" xmlns:vt="http://schemas.openxmlformats.org/officeDocument/2006/docPropsVTypes"/>
</file>