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4"/>
          <w:szCs w:val="44"/>
        </w:rPr>
        <w:t xml:space="preserve">ODIN v17 Kaizen — Null-Result Findings</w:t>
      </w:r>
    </w:p>
    <w:p>
      <w:pPr>
        <w:spacing w:after="200"/>
        <w:jc w:val="center"/>
      </w:pPr>
      <w:r>
        <w:rPr>
          <w:rFonts w:ascii="Arial" w:cs="Arial" w:eastAsia="Arial" w:hAnsi="Arial"/>
          <w:i/>
          <w:iCs/>
          <w:color w:val="595959"/>
          <w:sz w:val="24"/>
          <w:szCs w:val="24"/>
        </w:rPr>
        <w:t xml:space="preserve">HINT-augmented two-track evaluation — v14 remains champion</w:t>
      </w:r>
    </w:p>
    <w:p>
      <w:pPr>
        <w:spacing w:after="320"/>
        <w:jc w:val="center"/>
      </w:pPr>
      <w:r>
        <w:rPr>
          <w:rFonts w:ascii="Arial" w:cs="Arial" w:eastAsia="Arial" w:hAnsi="Arial"/>
          <w:color w:val="595959"/>
          <w:sz w:val="20"/>
          <w:szCs w:val="20"/>
        </w:rPr>
        <w:t xml:space="preserve">Generated 2026-04-20 · 9 Realms / pdufa.bio</w:t>
      </w:r>
    </w:p>
    <w:p>
      <w:pPr>
        <w:pStyle w:val="Heading1"/>
        <w:spacing w:after="120" w:before="320"/>
      </w:pPr>
      <w:r>
        <w:rPr>
          <w:rFonts w:ascii="Arial" w:cs="Arial" w:eastAsia="Arial" w:hAnsi="Arial"/>
          <w:b/>
          <w:bCs/>
          <w:color w:val="1F3864"/>
          <w:sz w:val="32"/>
          <w:szCs w:val="32"/>
        </w:rPr>
        <w:t xml:space="preserve">Executive Summary</w:t>
      </w:r>
    </w:p>
    <w:p>
      <w:pPr>
        <w:spacing w:after="80" w:before="80"/>
        <w:jc w:val="left"/>
      </w:pPr>
      <w:r>
        <w:rPr>
          <w:rFonts w:ascii="Arial" w:cs="Arial" w:eastAsia="Arial" w:hAnsi="Arial"/>
          <w:b w:val="false"/>
          <w:bCs w:val="false"/>
          <w:i w:val="false"/>
          <w:iCs w:val="false"/>
          <w:color w:val="000000"/>
          <w:sz w:val="22"/>
          <w:szCs w:val="22"/>
        </w:rPr>
        <w:t xml:space="preserve">ODIN v17 tested the addition of HINT (Fu et al. 2022 Hierarchical Interaction Network) Phase I/II/III probabilities and 17 HINT-derived interaction features on top of the v14 51-feature baseline. Evaluation ran under two tracks in parallel: Track A (deployed v14-style HO-touched Kaizen) and Track B (honest 3-way split with val-only selection, test touched once).</w:t>
      </w:r>
    </w:p>
    <w:p>
      <w:pPr>
        <w:spacing w:after="80" w:before="80"/>
        <w:jc w:val="left"/>
      </w:pPr>
      <w:r>
        <w:rPr>
          <w:rFonts w:ascii="Arial" w:cs="Arial" w:eastAsia="Arial" w:hAnsi="Arial"/>
          <w:b/>
          <w:bCs/>
          <w:i w:val="false"/>
          <w:iCs w:val="false"/>
          <w:color w:val="B22222"/>
          <w:sz w:val="22"/>
          <w:szCs w:val="22"/>
        </w:rPr>
        <w:t xml:space="preserve">Both tracks returned a NULL result. v17 does not clear the v14 champion bar on either track. v14 remains the ODIN PDUFA scoring model.</w:t>
      </w:r>
    </w:p>
    <w:p>
      <w:pPr>
        <w:spacing w:after="80" w:before="80"/>
        <w:jc w:val="left"/>
      </w:pPr>
      <w:r>
        <w:rPr>
          <w:rFonts w:ascii="Arial" w:cs="Arial" w:eastAsia="Arial" w:hAnsi="Arial"/>
          <w:b w:val="false"/>
          <w:bCs w:val="false"/>
          <w:i w:val="false"/>
          <w:iCs w:val="false"/>
          <w:color w:val="000000"/>
          <w:sz w:val="22"/>
          <w:szCs w:val="22"/>
        </w:rPr>
        <w:t xml:space="preserve">This memo documents the methodology, the regression magnitudes, the single HINT feature that survived honest selection (hint_phase1_prob), and the roadmap for HINT integration in future Kaizen cycles. The pattern matches the BIFROST v5.7 / v5.8 and Gungnir v47 honest-null precedents: locally-augmented feature mining hits a saturation ceiling once the base model already captures the signal family.</w:t>
      </w:r>
    </w:p>
    <w:p>
      <w:pPr>
        <w:pStyle w:val="Heading2"/>
        <w:spacing w:after="120" w:before="240"/>
      </w:pPr>
      <w:r>
        <w:rPr>
          <w:rFonts w:ascii="Arial" w:cs="Arial" w:eastAsia="Arial" w:hAnsi="Arial"/>
          <w:b/>
          <w:bCs/>
          <w:color w:val="1F3864"/>
          <w:sz w:val="28"/>
          <w:szCs w:val="28"/>
        </w:rPr>
        <w:t xml:space="preserve">Headline Numbers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400"/>
        <w:gridCol w:w="1800"/>
        <w:gridCol w:w="1500"/>
        <w:gridCol w:w="166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Track</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Metric</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Bar (v14)</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v17</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Δ (bp)</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Verdict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 — Deployed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 AUC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0.9363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B22222"/>
                <w:sz w:val="20"/>
                <w:szCs w:val="20"/>
              </w:rPr>
              <w:t xml:space="preserve">−351</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HOLD v14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 — Deployed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 Brier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0.0895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0.1107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B22222"/>
                <w:sz w:val="20"/>
                <w:szCs w:val="20"/>
              </w:rPr>
              <w:t xml:space="preserve">+212 (worse)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HOLD v14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 — Honest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AUC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0.8995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0.8694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B22222"/>
                <w:sz w:val="20"/>
                <w:szCs w:val="20"/>
              </w:rPr>
              <w:t xml:space="preserve">−301</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HOLD v14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 — Honest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95% CI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[0.8250, 0.9100]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spans bar</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inconclusive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 — vs baseline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 AUC (v14e baseline)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0.8952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beats weak bar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Stability (A)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20-seed paired 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20/20 AUC wins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p=1.8e-19</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significant</w:t>
            </w:r>
          </w:p>
        </w:tc>
      </w:tr>
    </w:tbl>
    <w:p>
      <w:pPr>
        <w:spacing w:after="80" w:before="80"/>
        <w:jc w:val="left"/>
      </w:pPr>
      <w:r>
        <w:rPr>
          <w:rFonts w:ascii="Arial" w:cs="Arial" w:eastAsia="Arial" w:hAnsi="Arial"/>
          <w:b w:val="false"/>
          <w:bCs w:val="false"/>
          <w:i/>
          <w:iCs/>
          <w:color w:val="000000"/>
          <w:sz w:val="22"/>
          <w:szCs w:val="22"/>
        </w:rPr>
        <w:t xml:space="preserve">Honest reading: v17 genuinely improves over a v14-equivalent baseline fit under the same modern data pipeline (+60 bp, 20/20 seeds, p&lt;1e-19), but falls 351 bp short of the deployed v14 HO AUC 0.9363 — which itself is known to be 368 bp inflated per the April 2026 Red Team audit. On the honest bar (0.8995), v17 lands 301 bp below, with the upper end of the bootstrap 95% CI (0.9100) spanning the bar.</w:t>
      </w:r>
    </w:p>
    <w:p>
      <w:pPr>
        <w:pStyle w:val="Heading1"/>
        <w:spacing w:after="120" w:before="320"/>
      </w:pPr>
      <w:r>
        <w:rPr>
          <w:rFonts w:ascii="Arial" w:cs="Arial" w:eastAsia="Arial" w:hAnsi="Arial"/>
          <w:b/>
          <w:bCs/>
          <w:color w:val="1F3864"/>
          <w:sz w:val="32"/>
          <w:szCs w:val="32"/>
        </w:rPr>
        <w:t xml:space="preserve">Methodology</w:t>
      </w:r>
    </w:p>
    <w:p>
      <w:pPr>
        <w:pStyle w:val="Heading2"/>
        <w:spacing w:after="120" w:before="240"/>
      </w:pPr>
      <w:r>
        <w:rPr>
          <w:rFonts w:ascii="Arial" w:cs="Arial" w:eastAsia="Arial" w:hAnsi="Arial"/>
          <w:b/>
          <w:bCs/>
          <w:color w:val="1F3864"/>
          <w:sz w:val="28"/>
          <w:szCs w:val="28"/>
        </w:rPr>
        <w:t xml:space="preserve">HINT Backfill</w:t>
      </w:r>
    </w:p>
    <w:p>
      <w:pPr>
        <w:spacing w:after="80" w:before="80"/>
        <w:jc w:val="left"/>
      </w:pPr>
      <w:r>
        <w:rPr>
          <w:rFonts w:ascii="Arial" w:cs="Arial" w:eastAsia="Arial" w:hAnsi="Arial"/>
          <w:b w:val="false"/>
          <w:bCs w:val="false"/>
          <w:i w:val="false"/>
          <w:iCs w:val="false"/>
          <w:color w:val="000000"/>
          <w:sz w:val="22"/>
          <w:szCs w:val="22"/>
        </w:rPr>
        <w:t xml:space="preserve">HINT Phase I/II/III checkpoints from Fu et al. 2022 (hint_repo/save_model/) were run on all 2,230 ODIN training events. Drug → SMILES via PubChemPy with fallback cache. ICD-10 lookup from event-level indication. Eligibility protocol encoded via BioBERT [CLS] pooling. Phase head selected per event (Phase I/II/III checkpoints). 254 of 2,230 events (11.4%) returned a scorable HINT probability; the remainder are OOD (biologics, cell therapy, reformulations with no public SMILES, preclinical with no NCT).</w:t>
      </w:r>
    </w:p>
    <w:p>
      <w:pPr>
        <w:spacing w:after="80" w:before="80"/>
        <w:jc w:val="left"/>
      </w:pPr>
      <w:r>
        <w:rPr>
          <w:rFonts w:ascii="Arial" w:cs="Arial" w:eastAsia="Arial" w:hAnsi="Arial"/>
          <w:b w:val="false"/>
          <w:bCs w:val="false"/>
          <w:i w:val="false"/>
          <w:iCs w:val="false"/>
          <w:color w:val="000000"/>
          <w:sz w:val="22"/>
          <w:szCs w:val="22"/>
        </w:rPr>
        <w:t xml:space="preserve">For non-scorable events: hint_*_prob = 0, hint_scorable = 0 (indicator feature). This lets the model down-weight HINT for OOD modalities without imputation noise.</w:t>
      </w:r>
    </w:p>
    <w:p>
      <w:pPr>
        <w:pStyle w:val="Heading2"/>
        <w:spacing w:after="120" w:before="240"/>
      </w:pPr>
      <w:r>
        <w:rPr>
          <w:rFonts w:ascii="Arial" w:cs="Arial" w:eastAsia="Arial" w:hAnsi="Arial"/>
          <w:b/>
          <w:bCs/>
          <w:color w:val="1F3864"/>
          <w:sz w:val="28"/>
          <w:szCs w:val="28"/>
        </w:rPr>
        <w:t xml:space="preserve">20 HINT Candidate Features</w:t>
      </w:r>
    </w:p>
    <w:p>
      <w:pPr>
        <w:spacing w:after="80" w:before="80"/>
        <w:jc w:val="left"/>
      </w:pPr>
      <w:r>
        <w:rPr>
          <w:rFonts w:ascii="Arial" w:cs="Arial" w:eastAsia="Arial" w:hAnsi="Arial"/>
          <w:b w:val="false"/>
          <w:bCs w:val="false"/>
          <w:i w:val="false"/>
          <w:iCs w:val="false"/>
          <w:color w:val="000000"/>
          <w:sz w:val="22"/>
          <w:szCs w:val="22"/>
        </w:rPr>
        <w:t xml:space="preserve">Generated across four families: (1) direct — hint_phase1_prob, hint_phase2_prob, hint_phase3_prob, hint_scorable, hint_p3_cube, hint_p3_log; (2) phase × regulatory — hint_x_resub_class_1, hint_x_btd_bin, hint_x_ppm_flag_bin, hint_x_fast_track_bin, hint_x_accel_bin, hint_x_priority_review_bin; (3) phase × TA — hint_x_is_oncology, hint_x_ta_very_high, hint_x_ta_metabolic; (4) phase × sponsor/context — hint_x_sponsor_win_rate, hint_x_sponsor_naive, hint_disagreement_x_sponsor_naive, hint_x_era_post, hint_x_single_arm_bin.</w:t>
      </w:r>
    </w:p>
    <w:p>
      <w:pPr>
        <w:pStyle w:val="Heading2"/>
        <w:spacing w:after="120" w:before="240"/>
      </w:pPr>
      <w:r>
        <w:rPr>
          <w:rFonts w:ascii="Arial" w:cs="Arial" w:eastAsia="Arial" w:hAnsi="Arial"/>
          <w:b/>
          <w:bCs/>
          <w:color w:val="1F3864"/>
          <w:sz w:val="28"/>
          <w:szCs w:val="28"/>
        </w:rPr>
        <w:t xml:space="preserve">Track A — Deployed Champion (v14-style)</w:t>
      </w:r>
    </w:p>
    <w:p>
      <w:pPr>
        <w:spacing w:after="80" w:before="80"/>
        <w:jc w:val="left"/>
      </w:pPr>
      <w:r>
        <w:rPr>
          <w:rFonts w:ascii="Arial" w:cs="Arial" w:eastAsia="Arial" w:hAnsi="Arial"/>
          <w:b w:val="false"/>
          <w:bCs w:val="false"/>
          <w:i w:val="false"/>
          <w:iCs w:val="false"/>
          <w:color w:val="000000"/>
          <w:sz w:val="22"/>
          <w:szCs w:val="22"/>
        </w:rPr>
        <w:t xml:space="preserve">Split: WF ≤ 2024 (n=1,865) / HO ≥ 2025 (n=365). C sweep over [0.005, 0.01, 0.025, 0.05, 0.10, 0.20, 0.30] selected on HO AUC (HO-touched — this is the v14 convention). Forward selection on HO AUC with gate Δho ≥ +0.0005. 20-seed stability vs v14-equivalent baseline with per-split 1e-6 Gaussian jitter, paired t-test on both AUC and Brier.</w:t>
      </w:r>
    </w:p>
    <w:p>
      <w:pPr>
        <w:pStyle w:val="Heading2"/>
        <w:spacing w:after="120" w:before="240"/>
      </w:pPr>
      <w:r>
        <w:rPr>
          <w:rFonts w:ascii="Arial" w:cs="Arial" w:eastAsia="Arial" w:hAnsi="Arial"/>
          <w:b/>
          <w:bCs/>
          <w:color w:val="1F3864"/>
          <w:sz w:val="28"/>
          <w:szCs w:val="28"/>
        </w:rPr>
        <w:t xml:space="preserve">Track B — Honest Shadow (3-way split)</w:t>
      </w:r>
    </w:p>
    <w:p>
      <w:pPr>
        <w:spacing w:after="80" w:before="80"/>
        <w:jc w:val="left"/>
      </w:pPr>
      <w:r>
        <w:rPr>
          <w:rFonts w:ascii="Arial" w:cs="Arial" w:eastAsia="Arial" w:hAnsi="Arial"/>
          <w:b w:val="false"/>
          <w:bCs w:val="false"/>
          <w:i w:val="false"/>
          <w:iCs w:val="false"/>
          <w:color w:val="000000"/>
          <w:sz w:val="22"/>
          <w:szCs w:val="22"/>
        </w:rPr>
        <w:t xml:space="preserve">Split: train ≤ 2023-12 (n=1,486) / val 2024 (n=379) / test ≥ 2025 (n=365). C sweep selected on val AUC only. Forward selection on val AUC with gate Δval ≥ +0.002 (stricter than Track A). Final model re-tuned on val with full selected feature set. Test evaluated exactly ONCE. Bootstrap 95% CI on test AUC (n_boot=2000, seed=42, percentile; skip samples where classes aren't both present).</w:t>
      </w:r>
    </w:p>
    <w:p>
      <w:pPr>
        <w:spacing w:after="80" w:before="80"/>
        <w:jc w:val="left"/>
      </w:pPr>
      <w:r>
        <w:rPr>
          <w:rFonts w:ascii="Arial" w:cs="Arial" w:eastAsia="Arial" w:hAnsi="Arial"/>
          <w:b w:val="false"/>
          <w:bCs w:val="false"/>
          <w:i/>
          <w:iCs/>
          <w:color w:val="000000"/>
          <w:sz w:val="22"/>
          <w:szCs w:val="22"/>
        </w:rPr>
        <w:t xml:space="preserve">Track B is the methodologically correct discipline. Track A is run in parallel only because the current deployed-champion bar (v14) was set under v14-style selection, so Track A provides the apples-to-apples ship-decision comparison.</w:t>
      </w:r>
    </w:p>
    <w:p>
      <w:r>
        <w:br w:type="page"/>
      </w:r>
    </w:p>
    <w:p>
      <w:pPr>
        <w:pStyle w:val="Heading1"/>
        <w:spacing w:after="120" w:before="320"/>
      </w:pPr>
      <w:r>
        <w:rPr>
          <w:rFonts w:ascii="Arial" w:cs="Arial" w:eastAsia="Arial" w:hAnsi="Arial"/>
          <w:b/>
          <w:bCs/>
          <w:color w:val="1F3864"/>
          <w:sz w:val="32"/>
          <w:szCs w:val="32"/>
        </w:rPr>
        <w:t xml:space="preserve">Track B Honest Results</w:t>
      </w:r>
    </w:p>
    <w:p>
      <w:pPr>
        <w:pStyle w:val="Heading2"/>
        <w:spacing w:after="120" w:before="240"/>
      </w:pPr>
      <w:r>
        <w:rPr>
          <w:rFonts w:ascii="Arial" w:cs="Arial" w:eastAsia="Arial" w:hAnsi="Arial"/>
          <w:b/>
          <w:bCs/>
          <w:color w:val="1F3864"/>
          <w:sz w:val="28"/>
          <w:szCs w:val="28"/>
        </w:rPr>
        <w:t xml:space="preserve">Baseline</w:t>
      </w:r>
    </w:p>
    <w:p>
      <w:pPr>
        <w:spacing w:after="80" w:before="80"/>
        <w:jc w:val="left"/>
      </w:pPr>
      <w:r>
        <w:rPr>
          <w:rFonts w:ascii="Arial" w:cs="Arial" w:eastAsia="Arial" w:hAnsi="Arial"/>
          <w:b w:val="false"/>
          <w:bCs w:val="false"/>
          <w:i w:val="false"/>
          <w:iCs w:val="false"/>
          <w:color w:val="000000"/>
          <w:sz w:val="22"/>
          <w:szCs w:val="22"/>
        </w:rPr>
        <w:t xml:space="preserve">Honest v14-equivalent baseline (57 base features, no HINT) on val: C=0.3 optimal, val AUC 0.8626. Below the v14 honest bar of 0.8995 by 369 bp — consistent with the honest-shadow regression pattern observed in BIFROST v5.7/v5.8 and Gungnir v47.</w:t>
      </w:r>
    </w:p>
    <w:p>
      <w:pPr>
        <w:pStyle w:val="Heading2"/>
        <w:spacing w:after="120" w:before="240"/>
      </w:pPr>
      <w:r>
        <w:rPr>
          <w:rFonts w:ascii="Arial" w:cs="Arial" w:eastAsia="Arial" w:hAnsi="Arial"/>
          <w:b/>
          <w:bCs/>
          <w:color w:val="1F3864"/>
          <w:sz w:val="28"/>
          <w:szCs w:val="28"/>
        </w:rPr>
        <w:t xml:space="preserve">Forward Selection (val-gated, Δ ≥ +0.002)</w:t>
      </w:r>
    </w:p>
    <w:p>
      <w:pPr>
        <w:spacing w:after="80" w:before="80"/>
        <w:jc w:val="left"/>
      </w:pPr>
      <w:r>
        <w:rPr>
          <w:rFonts w:ascii="Arial" w:cs="Arial" w:eastAsia="Arial" w:hAnsi="Arial"/>
          <w:b w:val="false"/>
          <w:bCs w:val="false"/>
          <w:i w:val="false"/>
          <w:iCs w:val="false"/>
          <w:color w:val="000000"/>
          <w:sz w:val="22"/>
          <w:szCs w:val="22"/>
        </w:rPr>
        <w:t xml:space="preserve">Only ONE HINT feature survived: hint_phase1_prob, Δ+30.2 bp val AUC (0.8626 → 0.8656). No second feature cleared the gate; the next best candidate (hint_x_sponsor_win_rate, Δ+5.2 bp) was well below threshold and would have been noise-fit.</w:t>
      </w:r>
    </w:p>
    <w:p>
      <w:pPr>
        <w:pStyle w:val="Heading2"/>
        <w:spacing w:after="120" w:before="240"/>
      </w:pPr>
      <w:r>
        <w:rPr>
          <w:rFonts w:ascii="Arial" w:cs="Arial" w:eastAsia="Arial" w:hAnsi="Arial"/>
          <w:b/>
          <w:bCs/>
          <w:color w:val="1F3864"/>
          <w:sz w:val="28"/>
          <w:szCs w:val="28"/>
        </w:rPr>
        <w:t xml:space="preserve">Test Evaluation (touched once)</w:t>
      </w:r>
    </w:p>
    <w:p>
      <w:pPr>
        <w:spacing w:after="80" w:before="80"/>
        <w:jc w:val="left"/>
      </w:pPr>
      <w:r>
        <w:rPr>
          <w:rFonts w:ascii="Arial" w:cs="Arial" w:eastAsia="Arial" w:hAnsi="Arial"/>
          <w:b w:val="false"/>
          <w:bCs w:val="false"/>
          <w:i w:val="false"/>
          <w:iCs w:val="false"/>
          <w:color w:val="000000"/>
          <w:sz w:val="22"/>
          <w:szCs w:val="22"/>
        </w:rPr>
        <w:t xml:space="preserve">Final model: 59 features (58 base + hint_phase1_prob), C=0.3. Test AUC 0.8694, Test Brier 0.1287, 95% CI [0.8250, 0.9100]. The CI upper bound (0.9100) spans the v14 honest bar (0.8995) — so the regression is NOT statistically decisive, but the point estimate is 301 bp below. We do not promote on a CI-spanning result.</w:t>
      </w:r>
    </w:p>
    <w:p>
      <w:pPr>
        <w:pStyle w:val="Heading1"/>
        <w:spacing w:after="120" w:before="320"/>
      </w:pPr>
      <w:r>
        <w:rPr>
          <w:rFonts w:ascii="Arial" w:cs="Arial" w:eastAsia="Arial" w:hAnsi="Arial"/>
          <w:b/>
          <w:bCs/>
          <w:color w:val="1F3864"/>
          <w:sz w:val="32"/>
          <w:szCs w:val="32"/>
        </w:rPr>
        <w:t xml:space="preserve">Track A Deployed-Style Results</w:t>
      </w:r>
    </w:p>
    <w:p>
      <w:pPr>
        <w:pStyle w:val="Heading2"/>
        <w:spacing w:after="120" w:before="240"/>
      </w:pPr>
      <w:r>
        <w:rPr>
          <w:rFonts w:ascii="Arial" w:cs="Arial" w:eastAsia="Arial" w:hAnsi="Arial"/>
          <w:b/>
          <w:bCs/>
          <w:color w:val="1F3864"/>
          <w:sz w:val="28"/>
          <w:szCs w:val="28"/>
        </w:rPr>
        <w:t xml:space="preserve">Baseline + Forward Selection</w:t>
      </w:r>
    </w:p>
    <w:p>
      <w:pPr>
        <w:spacing w:after="80" w:before="80"/>
        <w:jc w:val="left"/>
      </w:pPr>
      <w:r>
        <w:rPr>
          <w:rFonts w:ascii="Arial" w:cs="Arial" w:eastAsia="Arial" w:hAnsi="Arial"/>
          <w:b w:val="false"/>
          <w:bCs w:val="false"/>
          <w:i w:val="false"/>
          <w:iCs w:val="false"/>
          <w:color w:val="000000"/>
          <w:sz w:val="22"/>
          <w:szCs w:val="22"/>
        </w:rPr>
        <w:t xml:space="preserve">v14-equivalent HO-touched baseline: C=0.05, HO AUC 0.8952. Forward selection accepted two HINT features: hint_phase1_prob (Δ+46.9 bp HO, 0.8952 → 0.8998) and hint_x_ppm_flag_bin (Δ+13.1 bp HO, → 0.9012). Next candidate (hint_p3_cube) failed gate.</w:t>
      </w:r>
    </w:p>
    <w:p>
      <w:pPr>
        <w:pStyle w:val="Heading2"/>
        <w:spacing w:after="120" w:before="240"/>
      </w:pPr>
      <w:r>
        <w:rPr>
          <w:rFonts w:ascii="Arial" w:cs="Arial" w:eastAsia="Arial" w:hAnsi="Arial"/>
          <w:b/>
          <w:bCs/>
          <w:color w:val="1F3864"/>
          <w:sz w:val="28"/>
          <w:szCs w:val="28"/>
        </w:rPr>
        <w:t xml:space="preserve">vs Deployed v14 Bar (0.9363)</w:t>
      </w:r>
    </w:p>
    <w:p>
      <w:pPr>
        <w:spacing w:after="80" w:before="80"/>
        <w:jc w:val="left"/>
      </w:pPr>
      <w:r>
        <w:rPr>
          <w:rFonts w:ascii="Arial" w:cs="Arial" w:eastAsia="Arial" w:hAnsi="Arial"/>
          <w:b w:val="false"/>
          <w:bCs w:val="false"/>
          <w:i w:val="false"/>
          <w:iCs w:val="false"/>
          <w:color w:val="000000"/>
          <w:sz w:val="22"/>
          <w:szCs w:val="22"/>
        </w:rPr>
        <w:t xml:space="preserve">v17 Track A HO AUC 0.9012 vs v14 deployed HO AUC 0.9363 = −351 bp regression. HO Brier 0.1107 vs 0.0895 = +212 bp worse calibration. Both metrics worse. HOLD v14.</w:t>
      </w:r>
    </w:p>
    <w:p>
      <w:pPr>
        <w:spacing w:after="80" w:before="80"/>
        <w:jc w:val="left"/>
      </w:pPr>
      <w:r>
        <w:rPr>
          <w:rFonts w:ascii="Arial" w:cs="Arial" w:eastAsia="Arial" w:hAnsi="Arial"/>
          <w:b w:val="false"/>
          <w:bCs w:val="false"/>
          <w:i/>
          <w:iCs/>
          <w:color w:val="000000"/>
          <w:sz w:val="22"/>
          <w:szCs w:val="22"/>
        </w:rPr>
        <w:t xml:space="preserve">The v14-equivalent baseline at 0.8952 (vs v14's 0.9363) implies a 411 bp deployment pipeline drift that this Kaizen does NOT fully close. v17 improves +60 bp on the baseline but is still well short of the deployed number. The deployed v14 bar is held up by a combination of its frozen feature-engineering lineage and Red Team-documented C-selection leakage — neither of which v17 inherits.</w:t>
      </w:r>
    </w:p>
    <w:p>
      <w:pPr>
        <w:pStyle w:val="Heading2"/>
        <w:spacing w:after="120" w:before="240"/>
      </w:pPr>
      <w:r>
        <w:rPr>
          <w:rFonts w:ascii="Arial" w:cs="Arial" w:eastAsia="Arial" w:hAnsi="Arial"/>
          <w:b/>
          <w:bCs/>
          <w:color w:val="1F3864"/>
          <w:sz w:val="28"/>
          <w:szCs w:val="28"/>
        </w:rPr>
        <w:t xml:space="preserve">20-Seed Stability</w:t>
      </w:r>
    </w:p>
    <w:p>
      <w:pPr>
        <w:spacing w:after="80" w:before="80"/>
        <w:jc w:val="left"/>
      </w:pPr>
      <w:r>
        <w:rPr>
          <w:rFonts w:ascii="Arial" w:cs="Arial" w:eastAsia="Arial" w:hAnsi="Arial"/>
          <w:b w:val="false"/>
          <w:bCs w:val="false"/>
          <w:i w:val="false"/>
          <w:iCs w:val="false"/>
          <w:color w:val="000000"/>
          <w:sz w:val="22"/>
          <w:szCs w:val="22"/>
        </w:rPr>
        <w:t xml:space="preserve">v17 HO AUC mean 0.9012 ± 0.0004 vs v14-equivalent baseline mean 0.8952 ± 0.0005. Wins: 20/20 on AUC (paired t p=1.8e-19), 20/20 on Brier (paired t p=1.6e-23). The HINT lift over the equivalent baseline is real and highly stable. It just isn't enough to clear the deployed bar.</w:t>
      </w:r>
    </w:p>
    <w:p>
      <w:r>
        <w:br w:type="page"/>
      </w:r>
    </w:p>
    <w:p>
      <w:pPr>
        <w:pStyle w:val="Heading1"/>
        <w:spacing w:after="120" w:before="320"/>
      </w:pPr>
      <w:r>
        <w:rPr>
          <w:rFonts w:ascii="Arial" w:cs="Arial" w:eastAsia="Arial" w:hAnsi="Arial"/>
          <w:b/>
          <w:bCs/>
          <w:color w:val="1F3864"/>
          <w:sz w:val="32"/>
          <w:szCs w:val="32"/>
        </w:rPr>
        <w:t xml:space="preserve">Why HINT Didn't Lift Enough</w:t>
      </w:r>
    </w:p>
    <w:p>
      <w:pPr>
        <w:pStyle w:val="Heading2"/>
        <w:spacing w:after="120" w:before="240"/>
      </w:pPr>
      <w:r>
        <w:rPr>
          <w:rFonts w:ascii="Arial" w:cs="Arial" w:eastAsia="Arial" w:hAnsi="Arial"/>
          <w:b/>
          <w:bCs/>
          <w:color w:val="1F3864"/>
          <w:sz w:val="28"/>
          <w:szCs w:val="28"/>
        </w:rPr>
        <w:t xml:space="preserve">1. HINT only scores 11.4% of events</w:t>
      </w:r>
    </w:p>
    <w:p>
      <w:pPr>
        <w:spacing w:after="80" w:before="80"/>
        <w:jc w:val="left"/>
      </w:pPr>
      <w:r>
        <w:rPr>
          <w:rFonts w:ascii="Arial" w:cs="Arial" w:eastAsia="Arial" w:hAnsi="Arial"/>
          <w:b w:val="false"/>
          <w:bCs w:val="false"/>
          <w:i w:val="false"/>
          <w:iCs w:val="false"/>
          <w:color w:val="000000"/>
          <w:sz w:val="22"/>
          <w:szCs w:val="22"/>
        </w:rPr>
        <w:t xml:space="preserve">Only 254 of 2,230 ODIN events had a scorable HINT probability. The other 88.6% are OOD for HINT's MPNN drug encoder: biologics (mAbs, ADCs, fusion proteins), cell/gene therapies (CAR-T), oligonucleotides without SMILES resolution, 505(b)(2) reformulations, and preclinical events. For those, HINT returns zero + scorable-indicator, which is basically a sparse feature that adds minimal signal.</w:t>
      </w:r>
    </w:p>
    <w:p>
      <w:pPr>
        <w:pStyle w:val="Heading2"/>
        <w:spacing w:after="120" w:before="240"/>
      </w:pPr>
      <w:r>
        <w:rPr>
          <w:rFonts w:ascii="Arial" w:cs="Arial" w:eastAsia="Arial" w:hAnsi="Arial"/>
          <w:b/>
          <w:bCs/>
          <w:color w:val="1F3864"/>
          <w:sz w:val="28"/>
          <w:szCs w:val="28"/>
        </w:rPr>
        <w:t xml:space="preserve">2. HINT P3 barely separates approvals from CRLs at population level</w:t>
      </w:r>
    </w:p>
    <w:p>
      <w:pPr>
        <w:spacing w:after="80" w:before="80"/>
        <w:jc w:val="left"/>
      </w:pPr>
      <w:r>
        <w:rPr>
          <w:rFonts w:ascii="Arial" w:cs="Arial" w:eastAsia="Arial" w:hAnsi="Arial"/>
          <w:b w:val="false"/>
          <w:bCs w:val="false"/>
          <w:i w:val="false"/>
          <w:iCs w:val="false"/>
          <w:color w:val="000000"/>
          <w:sz w:val="22"/>
          <w:szCs w:val="22"/>
        </w:rPr>
        <w:t xml:space="preserve">P3 approval mean = 0.7305, P3 CRL mean = 0.7261. Δ = 0.004 (4 bp!) at population level on the 254 scorable events. HINT is a trial-protocol-success predictor, not a regulatory-outcome predictor. The separation at event level is in the tails, not the means — meaning only a fraction of events benefit from the signal.</w:t>
      </w:r>
    </w:p>
    <w:p>
      <w:pPr>
        <w:pStyle w:val="Heading2"/>
        <w:spacing w:after="120" w:before="240"/>
      </w:pPr>
      <w:r>
        <w:rPr>
          <w:rFonts w:ascii="Arial" w:cs="Arial" w:eastAsia="Arial" w:hAnsi="Arial"/>
          <w:b/>
          <w:bCs/>
          <w:color w:val="1F3864"/>
          <w:sz w:val="28"/>
          <w:szCs w:val="28"/>
        </w:rPr>
        <w:t xml:space="preserve">3. ODIN's 51-feature set already absorbs the regulatory-protocol signal</w:t>
      </w:r>
    </w:p>
    <w:p>
      <w:pPr>
        <w:spacing w:after="80" w:before="80"/>
        <w:jc w:val="left"/>
      </w:pPr>
      <w:r>
        <w:rPr>
          <w:rFonts w:ascii="Arial" w:cs="Arial" w:eastAsia="Arial" w:hAnsi="Arial"/>
          <w:b w:val="false"/>
          <w:bCs w:val="false"/>
          <w:i w:val="false"/>
          <w:iCs w:val="false"/>
          <w:color w:val="000000"/>
          <w:sz w:val="22"/>
          <w:szCs w:val="22"/>
        </w:rPr>
        <w:t xml:space="preserve">ODIN v14 has CRL rate × SWR (+0.477), resub × sponsor experience interactions, designation stacking, sponsor win rate, TA base rate, and CT.gov trial-design features. These already capture the 'trial quality + regulatory context' signal that HINT models end-to-end via MPNN+GRAM+BioBERT. The overlap is high.</w:t>
      </w:r>
    </w:p>
    <w:p>
      <w:pPr>
        <w:pStyle w:val="Heading2"/>
        <w:spacing w:after="120" w:before="240"/>
      </w:pPr>
      <w:r>
        <w:rPr>
          <w:rFonts w:ascii="Arial" w:cs="Arial" w:eastAsia="Arial" w:hAnsi="Arial"/>
          <w:b/>
          <w:bCs/>
          <w:color w:val="1F3864"/>
          <w:sz w:val="28"/>
          <w:szCs w:val="28"/>
        </w:rPr>
        <w:t xml:space="preserve">4. hint_phase1_prob surviving (not phase3) is diagnostic</w:t>
      </w:r>
    </w:p>
    <w:p>
      <w:pPr>
        <w:spacing w:after="80" w:before="80"/>
        <w:jc w:val="left"/>
      </w:pPr>
      <w:r>
        <w:rPr>
          <w:rFonts w:ascii="Arial" w:cs="Arial" w:eastAsia="Arial" w:hAnsi="Arial"/>
          <w:b w:val="false"/>
          <w:bCs w:val="false"/>
          <w:i w:val="false"/>
          <w:iCs w:val="false"/>
          <w:color w:val="000000"/>
          <w:sz w:val="22"/>
          <w:szCs w:val="22"/>
        </w:rPr>
        <w:t xml:space="preserve">Most ODIN events are Phase III PDUFA submissions, but the HINT feature that survived honest selection is hint_phase1_prob — not phase3. This suggests HINT's value is as a weak molecular-quality prior that complements ODIN's regulatory signal for a minority of events, NOT as a trial-success headline score. The phase 1 signal is orthogonal to what ODIN already captures.</w:t>
      </w:r>
    </w:p>
    <w:p>
      <w:pPr>
        <w:pStyle w:val="Heading1"/>
        <w:spacing w:after="120" w:before="320"/>
      </w:pPr>
      <w:r>
        <w:rPr>
          <w:rFonts w:ascii="Arial" w:cs="Arial" w:eastAsia="Arial" w:hAnsi="Arial"/>
          <w:b/>
          <w:bCs/>
          <w:color w:val="1F3864"/>
          <w:sz w:val="32"/>
          <w:szCs w:val="32"/>
        </w:rPr>
        <w:t xml:space="preserve">HINT Integration Roadmap</w:t>
      </w:r>
    </w:p>
    <w:p>
      <w:pPr>
        <w:pStyle w:val="Heading2"/>
        <w:spacing w:after="120" w:before="240"/>
      </w:pPr>
      <w:r>
        <w:rPr>
          <w:rFonts w:ascii="Arial" w:cs="Arial" w:eastAsia="Arial" w:hAnsi="Arial"/>
          <w:b/>
          <w:bCs/>
          <w:color w:val="1F3864"/>
          <w:sz w:val="28"/>
          <w:szCs w:val="28"/>
        </w:rPr>
        <w:t xml:space="preserve">Q2 2026 Portfolio — HINT stays ADVISORY</w:t>
      </w:r>
    </w:p>
    <w:p>
      <w:pPr>
        <w:spacing w:after="80" w:before="80"/>
        <w:jc w:val="left"/>
      </w:pPr>
      <w:r>
        <w:rPr>
          <w:rFonts w:ascii="Arial" w:cs="Arial" w:eastAsia="Arial" w:hAnsi="Arial"/>
          <w:b w:val="false"/>
          <w:bCs w:val="false"/>
          <w:i w:val="false"/>
          <w:iCs w:val="false"/>
          <w:color w:val="000000"/>
          <w:sz w:val="22"/>
          <w:szCs w:val="22"/>
        </w:rPr>
        <w:t xml:space="preserve">HINT does not override ODIN v14. For the active Q2 2026 positions (GRCE, WHWK, CRDF, CABA, ALXO), HINT is reserved for: (1) corroborative signal when HINT agrees with ODIN/Gungnir direction, (2) derated weight for 505(b)(2) reformulations (GRCE's 0.3918 NEUT− is underrepresented in HINT's training distribution), (3) no signal for OOD modalities (WHWK preclinical, CABA CAR-T, ALXO biologic).</w:t>
      </w:r>
    </w:p>
    <w:p>
      <w:pPr>
        <w:pStyle w:val="Heading2"/>
        <w:spacing w:after="120" w:before="240"/>
      </w:pPr>
      <w:r>
        <w:rPr>
          <w:rFonts w:ascii="Arial" w:cs="Arial" w:eastAsia="Arial" w:hAnsi="Arial"/>
          <w:b/>
          <w:bCs/>
          <w:color w:val="1F3864"/>
          <w:sz w:val="28"/>
          <w:szCs w:val="28"/>
        </w:rPr>
        <w:t xml:space="preserve">ODIN v18 — expand HINT coverage before retry</w:t>
      </w:r>
    </w:p>
    <w:p>
      <w:pPr>
        <w:pStyle w:val="ListParagraph"/>
        <w:numPr>
          <w:ilvl w:val="0"/>
          <w:numId w:val="2"/>
        </w:numPr>
        <w:spacing w:after="40" w:before="40"/>
      </w:pPr>
      <w:r>
        <w:rPr>
          <w:rFonts w:ascii="Arial" w:cs="Arial" w:eastAsia="Arial" w:hAnsi="Arial"/>
          <w:color w:val="000000"/>
          <w:sz w:val="22"/>
          <w:szCs w:val="22"/>
        </w:rPr>
        <w:t xml:space="preserve">(a) Pull HINT Phase I/II probabilities into ODIN training data, not just Phase III.</w:t>
      </w:r>
    </w:p>
    <w:p>
      <w:pPr>
        <w:pStyle w:val="ListParagraph"/>
        <w:numPr>
          <w:ilvl w:val="0"/>
          <w:numId w:val="2"/>
        </w:numPr>
        <w:spacing w:after="40" w:before="40"/>
      </w:pPr>
      <w:r>
        <w:rPr>
          <w:rFonts w:ascii="Arial" w:cs="Arial" w:eastAsia="Arial" w:hAnsi="Arial"/>
          <w:color w:val="000000"/>
          <w:sz w:val="22"/>
          <w:szCs w:val="22"/>
        </w:rPr>
        <w:t xml:space="preserve">(b) Resolve SMILES for 505(b)(2) reformulations by inheriting parent-drug SMILES (GTX-104 → nimodipine).</w:t>
      </w:r>
    </w:p>
    <w:p>
      <w:pPr>
        <w:pStyle w:val="ListParagraph"/>
        <w:numPr>
          <w:ilvl w:val="0"/>
          <w:numId w:val="2"/>
        </w:numPr>
        <w:spacing w:after="40" w:before="40"/>
      </w:pPr>
      <w:r>
        <w:rPr>
          <w:rFonts w:ascii="Arial" w:cs="Arial" w:eastAsia="Arial" w:hAnsi="Arial"/>
          <w:color w:val="000000"/>
          <w:sz w:val="22"/>
          <w:szCs w:val="22"/>
        </w:rPr>
        <w:t xml:space="preserve">(c) For OOD modalities, train a separate 'biologic HINT' variant on biologic-only trials OR use antibody/cell-therapy-specific trial-success predictors (e.g., modality-conditioned base rates).</w:t>
      </w:r>
    </w:p>
    <w:p>
      <w:pPr>
        <w:pStyle w:val="ListParagraph"/>
        <w:numPr>
          <w:ilvl w:val="0"/>
          <w:numId w:val="2"/>
        </w:numPr>
        <w:spacing w:after="40" w:before="40"/>
      </w:pPr>
      <w:r>
        <w:rPr>
          <w:rFonts w:ascii="Arial" w:cs="Arial" w:eastAsia="Arial" w:hAnsi="Arial"/>
          <w:color w:val="000000"/>
          <w:sz w:val="22"/>
          <w:szCs w:val="22"/>
        </w:rPr>
        <w:t xml:space="preserve">(d) Retry v18 only if coverage can get above 40-50%. Below that, the sparse-feature problem dominates any lift.</w:t>
      </w:r>
    </w:p>
    <w:p>
      <w:pPr>
        <w:pStyle w:val="Heading2"/>
        <w:spacing w:after="120" w:before="240"/>
      </w:pPr>
      <w:r>
        <w:rPr>
          <w:rFonts w:ascii="Arial" w:cs="Arial" w:eastAsia="Arial" w:hAnsi="Arial"/>
          <w:b/>
          <w:bCs/>
          <w:color w:val="1F3864"/>
          <w:sz w:val="28"/>
          <w:szCs w:val="28"/>
        </w:rPr>
        <w:t xml:space="preserve">Gungnir v48 — HINT as readout prior</w:t>
      </w:r>
    </w:p>
    <w:p>
      <w:pPr>
        <w:spacing w:after="80" w:before="80"/>
        <w:jc w:val="left"/>
      </w:pPr>
      <w:r>
        <w:rPr>
          <w:rFonts w:ascii="Arial" w:cs="Arial" w:eastAsia="Arial" w:hAnsi="Arial"/>
          <w:b w:val="false"/>
          <w:bCs w:val="false"/>
          <w:i w:val="false"/>
          <w:iCs w:val="false"/>
          <w:color w:val="000000"/>
          <w:sz w:val="22"/>
          <w:szCs w:val="22"/>
        </w:rPr>
        <w:t xml:space="preserve">HINT is better suited to Gungnir than ODIN. Readout events are more drug-biology-driven than regulatory-pathway-driven. Candidates for a future Gungnir Kaizen: hint_phase2_prob (direct), hint_prob × journey_last_positive, hint_prob × ch2_moa_agonist, hint_prob × is_phase2b. The existing honest Gungnir bar is lower (v47 honest final 0.7521), so HINT has more headroom to clear.</w:t>
      </w:r>
    </w:p>
    <w:p>
      <w:pPr>
        <w:pStyle w:val="Heading1"/>
        <w:spacing w:after="120" w:before="320"/>
      </w:pPr>
      <w:r>
        <w:rPr>
          <w:rFonts w:ascii="Arial" w:cs="Arial" w:eastAsia="Arial" w:hAnsi="Arial"/>
          <w:b/>
          <w:bCs/>
          <w:color w:val="1F3864"/>
          <w:sz w:val="32"/>
          <w:szCs w:val="32"/>
        </w:rPr>
        <w:t xml:space="preserve">Ship Decision</w:t>
      </w:r>
    </w:p>
    <w:p>
      <w:pPr>
        <w:spacing w:after="80" w:before="80"/>
        <w:jc w:val="left"/>
      </w:pPr>
      <w:r>
        <w:rPr>
          <w:rFonts w:ascii="Arial" w:cs="Arial" w:eastAsia="Arial" w:hAnsi="Arial"/>
          <w:b/>
          <w:bCs/>
          <w:i w:val="false"/>
          <w:iCs w:val="false"/>
          <w:color w:val="B22222"/>
          <w:sz w:val="24"/>
          <w:szCs w:val="24"/>
        </w:rPr>
        <w:t xml:space="preserve">HOLD v14 as ODIN champion. v17 does not deploy.</w:t>
      </w:r>
    </w:p>
    <w:p>
      <w:pPr>
        <w:spacing w:after="80" w:before="80"/>
        <w:jc w:val="left"/>
      </w:pPr>
      <w:r>
        <w:rPr>
          <w:rFonts w:ascii="Arial" w:cs="Arial" w:eastAsia="Arial" w:hAnsi="Arial"/>
          <w:b w:val="false"/>
          <w:bCs w:val="false"/>
          <w:i w:val="false"/>
          <w:iCs w:val="false"/>
          <w:color w:val="000000"/>
          <w:sz w:val="22"/>
          <w:szCs w:val="22"/>
        </w:rPr>
        <w:t xml:space="preserve">v17 deliverables retained for audit: deploy JSON with both tracks' coefficients, test-set predictions CSV, this memo.</w:t>
      </w:r>
    </w:p>
    <w:p>
      <w:pPr>
        <w:spacing w:after="80" w:before="80"/>
        <w:jc w:val="left"/>
      </w:pPr>
      <w:r>
        <w:rPr>
          <w:rFonts w:ascii="Arial" w:cs="Arial" w:eastAsia="Arial" w:hAnsi="Arial"/>
          <w:b w:val="false"/>
          <w:bCs w:val="false"/>
          <w:i w:val="false"/>
          <w:iCs w:val="false"/>
          <w:color w:val="000000"/>
          <w:sz w:val="22"/>
          <w:szCs w:val="22"/>
        </w:rPr>
        <w:t xml:space="preserve">Files:</w:t>
      </w:r>
    </w:p>
    <w:p>
      <w:pPr>
        <w:pStyle w:val="ListParagraph"/>
        <w:numPr>
          <w:ilvl w:val="0"/>
          <w:numId w:val="2"/>
        </w:numPr>
        <w:spacing w:after="40" w:before="40"/>
      </w:pPr>
      <w:r>
        <w:rPr>
          <w:rFonts w:ascii="Arial" w:cs="Arial" w:eastAsia="Arial" w:hAnsi="Arial"/>
          <w:color w:val="000000"/>
          <w:sz w:val="22"/>
          <w:szCs w:val="22"/>
        </w:rPr>
        <w:t xml:space="preserve">odin_v17_deploy.json — Track A + Track B coefficients, scalers, selected features, full metrics</w:t>
      </w:r>
    </w:p>
    <w:p>
      <w:pPr>
        <w:pStyle w:val="ListParagraph"/>
        <w:numPr>
          <w:ilvl w:val="0"/>
          <w:numId w:val="2"/>
        </w:numPr>
        <w:spacing w:after="40" w:before="40"/>
      </w:pPr>
      <w:r>
        <w:rPr>
          <w:rFonts w:ascii="Arial" w:cs="Arial" w:eastAsia="Arial" w:hAnsi="Arial"/>
          <w:color w:val="000000"/>
          <w:sz w:val="22"/>
          <w:szCs w:val="22"/>
        </w:rPr>
        <w:t xml:space="preserve">odin_v17_test_predictions.csv — Track B honest test-set predictions (n=365)</w:t>
      </w:r>
    </w:p>
    <w:p>
      <w:pPr>
        <w:pStyle w:val="ListParagraph"/>
        <w:numPr>
          <w:ilvl w:val="0"/>
          <w:numId w:val="2"/>
        </w:numPr>
        <w:spacing w:after="40" w:before="40"/>
      </w:pPr>
      <w:r>
        <w:rPr>
          <w:rFonts w:ascii="Arial" w:cs="Arial" w:eastAsia="Arial" w:hAnsi="Arial"/>
          <w:color w:val="000000"/>
          <w:sz w:val="22"/>
          <w:szCs w:val="22"/>
        </w:rPr>
        <w:t xml:space="preserve">odin_v17_ho_predictions.csv — Track A deployed-style HO predictions (n=365)</w:t>
      </w:r>
    </w:p>
    <w:p>
      <w:pPr>
        <w:pStyle w:val="ListParagraph"/>
        <w:numPr>
          <w:ilvl w:val="0"/>
          <w:numId w:val="2"/>
        </w:numPr>
        <w:spacing w:after="40" w:before="40"/>
      </w:pPr>
      <w:r>
        <w:rPr>
          <w:rFonts w:ascii="Arial" w:cs="Arial" w:eastAsia="Arial" w:hAnsi="Arial"/>
          <w:color w:val="000000"/>
          <w:sz w:val="22"/>
          <w:szCs w:val="22"/>
        </w:rPr>
        <w:t xml:space="preserve">odin_v17_kaizen.py — full 8-step two-track pipeline (reproducible)</w:t>
      </w:r>
    </w:p>
    <w:p>
      <w:pPr>
        <w:pStyle w:val="ListParagraph"/>
        <w:numPr>
          <w:ilvl w:val="0"/>
          <w:numId w:val="2"/>
        </w:numPr>
        <w:spacing w:after="40" w:before="40"/>
      </w:pPr>
      <w:r>
        <w:rPr>
          <w:rFonts w:ascii="Arial" w:cs="Arial" w:eastAsia="Arial" w:hAnsi="Arial"/>
          <w:color w:val="000000"/>
          <w:sz w:val="22"/>
          <w:szCs w:val="22"/>
        </w:rPr>
        <w:t xml:space="preserve">odin_v17_kaizen.log — execution log with all metrics and verdicts</w:t>
      </w:r>
    </w:p>
    <w:p>
      <w:pPr>
        <w:pStyle w:val="Heading2"/>
        <w:spacing w:after="120" w:before="240"/>
      </w:pPr>
      <w:r>
        <w:rPr>
          <w:rFonts w:ascii="Arial" w:cs="Arial" w:eastAsia="Arial" w:hAnsi="Arial"/>
          <w:b/>
          <w:bCs/>
          <w:color w:val="1F3864"/>
          <w:sz w:val="28"/>
          <w:szCs w:val="28"/>
        </w:rPr>
        <w:t xml:space="preserve">Implications for the Kaizen ledger</w:t>
      </w:r>
    </w:p>
    <w:p>
      <w:pPr>
        <w:spacing w:after="80" w:before="80"/>
        <w:jc w:val="left"/>
      </w:pPr>
      <w:r>
        <w:rPr>
          <w:rFonts w:ascii="Arial" w:cs="Arial" w:eastAsia="Arial" w:hAnsi="Arial"/>
          <w:b w:val="false"/>
          <w:bCs w:val="false"/>
          <w:i w:val="false"/>
          <w:iCs w:val="false"/>
          <w:color w:val="000000"/>
          <w:sz w:val="22"/>
          <w:szCs w:val="22"/>
        </w:rPr>
        <w:t xml:space="preserve">v17 is the fourth consecutive honest Kaizen to produce a null result against its deployed predecessor (BIFROST v5.7 non-linear, BIFROST v5.8 architecture + 37 new features, Gungnir v47 backward elimination, ODIN v17 HINT). The pattern strongly indicates that single-signal-family mining on locally-computable features is saturated across all three engines. The next true step-up in honest AUC will require new data sources: historical short-interest time series, ORATS historical options panel at T-14, 13F quarter-boundary concentration jumps, pre-catalyst social volume, and submission/ADCOM metadata streams.</w:t>
      </w:r>
    </w:p>
    <w:p>
      <w:pPr>
        <w:pStyle w:val="Heading2"/>
        <w:spacing w:after="120" w:before="240"/>
      </w:pPr>
      <w:r>
        <w:rPr>
          <w:rFonts w:ascii="Arial" w:cs="Arial" w:eastAsia="Arial" w:hAnsi="Arial"/>
          <w:b/>
          <w:bCs/>
          <w:color w:val="1F3864"/>
          <w:sz w:val="28"/>
          <w:szCs w:val="28"/>
        </w:rPr>
        <w:t xml:space="preserve">Honest-Kaizen precedent</w:t>
      </w:r>
    </w:p>
    <w:p>
      <w:pPr>
        <w:spacing w:after="80" w:before="80"/>
        <w:jc w:val="left"/>
      </w:pPr>
      <w:r>
        <w:rPr>
          <w:rFonts w:ascii="Arial" w:cs="Arial" w:eastAsia="Arial" w:hAnsi="Arial"/>
          <w:b w:val="false"/>
          <w:bCs w:val="false"/>
          <w:i w:val="false"/>
          <w:iCs w:val="false"/>
          <w:color w:val="000000"/>
          <w:sz w:val="22"/>
          <w:szCs w:val="22"/>
        </w:rPr>
        <w:t xml:space="preserve">Logging this as a clean null result is itself the deliverable. v14 is locked as ODIN champion. HINT's production value will be realized as a proper feature once coverage is expanded and/or Gungnir v48 integrates it on the readout side.</w:t>
      </w:r>
    </w:p>
    <w:p>
      <w:pPr>
        <w:spacing w:before="480"/>
        <w:jc w:val="center"/>
      </w:pPr>
      <w:r>
        <w:rPr>
          <w:rFonts w:ascii="Arial" w:cs="Arial" w:eastAsia="Arial" w:hAnsi="Arial"/>
          <w:i/>
          <w:iCs/>
          <w:color w:val="595959"/>
          <w:sz w:val="20"/>
          <w:szCs w:val="20"/>
        </w:rPr>
        <w:t xml:space="preserve">— end of memo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2026-04-20T07:37:51.151Z</dcterms:created>
  <dcterms:modified xsi:type="dcterms:W3CDTF">2026-04-20T07:37:51.157Z</dcterms:modified>
</cp:coreProperties>
</file>

<file path=docProps/custom.xml><?xml version="1.0" encoding="utf-8"?>
<Properties xmlns="http://schemas.openxmlformats.org/officeDocument/2006/custom-properties" xmlns:vt="http://schemas.openxmlformats.org/officeDocument/2006/docPropsVTypes"/>
</file>