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Calibri" w:cs="Calibri" w:eastAsia="Calibri" w:hAnsi="Calibri"/>
          <w:b/>
          <w:bCs/>
          <w:color w:val="0A1628"/>
          <w:sz w:val="60"/>
          <w:szCs w:val="60"/>
        </w:rPr>
        <w:t xml:space="preserve">ODIN CAPITAL</w:t>
      </w:r>
    </w:p>
    <w:p>
      <w:pPr>
        <w:spacing w:before="200"/>
        <w:jc w:val="center"/>
      </w:pPr>
      <w:r>
        <w:rPr>
          <w:rFonts w:ascii="Calibri" w:cs="Calibri" w:eastAsia="Calibri" w:hAnsi="Calibri"/>
          <w:color w:val="1E3A5F"/>
          <w:sz w:val="36"/>
          <w:szCs w:val="36"/>
        </w:rPr>
        <w:t xml:space="preserve">2026 PDUFA Investment Strategy</w:t>
      </w:r>
    </w:p>
    <w:p>
      <w:pPr>
        <w:spacing w:before="400"/>
        <w:jc w:val="center"/>
      </w:pPr>
      <w:r>
        <w:rPr>
          <w:rFonts w:ascii="Calibri" w:cs="Calibri" w:eastAsia="Calibri" w:hAnsi="Calibri"/>
          <w:b/>
          <w:bCs/>
          <w:color w:val="C9A84C"/>
          <w:sz w:val="24"/>
          <w:szCs w:val="24"/>
        </w:rPr>
        <w:t xml:space="preserve">Powered by ODIN vNEXT v5 Scoring Engine</w:t>
      </w:r>
    </w:p>
    <w:p>
      <w:pPr>
        <w:spacing w:before="100"/>
        <w:jc w:val="center"/>
      </w:pPr>
      <w:r>
        <w:rPr>
          <w:rFonts w:ascii="Calibri" w:cs="Calibri" w:eastAsia="Calibri" w:hAnsi="Calibri"/>
          <w:color w:val="1A1A1A"/>
          <w:sz w:val="22"/>
          <w:szCs w:val="22"/>
        </w:rPr>
        <w:t xml:space="preserve">Market Cap Segmented Runup Analysis | 1,705 Historical Events</w:t>
      </w:r>
    </w:p>
    <w:p>
      <w:pPr>
        <w:spacing w:before="600"/>
        <w:jc w:val="center"/>
      </w:pPr>
      <w:r>
        <w:rPr>
          <w:rFonts w:ascii="Calibri" w:cs="Calibri" w:eastAsia="Calibri" w:hAnsi="Calibri"/>
          <w:b/>
          <w:bCs/>
          <w:color w:val="CC0000"/>
          <w:sz w:val="22"/>
          <w:szCs w:val="22"/>
        </w:rPr>
        <w:t xml:space="preserve">CONFIDENTIAL | March 2026</w:t>
      </w:r>
    </w:p>
    <w:p>
      <w:pPr>
        <w:spacing w:before="200"/>
        <w:jc w:val="center"/>
      </w:pPr>
      <w:r>
        <w:rPr>
          <w:rFonts w:ascii="Calibri" w:cs="Calibri" w:eastAsia="Calibri" w:hAnsi="Calibri"/>
          <w:i/>
          <w:iCs/>
          <w:color w:val="1A1A1A"/>
          <w:sz w:val="18"/>
          <w:szCs w:val="18"/>
        </w:rPr>
        <w:t xml:space="preserve">For Educational &amp; Informational Purposes Only — Not Investment Advice</w:t>
      </w:r>
    </w:p>
    <w:p>
      <w:pPr>
        <w:sectPr>
          <w:pgSz w:w="12240" w:h="15840" w:orient="portrait"/>
          <w:pgMar w:top="1440" w:right="1440" w:bottom="1440" w:left="1440" w:header="708" w:footer="708" w:gutter="0"/>
          <w:pgNumType/>
          <w:docGrid w:linePitch="360"/>
        </w:sectPr>
      </w:pPr>
    </w:p>
    <w:p>
      <w:pPr>
        <w:pStyle w:val="Heading1"/>
        <w:spacing w:after="150" w:before="300"/>
      </w:pPr>
      <w:r>
        <w:rPr>
          <w:rFonts w:ascii="Calibri" w:cs="Calibri" w:eastAsia="Calibri" w:hAnsi="Calibri"/>
          <w:b/>
          <w:bCs/>
          <w:color w:val="0A1628"/>
          <w:sz w:val="32"/>
          <w:szCs w:val="32"/>
        </w:rPr>
        <w:t xml:space="preserve">1. Executive Summary</w:t>
      </w:r>
    </w:p>
    <w:p>
      <w:pPr>
        <w:spacing w:after="120"/>
      </w:pPr>
      <w:r>
        <w:rPr>
          <w:rFonts w:ascii="Calibri" w:cs="Calibri" w:eastAsia="Calibri" w:hAnsi="Calibri"/>
          <w:b w:val="false"/>
          <w:bCs w:val="false"/>
          <w:i w:val="false"/>
          <w:iCs w:val="false"/>
          <w:color w:val="1A1A1A"/>
          <w:sz w:val="22"/>
          <w:szCs w:val="22"/>
        </w:rPr>
        <w:t xml:space="preserve">This strategy document presents Odin Capital's data-driven approach to PDUFA catalyst trading for the remainder of 2026. Built on 1,705 historical PDUFA events (2020-2025) scored by ODIN vNEXT v5 (AUC 0.9007), the analysis segments pre-catalyst runup behavior by market capitalization tier and ODIN approval probability tier to identify the highest-edge trading opportunities.</w:t>
      </w:r>
    </w:p>
    <w:p>
      <w:pPr>
        <w:spacing w:after="120" w:before="0"/>
        <w:jc w:val="left"/>
      </w:pPr>
      <w:r>
        <w:rPr>
          <w:rFonts w:ascii="Calibri" w:cs="Calibri" w:eastAsia="Calibri" w:hAnsi="Calibri"/>
          <w:b/>
          <w:bCs/>
          <w:i w:val="false"/>
          <w:iCs w:val="false"/>
          <w:color w:val="0A1628"/>
          <w:sz w:val="22"/>
          <w:szCs w:val="22"/>
        </w:rPr>
        <w:t xml:space="preserve">Key Finding: </w:t>
      </w:r>
      <w:r>
        <w:rPr>
          <w:rFonts w:ascii="Calibri" w:cs="Calibri" w:eastAsia="Calibri" w:hAnsi="Calibri"/>
          <w:b w:val="false"/>
          <w:bCs w:val="false"/>
          <w:i w:val="false"/>
          <w:iCs w:val="false"/>
          <w:color w:val="1A1A1A"/>
          <w:sz w:val="22"/>
          <w:szCs w:val="22"/>
        </w:rPr>
        <w:t xml:space="preserve">Micro-cap stocks ($50M-$300M) produce the largest pre-PDUFA runups across every lookback window, averaging +5.25% over 30 days and +3.04% over 14 days. However, this comes with a critical caveat: micro-cap CRLs run up +6.0% in the 14 days before the event, then crash -6.25% on day one. The strategy exploits this asymmetry by pairing ODIN tier signals with market cap segmentation.</w:t>
      </w:r>
    </w:p>
    <w:p>
      <w:pPr>
        <w:pStyle w:val="Heading2"/>
        <w:spacing w:after="150" w:before="300"/>
      </w:pPr>
      <w:r>
        <w:rPr>
          <w:rFonts w:ascii="Calibri" w:cs="Calibri" w:eastAsia="Calibri" w:hAnsi="Calibri"/>
          <w:b/>
          <w:bCs/>
          <w:color w:val="1E3A5F"/>
          <w:sz w:val="26"/>
          <w:szCs w:val="26"/>
        </w:rPr>
        <w:t xml:space="preserve">Core Strategy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shd w:fill="0A1628" w:val="clear"/>
            <w:vAlign w:val="center"/>
          </w:tcPr>
          <w:p>
            <w:pPr>
              <w:spacing w:after="40" w:before="40"/>
              <w:jc w:val="center"/>
            </w:pPr>
            <w:r>
              <w:rPr>
                <w:rFonts w:ascii="Calibri" w:cs="Calibri" w:eastAsia="Calibri" w:hAnsi="Calibri"/>
                <w:b/>
                <w:bCs/>
                <w:color w:val="FFFFFF"/>
                <w:sz w:val="20"/>
                <w:szCs w:val="20"/>
              </w:rPr>
              <w:t xml:space="preserve">Metric</w:t>
            </w:r>
          </w:p>
        </w:tc>
        <w:tc>
          <w:tcPr>
            <w:tcW w:type="dxa" w:w="2500"/>
            <w:shd w:fill="0A1628" w:val="clear"/>
            <w:vAlign w:val="center"/>
          </w:tcPr>
          <w:p>
            <w:pPr>
              <w:spacing w:after="40" w:before="40"/>
              <w:jc w:val="center"/>
            </w:pPr>
            <w:r>
              <w:rPr>
                <w:rFonts w:ascii="Calibri" w:cs="Calibri" w:eastAsia="Calibri" w:hAnsi="Calibri"/>
                <w:b/>
                <w:bCs/>
                <w:color w:val="FFFFFF"/>
                <w:sz w:val="20"/>
                <w:szCs w:val="20"/>
              </w:rPr>
              <w:t xml:space="preserve">Value</w:t>
            </w:r>
          </w:p>
        </w:tc>
        <w:tc>
          <w:tcPr>
            <w:tcW w:type="dxa" w:w="4360"/>
            <w:shd w:fill="0A1628" w:val="clear"/>
            <w:vAlign w:val="center"/>
          </w:tcPr>
          <w:p>
            <w:pPr>
              <w:spacing w:after="40" w:before="40"/>
              <w:jc w:val="center"/>
            </w:pPr>
            <w:r>
              <w:rPr>
                <w:rFonts w:ascii="Calibri" w:cs="Calibri" w:eastAsia="Calibri" w:hAnsi="Calibri"/>
                <w:b/>
                <w:bCs/>
                <w:color w:val="FFFFFF"/>
                <w:sz w:val="20"/>
                <w:szCs w:val="20"/>
              </w:rPr>
              <w:t xml:space="preserve">Context</w:t>
            </w:r>
          </w:p>
        </w:tc>
      </w:tr>
      <w:tr>
        <w:tc>
          <w:tcPr>
            <w:tcW w:type="dxa" w:w="2500"/>
            <w:shd w:fill="F5F5F5" w:val="clear"/>
            <w:vAlign w:val="center"/>
          </w:tcPr>
          <w:p>
            <w:pPr>
              <w:spacing w:after="40" w:before="40"/>
              <w:jc w:val="center"/>
            </w:pPr>
            <w:r>
              <w:rPr>
                <w:rFonts w:ascii="Calibri" w:cs="Calibri" w:eastAsia="Calibri" w:hAnsi="Calibri"/>
                <w:b w:val="false"/>
                <w:bCs w:val="false"/>
                <w:color w:val="1A1A1A"/>
                <w:sz w:val="20"/>
                <w:szCs w:val="20"/>
              </w:rPr>
              <w:t xml:space="preserve">Dataset</w:t>
            </w:r>
          </w:p>
        </w:tc>
        <w:tc>
          <w:tcPr>
            <w:tcW w:type="dxa" w:w="2500"/>
            <w:shd w:fill="F5F5F5" w:val="clear"/>
            <w:vAlign w:val="center"/>
          </w:tcPr>
          <w:p>
            <w:pPr>
              <w:spacing w:after="40" w:before="40"/>
              <w:jc w:val="center"/>
            </w:pPr>
            <w:r>
              <w:rPr>
                <w:rFonts w:ascii="Calibri" w:cs="Calibri" w:eastAsia="Calibri" w:hAnsi="Calibri"/>
                <w:b w:val="false"/>
                <w:bCs w:val="false"/>
                <w:color w:val="1A1A1A"/>
                <w:sz w:val="20"/>
                <w:szCs w:val="20"/>
              </w:rPr>
              <w:t xml:space="preserve">1,705 Events</w:t>
            </w:r>
          </w:p>
        </w:tc>
        <w:tc>
          <w:tcPr>
            <w:tcW w:type="dxa" w:w="4360"/>
            <w:shd w:fill="F5F5F5" w:val="clear"/>
            <w:vAlign w:val="center"/>
          </w:tcPr>
          <w:p>
            <w:pPr>
              <w:spacing w:after="40" w:before="40"/>
              <w:jc w:val="center"/>
            </w:pPr>
            <w:r>
              <w:rPr>
                <w:rFonts w:ascii="Calibri" w:cs="Calibri" w:eastAsia="Calibri" w:hAnsi="Calibri"/>
                <w:b w:val="false"/>
                <w:bCs w:val="false"/>
                <w:color w:val="1A1A1A"/>
                <w:sz w:val="20"/>
                <w:szCs w:val="20"/>
              </w:rPr>
              <w:t xml:space="preserve">2020-2025 PDUFA dates</w:t>
            </w:r>
          </w:p>
        </w:tc>
      </w:tr>
      <w:tr>
        <w:tc>
          <w:tcPr>
            <w:tcW w:type="dxa" w:w="2500"/>
            <w:shd w:fill="FFFFFF" w:val="clear"/>
            <w:vAlign w:val="center"/>
          </w:tcPr>
          <w:p>
            <w:pPr>
              <w:spacing w:after="40" w:before="40"/>
              <w:jc w:val="center"/>
            </w:pPr>
            <w:r>
              <w:rPr>
                <w:rFonts w:ascii="Calibri" w:cs="Calibri" w:eastAsia="Calibri" w:hAnsi="Calibri"/>
                <w:b w:val="false"/>
                <w:bCs w:val="false"/>
                <w:color w:val="1A1A1A"/>
                <w:sz w:val="20"/>
                <w:szCs w:val="20"/>
              </w:rPr>
              <w:t xml:space="preserve">ODIN v5 AUC</w:t>
            </w:r>
          </w:p>
        </w:tc>
        <w:tc>
          <w:tcPr>
            <w:tcW w:type="dxa" w:w="2500"/>
            <w:shd w:fill="FFFFFF" w:val="clear"/>
            <w:vAlign w:val="center"/>
          </w:tcPr>
          <w:p>
            <w:pPr>
              <w:spacing w:after="40" w:before="40"/>
              <w:jc w:val="center"/>
            </w:pPr>
            <w:r>
              <w:rPr>
                <w:rFonts w:ascii="Calibri" w:cs="Calibri" w:eastAsia="Calibri" w:hAnsi="Calibri"/>
                <w:b w:val="false"/>
                <w:bCs w:val="false"/>
                <w:color w:val="1A1A1A"/>
                <w:sz w:val="20"/>
                <w:szCs w:val="20"/>
              </w:rPr>
              <w:t xml:space="preserve">0.9007</w:t>
            </w:r>
          </w:p>
        </w:tc>
        <w:tc>
          <w:tcPr>
            <w:tcW w:type="dxa" w:w="4360"/>
            <w:shd w:fill="FFFFFF" w:val="clear"/>
            <w:vAlign w:val="center"/>
          </w:tcPr>
          <w:p>
            <w:pPr>
              <w:spacing w:after="40" w:before="40"/>
              <w:jc w:val="center"/>
            </w:pPr>
            <w:r>
              <w:rPr>
                <w:rFonts w:ascii="Calibri" w:cs="Calibri" w:eastAsia="Calibri" w:hAnsi="Calibri"/>
                <w:b w:val="false"/>
                <w:bCs w:val="false"/>
                <w:color w:val="1A1A1A"/>
                <w:sz w:val="20"/>
                <w:szCs w:val="20"/>
              </w:rPr>
              <w:t xml:space="preserve">25-feature L2 Ridge model</w:t>
            </w:r>
          </w:p>
        </w:tc>
      </w:tr>
      <w:tr>
        <w:tc>
          <w:tcPr>
            <w:tcW w:type="dxa" w:w="2500"/>
            <w:shd w:fill="F5F5F5" w:val="clear"/>
            <w:vAlign w:val="center"/>
          </w:tcPr>
          <w:p>
            <w:pPr>
              <w:spacing w:after="40" w:before="40"/>
              <w:jc w:val="center"/>
            </w:pPr>
            <w:r>
              <w:rPr>
                <w:rFonts w:ascii="Calibri" w:cs="Calibri" w:eastAsia="Calibri" w:hAnsi="Calibri"/>
                <w:b w:val="false"/>
                <w:bCs w:val="false"/>
                <w:color w:val="1A1A1A"/>
                <w:sz w:val="20"/>
                <w:szCs w:val="20"/>
              </w:rPr>
              <w:t xml:space="preserve">T1 Approval Rate</w:t>
            </w:r>
          </w:p>
        </w:tc>
        <w:tc>
          <w:tcPr>
            <w:tcW w:type="dxa" w:w="2500"/>
            <w:shd w:fill="F5F5F5" w:val="clear"/>
            <w:vAlign w:val="center"/>
          </w:tcPr>
          <w:p>
            <w:pPr>
              <w:spacing w:after="40" w:before="40"/>
              <w:jc w:val="center"/>
            </w:pPr>
            <w:r>
              <w:rPr>
                <w:rFonts w:ascii="Calibri" w:cs="Calibri" w:eastAsia="Calibri" w:hAnsi="Calibri"/>
                <w:b w:val="false"/>
                <w:bCs w:val="false"/>
                <w:color w:val="1A1A1A"/>
                <w:sz w:val="20"/>
                <w:szCs w:val="20"/>
              </w:rPr>
              <w:t xml:space="preserve">93.5%</w:t>
            </w:r>
          </w:p>
        </w:tc>
        <w:tc>
          <w:tcPr>
            <w:tcW w:type="dxa" w:w="4360"/>
            <w:shd w:fill="F5F5F5" w:val="clear"/>
            <w:vAlign w:val="center"/>
          </w:tcPr>
          <w:p>
            <w:pPr>
              <w:spacing w:after="40" w:before="40"/>
              <w:jc w:val="center"/>
            </w:pPr>
            <w:r>
              <w:rPr>
                <w:rFonts w:ascii="Calibri" w:cs="Calibri" w:eastAsia="Calibri" w:hAnsi="Calibri"/>
                <w:b w:val="false"/>
                <w:bCs w:val="false"/>
                <w:color w:val="1A1A1A"/>
                <w:sz w:val="20"/>
                <w:szCs w:val="20"/>
              </w:rPr>
              <w:t xml:space="preserve">Score &gt;= 0.85</w:t>
            </w:r>
          </w:p>
        </w:tc>
      </w:tr>
      <w:tr>
        <w:tc>
          <w:tcPr>
            <w:tcW w:type="dxa" w:w="2500"/>
            <w:shd w:fill="FFFFFF" w:val="clear"/>
            <w:vAlign w:val="center"/>
          </w:tcPr>
          <w:p>
            <w:pPr>
              <w:spacing w:after="40" w:before="40"/>
              <w:jc w:val="center"/>
            </w:pPr>
            <w:r>
              <w:rPr>
                <w:rFonts w:ascii="Calibri" w:cs="Calibri" w:eastAsia="Calibri" w:hAnsi="Calibri"/>
                <w:b w:val="false"/>
                <w:bCs w:val="false"/>
                <w:color w:val="1A1A1A"/>
                <w:sz w:val="20"/>
                <w:szCs w:val="20"/>
              </w:rPr>
              <w:t xml:space="preserve">Best Runup Tier</w:t>
            </w:r>
          </w:p>
        </w:tc>
        <w:tc>
          <w:tcPr>
            <w:tcW w:type="dxa" w:w="2500"/>
            <w:shd w:fill="FFFFFF" w:val="clear"/>
            <w:vAlign w:val="center"/>
          </w:tcPr>
          <w:p>
            <w:pPr>
              <w:spacing w:after="40" w:before="40"/>
              <w:jc w:val="center"/>
            </w:pPr>
            <w:r>
              <w:rPr>
                <w:rFonts w:ascii="Calibri" w:cs="Calibri" w:eastAsia="Calibri" w:hAnsi="Calibri"/>
                <w:b w:val="false"/>
                <w:bCs w:val="false"/>
                <w:color w:val="1A1A1A"/>
                <w:sz w:val="20"/>
                <w:szCs w:val="20"/>
              </w:rPr>
              <w:t xml:space="preserve">Micro ($50M-$300M)</w:t>
            </w:r>
          </w:p>
        </w:tc>
        <w:tc>
          <w:tcPr>
            <w:tcW w:type="dxa" w:w="4360"/>
            <w:shd w:fill="FFFFFF" w:val="clear"/>
            <w:vAlign w:val="center"/>
          </w:tcPr>
          <w:p>
            <w:pPr>
              <w:spacing w:after="40" w:before="40"/>
              <w:jc w:val="center"/>
            </w:pPr>
            <w:r>
              <w:rPr>
                <w:rFonts w:ascii="Calibri" w:cs="Calibri" w:eastAsia="Calibri" w:hAnsi="Calibri"/>
                <w:b w:val="false"/>
                <w:bCs w:val="false"/>
                <w:color w:val="1A1A1A"/>
                <w:sz w:val="20"/>
                <w:szCs w:val="20"/>
              </w:rPr>
              <w:t xml:space="preserve">+5.25% avg 30d runup</w:t>
            </w:r>
          </w:p>
        </w:tc>
      </w:tr>
      <w:tr>
        <w:tc>
          <w:tcPr>
            <w:tcW w:type="dxa" w:w="2500"/>
            <w:shd w:fill="F5F5F5" w:val="clear"/>
            <w:vAlign w:val="center"/>
          </w:tcPr>
          <w:p>
            <w:pPr>
              <w:spacing w:after="40" w:before="40"/>
              <w:jc w:val="center"/>
            </w:pPr>
            <w:r>
              <w:rPr>
                <w:rFonts w:ascii="Calibri" w:cs="Calibri" w:eastAsia="Calibri" w:hAnsi="Calibri"/>
                <w:b w:val="false"/>
                <w:bCs w:val="false"/>
                <w:color w:val="1A1A1A"/>
                <w:sz w:val="20"/>
                <w:szCs w:val="20"/>
              </w:rPr>
              <w:t xml:space="preserve">Worst Bull Trap</w:t>
            </w:r>
          </w:p>
        </w:tc>
        <w:tc>
          <w:tcPr>
            <w:tcW w:type="dxa" w:w="2500"/>
            <w:shd w:fill="F5F5F5" w:val="clear"/>
            <w:vAlign w:val="center"/>
          </w:tcPr>
          <w:p>
            <w:pPr>
              <w:spacing w:after="40" w:before="40"/>
              <w:jc w:val="center"/>
            </w:pPr>
            <w:r>
              <w:rPr>
                <w:rFonts w:ascii="Calibri" w:cs="Calibri" w:eastAsia="Calibri" w:hAnsi="Calibri"/>
                <w:b w:val="false"/>
                <w:bCs w:val="false"/>
                <w:color w:val="1A1A1A"/>
                <w:sz w:val="20"/>
                <w:szCs w:val="20"/>
              </w:rPr>
              <w:t xml:space="preserve">Micro T4 CRL</w:t>
            </w:r>
          </w:p>
        </w:tc>
        <w:tc>
          <w:tcPr>
            <w:tcW w:type="dxa" w:w="4360"/>
            <w:shd w:fill="F5F5F5" w:val="clear"/>
            <w:vAlign w:val="center"/>
          </w:tcPr>
          <w:p>
            <w:pPr>
              <w:spacing w:after="40" w:before="40"/>
              <w:jc w:val="center"/>
            </w:pPr>
            <w:r>
              <w:rPr>
                <w:rFonts w:ascii="Calibri" w:cs="Calibri" w:eastAsia="Calibri" w:hAnsi="Calibri"/>
                <w:b w:val="false"/>
                <w:bCs w:val="false"/>
                <w:color w:val="1A1A1A"/>
                <w:sz w:val="20"/>
                <w:szCs w:val="20"/>
              </w:rPr>
              <w:t xml:space="preserve">+7.4% runup then crash</w:t>
            </w:r>
          </w:p>
        </w:tc>
      </w:tr>
      <w:tr>
        <w:tc>
          <w:tcPr>
            <w:tcW w:type="dxa" w:w="2500"/>
            <w:shd w:fill="FFFFFF" w:val="clear"/>
            <w:vAlign w:val="center"/>
          </w:tcPr>
          <w:p>
            <w:pPr>
              <w:spacing w:after="40" w:before="40"/>
              <w:jc w:val="center"/>
            </w:pPr>
            <w:r>
              <w:rPr>
                <w:rFonts w:ascii="Calibri" w:cs="Calibri" w:eastAsia="Calibri" w:hAnsi="Calibri"/>
                <w:b w:val="false"/>
                <w:bCs w:val="false"/>
                <w:color w:val="1A1A1A"/>
                <w:sz w:val="20"/>
                <w:szCs w:val="20"/>
              </w:rPr>
              <w:t xml:space="preserve">Highest Edge</w:t>
            </w:r>
          </w:p>
        </w:tc>
        <w:tc>
          <w:tcPr>
            <w:tcW w:type="dxa" w:w="2500"/>
            <w:shd w:fill="FFFFFF" w:val="clear"/>
            <w:vAlign w:val="center"/>
          </w:tcPr>
          <w:p>
            <w:pPr>
              <w:spacing w:after="40" w:before="40"/>
              <w:jc w:val="center"/>
            </w:pPr>
            <w:r>
              <w:rPr>
                <w:rFonts w:ascii="Calibri" w:cs="Calibri" w:eastAsia="Calibri" w:hAnsi="Calibri"/>
                <w:b w:val="false"/>
                <w:bCs w:val="false"/>
                <w:color w:val="1A1A1A"/>
                <w:sz w:val="20"/>
                <w:szCs w:val="20"/>
              </w:rPr>
              <w:t xml:space="preserve">Small T1 Approvals</w:t>
            </w:r>
          </w:p>
        </w:tc>
        <w:tc>
          <w:tcPr>
            <w:tcW w:type="dxa" w:w="4360"/>
            <w:shd w:fill="FFFFFF" w:val="clear"/>
            <w:vAlign w:val="center"/>
          </w:tcPr>
          <w:p>
            <w:pPr>
              <w:spacing w:after="40" w:before="40"/>
              <w:jc w:val="center"/>
            </w:pPr>
            <w:r>
              <w:rPr>
                <w:rFonts w:ascii="Calibri" w:cs="Calibri" w:eastAsia="Calibri" w:hAnsi="Calibri"/>
                <w:b w:val="false"/>
                <w:bCs w:val="false"/>
                <w:color w:val="1A1A1A"/>
                <w:sz w:val="20"/>
                <w:szCs w:val="20"/>
              </w:rPr>
              <w:t xml:space="preserve">90% win + post-day gains</w:t>
            </w:r>
          </w:p>
        </w:tc>
      </w:tr>
    </w:tbl>
    <w:p>
      <w:pPr>
        <w:pStyle w:val="Heading1"/>
        <w:spacing w:after="150" w:before="300"/>
      </w:pPr>
      <w:r>
        <w:rPr>
          <w:rFonts w:ascii="Calibri" w:cs="Calibri" w:eastAsia="Calibri" w:hAnsi="Calibri"/>
          <w:b/>
          <w:bCs/>
          <w:color w:val="0A1628"/>
          <w:sz w:val="32"/>
          <w:szCs w:val="32"/>
        </w:rPr>
        <w:t xml:space="preserve">2. Market Cap Runup Analysis</w:t>
      </w:r>
    </w:p>
    <w:p>
      <w:pPr>
        <w:spacing w:after="120"/>
      </w:pPr>
      <w:r>
        <w:rPr>
          <w:rFonts w:ascii="Calibri" w:cs="Calibri" w:eastAsia="Calibri" w:hAnsi="Calibri"/>
          <w:b w:val="false"/>
          <w:bCs w:val="false"/>
          <w:i w:val="false"/>
          <w:iCs w:val="false"/>
          <w:color w:val="1A1A1A"/>
          <w:sz w:val="22"/>
          <w:szCs w:val="22"/>
        </w:rPr>
        <w:t xml:space="preserve">The dataset was classified into five market cap tiers: Nano (&lt;$50M), Micro ($50M-$300M), Small ($300M-$2B), Mid ($2B-$10B), and Large (&gt;$10B). Each tier shows distinct runup behavior patterns that inform position sizing, entry timing, and risk management.</w:t>
      </w:r>
    </w:p>
    <w:p>
      <w:pPr>
        <w:pStyle w:val="Heading2"/>
        <w:spacing w:after="150" w:before="300"/>
      </w:pPr>
      <w:r>
        <w:rPr>
          <w:rFonts w:ascii="Calibri" w:cs="Calibri" w:eastAsia="Calibri" w:hAnsi="Calibri"/>
          <w:b/>
          <w:bCs/>
          <w:color w:val="1E3A5F"/>
          <w:sz w:val="26"/>
          <w:szCs w:val="26"/>
        </w:rPr>
        <w:t xml:space="preserve">2.1 Distribution &amp; Approval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860"/>
        <w:gridCol w:w="2000"/>
      </w:tblGrid>
      <w:tr>
        <w:tc>
          <w:tcPr>
            <w:tcW w:type="dxa" w:w="2500"/>
            <w:shd w:fill="0A1628" w:val="clear"/>
            <w:vAlign w:val="center"/>
          </w:tcPr>
          <w:p>
            <w:pPr>
              <w:spacing w:after="40" w:before="40"/>
              <w:jc w:val="center"/>
            </w:pPr>
            <w:r>
              <w:rPr>
                <w:rFonts w:ascii="Calibri" w:cs="Calibri" w:eastAsia="Calibri" w:hAnsi="Calibri"/>
                <w:b/>
                <w:bCs/>
                <w:color w:val="FFFFFF"/>
                <w:sz w:val="20"/>
                <w:szCs w:val="20"/>
              </w:rPr>
              <w:t xml:space="preserve">Market Cap Tier</w:t>
            </w:r>
          </w:p>
        </w:tc>
        <w:tc>
          <w:tcPr>
            <w:tcW w:type="dxa" w:w="1500"/>
            <w:shd w:fill="0A1628" w:val="clear"/>
            <w:vAlign w:val="center"/>
          </w:tcPr>
          <w:p>
            <w:pPr>
              <w:spacing w:after="40" w:before="40"/>
              <w:jc w:val="center"/>
            </w:pPr>
            <w:r>
              <w:rPr>
                <w:rFonts w:ascii="Calibri" w:cs="Calibri" w:eastAsia="Calibri" w:hAnsi="Calibri"/>
                <w:b/>
                <w:bCs/>
                <w:color w:val="FFFFFF"/>
                <w:sz w:val="20"/>
                <w:szCs w:val="20"/>
              </w:rPr>
              <w:t xml:space="preserve">Events</w:t>
            </w:r>
          </w:p>
        </w:tc>
        <w:tc>
          <w:tcPr>
            <w:tcW w:type="dxa" w:w="1500"/>
            <w:shd w:fill="0A1628" w:val="clear"/>
            <w:vAlign w:val="center"/>
          </w:tcPr>
          <w:p>
            <w:pPr>
              <w:spacing w:after="40" w:before="40"/>
              <w:jc w:val="center"/>
            </w:pPr>
            <w:r>
              <w:rPr>
                <w:rFonts w:ascii="Calibri" w:cs="Calibri" w:eastAsia="Calibri" w:hAnsi="Calibri"/>
                <w:b/>
                <w:bCs/>
                <w:color w:val="FFFFFF"/>
                <w:sz w:val="20"/>
                <w:szCs w:val="20"/>
              </w:rPr>
              <w:t xml:space="preserve">% of Total</w:t>
            </w:r>
          </w:p>
        </w:tc>
        <w:tc>
          <w:tcPr>
            <w:tcW w:type="dxa" w:w="1860"/>
            <w:shd w:fill="0A1628" w:val="clear"/>
            <w:vAlign w:val="center"/>
          </w:tcPr>
          <w:p>
            <w:pPr>
              <w:spacing w:after="40" w:before="40"/>
              <w:jc w:val="center"/>
            </w:pPr>
            <w:r>
              <w:rPr>
                <w:rFonts w:ascii="Calibri" w:cs="Calibri" w:eastAsia="Calibri" w:hAnsi="Calibri"/>
                <w:b/>
                <w:bCs/>
                <w:color w:val="FFFFFF"/>
                <w:sz w:val="20"/>
                <w:szCs w:val="20"/>
              </w:rPr>
              <w:t xml:space="preserve">Approval Rate</w:t>
            </w:r>
          </w:p>
        </w:tc>
        <w:tc>
          <w:tcPr>
            <w:tcW w:type="dxa" w:w="2000"/>
            <w:shd w:fill="0A1628" w:val="clear"/>
            <w:vAlign w:val="center"/>
          </w:tcPr>
          <w:p>
            <w:pPr>
              <w:spacing w:after="40" w:before="40"/>
              <w:jc w:val="center"/>
            </w:pPr>
            <w:r>
              <w:rPr>
                <w:rFonts w:ascii="Calibri" w:cs="Calibri" w:eastAsia="Calibri" w:hAnsi="Calibri"/>
                <w:b/>
                <w:bCs/>
                <w:color w:val="FFFFFF"/>
                <w:sz w:val="20"/>
                <w:szCs w:val="20"/>
              </w:rPr>
              <w:t xml:space="preserve">Avg Score</w:t>
            </w:r>
          </w:p>
        </w:tc>
      </w:tr>
      <w:tr>
        <w:tc>
          <w:tcPr>
            <w:tcW w:type="dxa" w:w="2500"/>
            <w:shd w:fill="F5F5F5" w:val="clear"/>
            <w:vAlign w:val="center"/>
          </w:tcPr>
          <w:p>
            <w:pPr>
              <w:spacing w:after="40" w:before="40"/>
              <w:jc w:val="center"/>
            </w:pPr>
            <w:r>
              <w:rPr>
                <w:rFonts w:ascii="Calibri" w:cs="Calibri" w:eastAsia="Calibri" w:hAnsi="Calibri"/>
                <w:b w:val="false"/>
                <w:bCs w:val="false"/>
                <w:color w:val="1A1A1A"/>
                <w:sz w:val="20"/>
                <w:szCs w:val="20"/>
              </w:rPr>
              <w:t xml:space="preserve">Nano (&lt;$50M)</w:t>
            </w:r>
          </w:p>
        </w:tc>
        <w:tc>
          <w:tcPr>
            <w:tcW w:type="dxa" w:w="1500"/>
            <w:shd w:fill="F5F5F5" w:val="clear"/>
            <w:vAlign w:val="center"/>
          </w:tcPr>
          <w:p>
            <w:pPr>
              <w:spacing w:after="40" w:before="40"/>
              <w:jc w:val="center"/>
            </w:pPr>
            <w:r>
              <w:rPr>
                <w:rFonts w:ascii="Calibri" w:cs="Calibri" w:eastAsia="Calibri" w:hAnsi="Calibri"/>
                <w:b w:val="false"/>
                <w:bCs w:val="false"/>
                <w:color w:val="1A1A1A"/>
                <w:sz w:val="20"/>
                <w:szCs w:val="20"/>
              </w:rPr>
              <w:t xml:space="preserve">117</w:t>
            </w:r>
          </w:p>
        </w:tc>
        <w:tc>
          <w:tcPr>
            <w:tcW w:type="dxa" w:w="1500"/>
            <w:shd w:fill="F5F5F5" w:val="clear"/>
            <w:vAlign w:val="center"/>
          </w:tcPr>
          <w:p>
            <w:pPr>
              <w:spacing w:after="40" w:before="40"/>
              <w:jc w:val="center"/>
            </w:pPr>
            <w:r>
              <w:rPr>
                <w:rFonts w:ascii="Calibri" w:cs="Calibri" w:eastAsia="Calibri" w:hAnsi="Calibri"/>
                <w:b w:val="false"/>
                <w:bCs w:val="false"/>
                <w:color w:val="1A1A1A"/>
                <w:sz w:val="20"/>
                <w:szCs w:val="20"/>
              </w:rPr>
              <w:t xml:space="preserve">6.9%</w:t>
            </w:r>
          </w:p>
        </w:tc>
        <w:tc>
          <w:tcPr>
            <w:tcW w:type="dxa" w:w="1860"/>
            <w:shd w:fill="F5F5F5" w:val="clear"/>
            <w:vAlign w:val="center"/>
          </w:tcPr>
          <w:p>
            <w:pPr>
              <w:spacing w:after="40" w:before="40"/>
              <w:jc w:val="center"/>
            </w:pPr>
            <w:r>
              <w:rPr>
                <w:rFonts w:ascii="Calibri" w:cs="Calibri" w:eastAsia="Calibri" w:hAnsi="Calibri"/>
                <w:b w:val="false"/>
                <w:bCs w:val="false"/>
                <w:color w:val="1A1A1A"/>
                <w:sz w:val="20"/>
                <w:szCs w:val="20"/>
              </w:rPr>
              <w:t xml:space="preserve">40.2%</w:t>
            </w:r>
          </w:p>
        </w:tc>
        <w:tc>
          <w:tcPr>
            <w:tcW w:type="dxa" w:w="2000"/>
            <w:shd w:fill="F5F5F5" w:val="clear"/>
            <w:vAlign w:val="center"/>
          </w:tcPr>
          <w:p>
            <w:pPr>
              <w:spacing w:after="40" w:before="40"/>
              <w:jc w:val="center"/>
            </w:pPr>
            <w:r>
              <w:rPr>
                <w:rFonts w:ascii="Calibri" w:cs="Calibri" w:eastAsia="Calibri" w:hAnsi="Calibri"/>
                <w:b w:val="false"/>
                <w:bCs w:val="false"/>
                <w:color w:val="1A1A1A"/>
                <w:sz w:val="20"/>
                <w:szCs w:val="20"/>
              </w:rPr>
              <w:t xml:space="preserve">Low</w:t>
            </w:r>
          </w:p>
        </w:tc>
      </w:tr>
      <w:tr>
        <w:tc>
          <w:tcPr>
            <w:tcW w:type="dxa" w:w="2500"/>
            <w:shd w:fill="FFFFFF" w:val="clear"/>
            <w:vAlign w:val="center"/>
          </w:tcPr>
          <w:p>
            <w:pPr>
              <w:spacing w:after="40" w:before="40"/>
              <w:jc w:val="center"/>
            </w:pPr>
            <w:r>
              <w:rPr>
                <w:rFonts w:ascii="Calibri" w:cs="Calibri" w:eastAsia="Calibri" w:hAnsi="Calibri"/>
                <w:b w:val="false"/>
                <w:bCs w:val="false"/>
                <w:color w:val="1A1A1A"/>
                <w:sz w:val="20"/>
                <w:szCs w:val="20"/>
              </w:rPr>
              <w:t xml:space="preserve">Micro ($50M-$300M)</w:t>
            </w:r>
          </w:p>
        </w:tc>
        <w:tc>
          <w:tcPr>
            <w:tcW w:type="dxa" w:w="1500"/>
            <w:shd w:fill="FFFFFF" w:val="clear"/>
            <w:vAlign w:val="center"/>
          </w:tcPr>
          <w:p>
            <w:pPr>
              <w:spacing w:after="40" w:before="40"/>
              <w:jc w:val="center"/>
            </w:pPr>
            <w:r>
              <w:rPr>
                <w:rFonts w:ascii="Calibri" w:cs="Calibri" w:eastAsia="Calibri" w:hAnsi="Calibri"/>
                <w:b w:val="false"/>
                <w:bCs w:val="false"/>
                <w:color w:val="1A1A1A"/>
                <w:sz w:val="20"/>
                <w:szCs w:val="20"/>
              </w:rPr>
              <w:t xml:space="preserve">302</w:t>
            </w:r>
          </w:p>
        </w:tc>
        <w:tc>
          <w:tcPr>
            <w:tcW w:type="dxa" w:w="1500"/>
            <w:shd w:fill="FFFFFF" w:val="clear"/>
            <w:vAlign w:val="center"/>
          </w:tcPr>
          <w:p>
            <w:pPr>
              <w:spacing w:after="40" w:before="40"/>
              <w:jc w:val="center"/>
            </w:pPr>
            <w:r>
              <w:rPr>
                <w:rFonts w:ascii="Calibri" w:cs="Calibri" w:eastAsia="Calibri" w:hAnsi="Calibri"/>
                <w:b w:val="false"/>
                <w:bCs w:val="false"/>
                <w:color w:val="1A1A1A"/>
                <w:sz w:val="20"/>
                <w:szCs w:val="20"/>
              </w:rPr>
              <w:t xml:space="preserve">17.7%</w:t>
            </w:r>
          </w:p>
        </w:tc>
        <w:tc>
          <w:tcPr>
            <w:tcW w:type="dxa" w:w="1860"/>
            <w:shd w:fill="FFFFFF" w:val="clear"/>
            <w:vAlign w:val="center"/>
          </w:tcPr>
          <w:p>
            <w:pPr>
              <w:spacing w:after="40" w:before="40"/>
              <w:jc w:val="center"/>
            </w:pPr>
            <w:r>
              <w:rPr>
                <w:rFonts w:ascii="Calibri" w:cs="Calibri" w:eastAsia="Calibri" w:hAnsi="Calibri"/>
                <w:b w:val="false"/>
                <w:bCs w:val="false"/>
                <w:color w:val="1A1A1A"/>
                <w:sz w:val="20"/>
                <w:szCs w:val="20"/>
              </w:rPr>
              <w:t xml:space="preserve">54.6%</w:t>
            </w:r>
          </w:p>
        </w:tc>
        <w:tc>
          <w:tcPr>
            <w:tcW w:type="dxa" w:w="2000"/>
            <w:shd w:fill="FFFFFF" w:val="clear"/>
            <w:vAlign w:val="center"/>
          </w:tcPr>
          <w:p>
            <w:pPr>
              <w:spacing w:after="40" w:before="40"/>
              <w:jc w:val="center"/>
            </w:pPr>
            <w:r>
              <w:rPr>
                <w:rFonts w:ascii="Calibri" w:cs="Calibri" w:eastAsia="Calibri" w:hAnsi="Calibri"/>
                <w:b w:val="false"/>
                <w:bCs w:val="false"/>
                <w:color w:val="1A1A1A"/>
                <w:sz w:val="20"/>
                <w:szCs w:val="20"/>
              </w:rPr>
              <w:t xml:space="preserve">Low-Med</w:t>
            </w:r>
          </w:p>
        </w:tc>
      </w:tr>
      <w:tr>
        <w:tc>
          <w:tcPr>
            <w:tcW w:type="dxa" w:w="2500"/>
            <w:shd w:fill="F5F5F5" w:val="clear"/>
            <w:vAlign w:val="center"/>
          </w:tcPr>
          <w:p>
            <w:pPr>
              <w:spacing w:after="40" w:before="40"/>
              <w:jc w:val="center"/>
            </w:pPr>
            <w:r>
              <w:rPr>
                <w:rFonts w:ascii="Calibri" w:cs="Calibri" w:eastAsia="Calibri" w:hAnsi="Calibri"/>
                <w:b w:val="false"/>
                <w:bCs w:val="false"/>
                <w:color w:val="1A1A1A"/>
                <w:sz w:val="20"/>
                <w:szCs w:val="20"/>
              </w:rPr>
              <w:t xml:space="preserve">Small ($300M-$2B)</w:t>
            </w:r>
          </w:p>
        </w:tc>
        <w:tc>
          <w:tcPr>
            <w:tcW w:type="dxa" w:w="1500"/>
            <w:shd w:fill="F5F5F5" w:val="clear"/>
            <w:vAlign w:val="center"/>
          </w:tcPr>
          <w:p>
            <w:pPr>
              <w:spacing w:after="40" w:before="40"/>
              <w:jc w:val="center"/>
            </w:pPr>
            <w:r>
              <w:rPr>
                <w:rFonts w:ascii="Calibri" w:cs="Calibri" w:eastAsia="Calibri" w:hAnsi="Calibri"/>
                <w:b w:val="false"/>
                <w:bCs w:val="false"/>
                <w:color w:val="1A1A1A"/>
                <w:sz w:val="20"/>
                <w:szCs w:val="20"/>
              </w:rPr>
              <w:t xml:space="preserve">274</w:t>
            </w:r>
          </w:p>
        </w:tc>
        <w:tc>
          <w:tcPr>
            <w:tcW w:type="dxa" w:w="1500"/>
            <w:shd w:fill="F5F5F5" w:val="clear"/>
            <w:vAlign w:val="center"/>
          </w:tcPr>
          <w:p>
            <w:pPr>
              <w:spacing w:after="40" w:before="40"/>
              <w:jc w:val="center"/>
            </w:pPr>
            <w:r>
              <w:rPr>
                <w:rFonts w:ascii="Calibri" w:cs="Calibri" w:eastAsia="Calibri" w:hAnsi="Calibri"/>
                <w:b w:val="false"/>
                <w:bCs w:val="false"/>
                <w:color w:val="1A1A1A"/>
                <w:sz w:val="20"/>
                <w:szCs w:val="20"/>
              </w:rPr>
              <w:t xml:space="preserve">16.1%</w:t>
            </w:r>
          </w:p>
        </w:tc>
        <w:tc>
          <w:tcPr>
            <w:tcW w:type="dxa" w:w="1860"/>
            <w:shd w:fill="F5F5F5" w:val="clear"/>
            <w:vAlign w:val="center"/>
          </w:tcPr>
          <w:p>
            <w:pPr>
              <w:spacing w:after="40" w:before="40"/>
              <w:jc w:val="center"/>
            </w:pPr>
            <w:r>
              <w:rPr>
                <w:rFonts w:ascii="Calibri" w:cs="Calibri" w:eastAsia="Calibri" w:hAnsi="Calibri"/>
                <w:b w:val="false"/>
                <w:bCs w:val="false"/>
                <w:color w:val="1A1A1A"/>
                <w:sz w:val="20"/>
                <w:szCs w:val="20"/>
              </w:rPr>
              <w:t xml:space="preserve">56.6%</w:t>
            </w:r>
          </w:p>
        </w:tc>
        <w:tc>
          <w:tcPr>
            <w:tcW w:type="dxa" w:w="2000"/>
            <w:shd w:fill="F5F5F5" w:val="clear"/>
            <w:vAlign w:val="center"/>
          </w:tcPr>
          <w:p>
            <w:pPr>
              <w:spacing w:after="40" w:before="40"/>
              <w:jc w:val="center"/>
            </w:pPr>
            <w:r>
              <w:rPr>
                <w:rFonts w:ascii="Calibri" w:cs="Calibri" w:eastAsia="Calibri" w:hAnsi="Calibri"/>
                <w:b w:val="false"/>
                <w:bCs w:val="false"/>
                <w:color w:val="1A1A1A"/>
                <w:sz w:val="20"/>
                <w:szCs w:val="20"/>
              </w:rPr>
              <w:t xml:space="preserve">Medium</w:t>
            </w:r>
          </w:p>
        </w:tc>
      </w:tr>
      <w:tr>
        <w:tc>
          <w:tcPr>
            <w:tcW w:type="dxa" w:w="2500"/>
            <w:shd w:fill="FFFFFF" w:val="clear"/>
            <w:vAlign w:val="center"/>
          </w:tcPr>
          <w:p>
            <w:pPr>
              <w:spacing w:after="40" w:before="40"/>
              <w:jc w:val="center"/>
            </w:pPr>
            <w:r>
              <w:rPr>
                <w:rFonts w:ascii="Calibri" w:cs="Calibri" w:eastAsia="Calibri" w:hAnsi="Calibri"/>
                <w:b w:val="false"/>
                <w:bCs w:val="false"/>
                <w:color w:val="1A1A1A"/>
                <w:sz w:val="20"/>
                <w:szCs w:val="20"/>
              </w:rPr>
              <w:t xml:space="preserve">Mid ($2B-$10B)</w:t>
            </w:r>
          </w:p>
        </w:tc>
        <w:tc>
          <w:tcPr>
            <w:tcW w:type="dxa" w:w="1500"/>
            <w:shd w:fill="FFFFFF" w:val="clear"/>
            <w:vAlign w:val="center"/>
          </w:tcPr>
          <w:p>
            <w:pPr>
              <w:spacing w:after="40" w:before="40"/>
              <w:jc w:val="center"/>
            </w:pPr>
            <w:r>
              <w:rPr>
                <w:rFonts w:ascii="Calibri" w:cs="Calibri" w:eastAsia="Calibri" w:hAnsi="Calibri"/>
                <w:b w:val="false"/>
                <w:bCs w:val="false"/>
                <w:color w:val="1A1A1A"/>
                <w:sz w:val="20"/>
                <w:szCs w:val="20"/>
              </w:rPr>
              <w:t xml:space="preserve">222</w:t>
            </w:r>
          </w:p>
        </w:tc>
        <w:tc>
          <w:tcPr>
            <w:tcW w:type="dxa" w:w="1500"/>
            <w:shd w:fill="FFFFFF" w:val="clear"/>
            <w:vAlign w:val="center"/>
          </w:tcPr>
          <w:p>
            <w:pPr>
              <w:spacing w:after="40" w:before="40"/>
              <w:jc w:val="center"/>
            </w:pPr>
            <w:r>
              <w:rPr>
                <w:rFonts w:ascii="Calibri" w:cs="Calibri" w:eastAsia="Calibri" w:hAnsi="Calibri"/>
                <w:b w:val="false"/>
                <w:bCs w:val="false"/>
                <w:color w:val="1A1A1A"/>
                <w:sz w:val="20"/>
                <w:szCs w:val="20"/>
              </w:rPr>
              <w:t xml:space="preserve">13.0%</w:t>
            </w:r>
          </w:p>
        </w:tc>
        <w:tc>
          <w:tcPr>
            <w:tcW w:type="dxa" w:w="1860"/>
            <w:shd w:fill="FFFFFF" w:val="clear"/>
            <w:vAlign w:val="center"/>
          </w:tcPr>
          <w:p>
            <w:pPr>
              <w:spacing w:after="40" w:before="40"/>
              <w:jc w:val="center"/>
            </w:pPr>
            <w:r>
              <w:rPr>
                <w:rFonts w:ascii="Calibri" w:cs="Calibri" w:eastAsia="Calibri" w:hAnsi="Calibri"/>
                <w:b w:val="false"/>
                <w:bCs w:val="false"/>
                <w:color w:val="1A1A1A"/>
                <w:sz w:val="20"/>
                <w:szCs w:val="20"/>
              </w:rPr>
              <w:t xml:space="preserve">72.5%</w:t>
            </w:r>
          </w:p>
        </w:tc>
        <w:tc>
          <w:tcPr>
            <w:tcW w:type="dxa" w:w="2000"/>
            <w:shd w:fill="FFFFFF" w:val="clear"/>
            <w:vAlign w:val="center"/>
          </w:tcPr>
          <w:p>
            <w:pPr>
              <w:spacing w:after="40" w:before="40"/>
              <w:jc w:val="center"/>
            </w:pPr>
            <w:r>
              <w:rPr>
                <w:rFonts w:ascii="Calibri" w:cs="Calibri" w:eastAsia="Calibri" w:hAnsi="Calibri"/>
                <w:b w:val="false"/>
                <w:bCs w:val="false"/>
                <w:color w:val="1A1A1A"/>
                <w:sz w:val="20"/>
                <w:szCs w:val="20"/>
              </w:rPr>
              <w:t xml:space="preserve">Med-High</w:t>
            </w:r>
          </w:p>
        </w:tc>
      </w:tr>
      <w:tr>
        <w:tc>
          <w:tcPr>
            <w:tcW w:type="dxa" w:w="2500"/>
            <w:shd w:fill="F5F5F5" w:val="clear"/>
            <w:vAlign w:val="center"/>
          </w:tcPr>
          <w:p>
            <w:pPr>
              <w:spacing w:after="40" w:before="40"/>
              <w:jc w:val="center"/>
            </w:pPr>
            <w:r>
              <w:rPr>
                <w:rFonts w:ascii="Calibri" w:cs="Calibri" w:eastAsia="Calibri" w:hAnsi="Calibri"/>
                <w:b w:val="false"/>
                <w:bCs w:val="false"/>
                <w:color w:val="1A1A1A"/>
                <w:sz w:val="20"/>
                <w:szCs w:val="20"/>
              </w:rPr>
              <w:t xml:space="preserve">Large (&gt;$10B)</w:t>
            </w:r>
          </w:p>
        </w:tc>
        <w:tc>
          <w:tcPr>
            <w:tcW w:type="dxa" w:w="1500"/>
            <w:shd w:fill="F5F5F5" w:val="clear"/>
            <w:vAlign w:val="center"/>
          </w:tcPr>
          <w:p>
            <w:pPr>
              <w:spacing w:after="40" w:before="40"/>
              <w:jc w:val="center"/>
            </w:pPr>
            <w:r>
              <w:rPr>
                <w:rFonts w:ascii="Calibri" w:cs="Calibri" w:eastAsia="Calibri" w:hAnsi="Calibri"/>
                <w:b w:val="false"/>
                <w:bCs w:val="false"/>
                <w:color w:val="1A1A1A"/>
                <w:sz w:val="20"/>
                <w:szCs w:val="20"/>
              </w:rPr>
              <w:t xml:space="preserve">790</w:t>
            </w:r>
          </w:p>
        </w:tc>
        <w:tc>
          <w:tcPr>
            <w:tcW w:type="dxa" w:w="1500"/>
            <w:shd w:fill="F5F5F5" w:val="clear"/>
            <w:vAlign w:val="center"/>
          </w:tcPr>
          <w:p>
            <w:pPr>
              <w:spacing w:after="40" w:before="40"/>
              <w:jc w:val="center"/>
            </w:pPr>
            <w:r>
              <w:rPr>
                <w:rFonts w:ascii="Calibri" w:cs="Calibri" w:eastAsia="Calibri" w:hAnsi="Calibri"/>
                <w:b w:val="false"/>
                <w:bCs w:val="false"/>
                <w:color w:val="1A1A1A"/>
                <w:sz w:val="20"/>
                <w:szCs w:val="20"/>
              </w:rPr>
              <w:t xml:space="preserve">46.3%</w:t>
            </w:r>
          </w:p>
        </w:tc>
        <w:tc>
          <w:tcPr>
            <w:tcW w:type="dxa" w:w="1860"/>
            <w:shd w:fill="F5F5F5" w:val="clear"/>
            <w:vAlign w:val="center"/>
          </w:tcPr>
          <w:p>
            <w:pPr>
              <w:spacing w:after="40" w:before="40"/>
              <w:jc w:val="center"/>
            </w:pPr>
            <w:r>
              <w:rPr>
                <w:rFonts w:ascii="Calibri" w:cs="Calibri" w:eastAsia="Calibri" w:hAnsi="Calibri"/>
                <w:b w:val="false"/>
                <w:bCs w:val="false"/>
                <w:color w:val="1A1A1A"/>
                <w:sz w:val="20"/>
                <w:szCs w:val="20"/>
              </w:rPr>
              <w:t xml:space="preserve">83.9%</w:t>
            </w:r>
          </w:p>
        </w:tc>
        <w:tc>
          <w:tcPr>
            <w:tcW w:type="dxa" w:w="2000"/>
            <w:shd w:fill="F5F5F5" w:val="clear"/>
            <w:vAlign w:val="center"/>
          </w:tcPr>
          <w:p>
            <w:pPr>
              <w:spacing w:after="40" w:before="40"/>
              <w:jc w:val="center"/>
            </w:pPr>
            <w:r>
              <w:rPr>
                <w:rFonts w:ascii="Calibri" w:cs="Calibri" w:eastAsia="Calibri" w:hAnsi="Calibri"/>
                <w:b w:val="false"/>
                <w:bCs w:val="false"/>
                <w:color w:val="1A1A1A"/>
                <w:sz w:val="20"/>
                <w:szCs w:val="20"/>
              </w:rPr>
              <w:t xml:space="preserve">High</w:t>
            </w:r>
          </w:p>
        </w:tc>
      </w:tr>
    </w:tbl>
    <w:p>
      <w:pPr>
        <w:spacing w:after="120"/>
      </w:pPr>
      <w:r>
        <w:rPr>
          <w:rFonts w:ascii="Calibri" w:cs="Calibri" w:eastAsia="Calibri" w:hAnsi="Calibri"/>
          <w:b w:val="false"/>
          <w:bCs w:val="false"/>
          <w:i w:val="false"/>
          <w:iCs w:val="false"/>
          <w:color w:val="1A1A1A"/>
          <w:sz w:val="22"/>
          <w:szCs w:val="22"/>
        </w:rPr>
        <w:t xml:space="preserve">There is a near-perfect monotonic relationship between market cap and approval rate: nano caps approve only 40.2% of the time while large caps approve 83.9%. This reflects the quality premium of established sponsors, prior designations, and regulatory experience captured by ODIN's features (sponsor_experienced, desig_rich, btd_and_priority).</w:t>
      </w:r>
    </w:p>
    <w:p>
      <w:pPr>
        <w:pStyle w:val="Heading2"/>
        <w:spacing w:after="150" w:before="300"/>
      </w:pPr>
      <w:r>
        <w:rPr>
          <w:rFonts w:ascii="Calibri" w:cs="Calibri" w:eastAsia="Calibri" w:hAnsi="Calibri"/>
          <w:b/>
          <w:bCs/>
          <w:color w:val="1E3A5F"/>
          <w:sz w:val="26"/>
          <w:szCs w:val="26"/>
        </w:rPr>
        <w:t xml:space="preserve">2.2 Average Runup by Market Cap (%)</w:t>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200"/>
        <w:gridCol w:w="1200"/>
        <w:gridCol w:w="1200"/>
        <w:gridCol w:w="1200"/>
        <w:gridCol w:w="1200"/>
        <w:gridCol w:w="1160"/>
      </w:tblGrid>
      <w:tr>
        <w:tc>
          <w:tcPr>
            <w:tcW w:type="dxa" w:w="1700"/>
            <w:shd w:fill="0A1628" w:val="clear"/>
            <w:vAlign w:val="center"/>
          </w:tcPr>
          <w:p>
            <w:pPr>
              <w:spacing w:after="40" w:before="40"/>
              <w:jc w:val="center"/>
            </w:pPr>
            <w:r>
              <w:rPr>
                <w:rFonts w:ascii="Calibri" w:cs="Calibri" w:eastAsia="Calibri" w:hAnsi="Calibri"/>
                <w:b/>
                <w:bCs/>
                <w:color w:val="FFFFFF"/>
                <w:sz w:val="20"/>
                <w:szCs w:val="20"/>
              </w:rPr>
              <w:t xml:space="preserve">Tier</w:t>
            </w:r>
          </w:p>
        </w:tc>
        <w:tc>
          <w:tcPr>
            <w:tcW w:type="dxa" w:w="1200"/>
            <w:shd w:fill="0A1628" w:val="clear"/>
            <w:vAlign w:val="center"/>
          </w:tcPr>
          <w:p>
            <w:pPr>
              <w:spacing w:after="40" w:before="40"/>
              <w:jc w:val="center"/>
            </w:pPr>
            <w:r>
              <w:rPr>
                <w:rFonts w:ascii="Calibri" w:cs="Calibri" w:eastAsia="Calibri" w:hAnsi="Calibri"/>
                <w:b/>
                <w:bCs/>
                <w:color w:val="FFFFFF"/>
                <w:sz w:val="20"/>
                <w:szCs w:val="20"/>
              </w:rPr>
              <w:t xml:space="preserve">30d</w:t>
            </w:r>
          </w:p>
        </w:tc>
        <w:tc>
          <w:tcPr>
            <w:tcW w:type="dxa" w:w="1200"/>
            <w:shd w:fill="0A1628" w:val="clear"/>
            <w:vAlign w:val="center"/>
          </w:tcPr>
          <w:p>
            <w:pPr>
              <w:spacing w:after="40" w:before="40"/>
              <w:jc w:val="center"/>
            </w:pPr>
            <w:r>
              <w:rPr>
                <w:rFonts w:ascii="Calibri" w:cs="Calibri" w:eastAsia="Calibri" w:hAnsi="Calibri"/>
                <w:b/>
                <w:bCs/>
                <w:color w:val="FFFFFF"/>
                <w:sz w:val="20"/>
                <w:szCs w:val="20"/>
              </w:rPr>
              <w:t xml:space="preserve">21d</w:t>
            </w:r>
          </w:p>
        </w:tc>
        <w:tc>
          <w:tcPr>
            <w:tcW w:type="dxa" w:w="1200"/>
            <w:shd w:fill="0A1628" w:val="clear"/>
            <w:vAlign w:val="center"/>
          </w:tcPr>
          <w:p>
            <w:pPr>
              <w:spacing w:after="40" w:before="40"/>
              <w:jc w:val="center"/>
            </w:pPr>
            <w:r>
              <w:rPr>
                <w:rFonts w:ascii="Calibri" w:cs="Calibri" w:eastAsia="Calibri" w:hAnsi="Calibri"/>
                <w:b/>
                <w:bCs/>
                <w:color w:val="FFFFFF"/>
                <w:sz w:val="20"/>
                <w:szCs w:val="20"/>
              </w:rPr>
              <w:t xml:space="preserve">14d</w:t>
            </w:r>
          </w:p>
        </w:tc>
        <w:tc>
          <w:tcPr>
            <w:tcW w:type="dxa" w:w="1200"/>
            <w:shd w:fill="0A1628" w:val="clear"/>
            <w:vAlign w:val="center"/>
          </w:tcPr>
          <w:p>
            <w:pPr>
              <w:spacing w:after="40" w:before="40"/>
              <w:jc w:val="center"/>
            </w:pPr>
            <w:r>
              <w:rPr>
                <w:rFonts w:ascii="Calibri" w:cs="Calibri" w:eastAsia="Calibri" w:hAnsi="Calibri"/>
                <w:b/>
                <w:bCs/>
                <w:color w:val="FFFFFF"/>
                <w:sz w:val="20"/>
                <w:szCs w:val="20"/>
              </w:rPr>
              <w:t xml:space="preserve">7d</w:t>
            </w:r>
          </w:p>
        </w:tc>
        <w:tc>
          <w:tcPr>
            <w:tcW w:type="dxa" w:w="1200"/>
            <w:shd w:fill="0A1628" w:val="clear"/>
            <w:vAlign w:val="center"/>
          </w:tcPr>
          <w:p>
            <w:pPr>
              <w:spacing w:after="40" w:before="40"/>
              <w:jc w:val="center"/>
            </w:pPr>
            <w:r>
              <w:rPr>
                <w:rFonts w:ascii="Calibri" w:cs="Calibri" w:eastAsia="Calibri" w:hAnsi="Calibri"/>
                <w:b/>
                <w:bCs/>
                <w:color w:val="FFFFFF"/>
                <w:sz w:val="20"/>
                <w:szCs w:val="20"/>
              </w:rPr>
              <w:t xml:space="preserve">5d</w:t>
            </w:r>
          </w:p>
        </w:tc>
        <w:tc>
          <w:tcPr>
            <w:tcW w:type="dxa" w:w="1200"/>
            <w:shd w:fill="0A1628" w:val="clear"/>
            <w:vAlign w:val="center"/>
          </w:tcPr>
          <w:p>
            <w:pPr>
              <w:spacing w:after="40" w:before="40"/>
              <w:jc w:val="center"/>
            </w:pPr>
            <w:r>
              <w:rPr>
                <w:rFonts w:ascii="Calibri" w:cs="Calibri" w:eastAsia="Calibri" w:hAnsi="Calibri"/>
                <w:b/>
                <w:bCs/>
                <w:color w:val="FFFFFF"/>
                <w:sz w:val="20"/>
                <w:szCs w:val="20"/>
              </w:rPr>
              <w:t xml:space="preserve">3d</w:t>
            </w:r>
          </w:p>
        </w:tc>
        <w:tc>
          <w:tcPr>
            <w:tcW w:type="dxa" w:w="1160"/>
            <w:shd w:fill="0A1628" w:val="clear"/>
            <w:vAlign w:val="center"/>
          </w:tcPr>
          <w:p>
            <w:pPr>
              <w:spacing w:after="40" w:before="40"/>
              <w:jc w:val="center"/>
            </w:pPr>
            <w:r>
              <w:rPr>
                <w:rFonts w:ascii="Calibri" w:cs="Calibri" w:eastAsia="Calibri" w:hAnsi="Calibri"/>
                <w:b/>
                <w:bCs/>
                <w:color w:val="FFFFFF"/>
                <w:sz w:val="20"/>
                <w:szCs w:val="20"/>
              </w:rPr>
              <w:t xml:space="preserve">Post-1d</w:t>
            </w:r>
          </w:p>
        </w:tc>
      </w:tr>
      <w:tr>
        <w:tc>
          <w:tcPr>
            <w:tcW w:type="dxa" w:w="1700"/>
            <w:shd w:fill="F5F5F5" w:val="clear"/>
            <w:vAlign w:val="center"/>
          </w:tcPr>
          <w:p>
            <w:pPr>
              <w:spacing w:after="40" w:before="40"/>
              <w:jc w:val="center"/>
            </w:pPr>
            <w:r>
              <w:rPr>
                <w:rFonts w:ascii="Calibri" w:cs="Calibri" w:eastAsia="Calibri" w:hAnsi="Calibri"/>
                <w:b w:val="false"/>
                <w:bCs w:val="false"/>
                <w:color w:val="1A1A1A"/>
                <w:sz w:val="20"/>
                <w:szCs w:val="20"/>
              </w:rPr>
              <w:t xml:space="preserve">Nano</w:t>
            </w:r>
          </w:p>
        </w:tc>
        <w:tc>
          <w:tcPr>
            <w:tcW w:type="dxa" w:w="1200"/>
            <w:shd w:fill="F5F5F5" w:val="clear"/>
            <w:vAlign w:val="center"/>
          </w:tcPr>
          <w:p>
            <w:pPr>
              <w:spacing w:after="40" w:before="40"/>
              <w:jc w:val="center"/>
            </w:pPr>
            <w:r>
              <w:rPr>
                <w:rFonts w:ascii="Calibri" w:cs="Calibri" w:eastAsia="Calibri" w:hAnsi="Calibri"/>
                <w:b w:val="false"/>
                <w:bCs w:val="false"/>
                <w:color w:val="1A1A1A"/>
                <w:sz w:val="20"/>
                <w:szCs w:val="20"/>
              </w:rPr>
              <w:t xml:space="preserve">+4.48</w:t>
            </w:r>
          </w:p>
        </w:tc>
        <w:tc>
          <w:tcPr>
            <w:tcW w:type="dxa" w:w="1200"/>
            <w:shd w:fill="F5F5F5" w:val="clear"/>
            <w:vAlign w:val="center"/>
          </w:tcPr>
          <w:p>
            <w:pPr>
              <w:spacing w:after="40" w:before="40"/>
              <w:jc w:val="center"/>
            </w:pPr>
            <w:r>
              <w:rPr>
                <w:rFonts w:ascii="Calibri" w:cs="Calibri" w:eastAsia="Calibri" w:hAnsi="Calibri"/>
                <w:b w:val="false"/>
                <w:bCs w:val="false"/>
                <w:color w:val="1A1A1A"/>
                <w:sz w:val="20"/>
                <w:szCs w:val="20"/>
              </w:rPr>
              <w:t xml:space="preserve">+0.66</w:t>
            </w:r>
          </w:p>
        </w:tc>
        <w:tc>
          <w:tcPr>
            <w:tcW w:type="dxa" w:w="1200"/>
            <w:shd w:fill="F5F5F5" w:val="clear"/>
            <w:vAlign w:val="center"/>
          </w:tcPr>
          <w:p>
            <w:pPr>
              <w:spacing w:after="40" w:before="40"/>
              <w:jc w:val="center"/>
            </w:pPr>
            <w:r>
              <w:rPr>
                <w:rFonts w:ascii="Calibri" w:cs="Calibri" w:eastAsia="Calibri" w:hAnsi="Calibri"/>
                <w:b w:val="false"/>
                <w:bCs w:val="false"/>
                <w:color w:val="1A1A1A"/>
                <w:sz w:val="20"/>
                <w:szCs w:val="20"/>
              </w:rPr>
              <w:t xml:space="preserve">+0.62</w:t>
            </w:r>
          </w:p>
        </w:tc>
        <w:tc>
          <w:tcPr>
            <w:tcW w:type="dxa" w:w="1200"/>
            <w:shd w:fill="F5F5F5" w:val="clear"/>
            <w:vAlign w:val="center"/>
          </w:tcPr>
          <w:p>
            <w:pPr>
              <w:spacing w:after="40" w:before="40"/>
              <w:jc w:val="center"/>
            </w:pPr>
            <w:r>
              <w:rPr>
                <w:rFonts w:ascii="Calibri" w:cs="Calibri" w:eastAsia="Calibri" w:hAnsi="Calibri"/>
                <w:b w:val="false"/>
                <w:bCs w:val="false"/>
                <w:color w:val="1A1A1A"/>
                <w:sz w:val="20"/>
                <w:szCs w:val="20"/>
              </w:rPr>
              <w:t xml:space="preserve">-0.26</w:t>
            </w:r>
          </w:p>
        </w:tc>
        <w:tc>
          <w:tcPr>
            <w:tcW w:type="dxa" w:w="1200"/>
            <w:shd w:fill="F5F5F5" w:val="clear"/>
            <w:vAlign w:val="center"/>
          </w:tcPr>
          <w:p>
            <w:pPr>
              <w:spacing w:after="40" w:before="40"/>
              <w:jc w:val="center"/>
            </w:pPr>
            <w:r>
              <w:rPr>
                <w:rFonts w:ascii="Calibri" w:cs="Calibri" w:eastAsia="Calibri" w:hAnsi="Calibri"/>
                <w:b w:val="false"/>
                <w:bCs w:val="false"/>
                <w:color w:val="1A1A1A"/>
                <w:sz w:val="20"/>
                <w:szCs w:val="20"/>
              </w:rPr>
              <w:t xml:space="preserve">-0.34</w:t>
            </w:r>
          </w:p>
        </w:tc>
        <w:tc>
          <w:tcPr>
            <w:tcW w:type="dxa" w:w="1200"/>
            <w:shd w:fill="F5F5F5" w:val="clear"/>
            <w:vAlign w:val="center"/>
          </w:tcPr>
          <w:p>
            <w:pPr>
              <w:spacing w:after="40" w:before="40"/>
              <w:jc w:val="center"/>
            </w:pPr>
            <w:r>
              <w:rPr>
                <w:rFonts w:ascii="Calibri" w:cs="Calibri" w:eastAsia="Calibri" w:hAnsi="Calibri"/>
                <w:b w:val="false"/>
                <w:bCs w:val="false"/>
                <w:color w:val="1A1A1A"/>
                <w:sz w:val="20"/>
                <w:szCs w:val="20"/>
              </w:rPr>
              <w:t xml:space="preserve">-0.15</w:t>
            </w:r>
          </w:p>
        </w:tc>
        <w:tc>
          <w:tcPr>
            <w:tcW w:type="dxa" w:w="1160"/>
            <w:shd w:fill="F5F5F5" w:val="clear"/>
            <w:vAlign w:val="center"/>
          </w:tcPr>
          <w:p>
            <w:pPr>
              <w:spacing w:after="40" w:before="40"/>
              <w:jc w:val="center"/>
            </w:pPr>
            <w:r>
              <w:rPr>
                <w:rFonts w:ascii="Calibri" w:cs="Calibri" w:eastAsia="Calibri" w:hAnsi="Calibri"/>
                <w:b w:val="false"/>
                <w:bCs w:val="false"/>
                <w:color w:val="1A1A1A"/>
                <w:sz w:val="20"/>
                <w:szCs w:val="20"/>
              </w:rPr>
              <w:t xml:space="preserve">+2.65</w:t>
            </w:r>
          </w:p>
        </w:tc>
      </w:tr>
      <w:tr>
        <w:tc>
          <w:tcPr>
            <w:tcW w:type="dxa" w:w="1700"/>
            <w:shd w:fill="FFFFFF" w:val="clear"/>
            <w:vAlign w:val="center"/>
          </w:tcPr>
          <w:p>
            <w:pPr>
              <w:spacing w:after="40" w:before="40"/>
              <w:jc w:val="center"/>
            </w:pPr>
            <w:r>
              <w:rPr>
                <w:rFonts w:ascii="Calibri" w:cs="Calibri" w:eastAsia="Calibri" w:hAnsi="Calibri"/>
                <w:b w:val="false"/>
                <w:bCs w:val="false"/>
                <w:color w:val="1A1A1A"/>
                <w:sz w:val="20"/>
                <w:szCs w:val="20"/>
              </w:rPr>
              <w:t xml:space="preserve">Micro</w:t>
            </w:r>
          </w:p>
        </w:tc>
        <w:tc>
          <w:tcPr>
            <w:tcW w:type="dxa" w:w="1200"/>
            <w:shd w:fill="FFFFFF" w:val="clear"/>
            <w:vAlign w:val="center"/>
          </w:tcPr>
          <w:p>
            <w:pPr>
              <w:spacing w:after="40" w:before="40"/>
              <w:jc w:val="center"/>
            </w:pPr>
            <w:r>
              <w:rPr>
                <w:rFonts w:ascii="Calibri" w:cs="Calibri" w:eastAsia="Calibri" w:hAnsi="Calibri"/>
                <w:b w:val="false"/>
                <w:bCs w:val="false"/>
                <w:color w:val="1A1A1A"/>
                <w:sz w:val="20"/>
                <w:szCs w:val="20"/>
              </w:rPr>
              <w:t xml:space="preserve">+5.25</w:t>
            </w:r>
          </w:p>
        </w:tc>
        <w:tc>
          <w:tcPr>
            <w:tcW w:type="dxa" w:w="1200"/>
            <w:shd w:fill="FFFFFF" w:val="clear"/>
            <w:vAlign w:val="center"/>
          </w:tcPr>
          <w:p>
            <w:pPr>
              <w:spacing w:after="40" w:before="40"/>
              <w:jc w:val="center"/>
            </w:pPr>
            <w:r>
              <w:rPr>
                <w:rFonts w:ascii="Calibri" w:cs="Calibri" w:eastAsia="Calibri" w:hAnsi="Calibri"/>
                <w:b w:val="false"/>
                <w:bCs w:val="false"/>
                <w:color w:val="1A1A1A"/>
                <w:sz w:val="20"/>
                <w:szCs w:val="20"/>
              </w:rPr>
              <w:t xml:space="preserve">+5.15</w:t>
            </w:r>
          </w:p>
        </w:tc>
        <w:tc>
          <w:tcPr>
            <w:tcW w:type="dxa" w:w="1200"/>
            <w:shd w:fill="FFFFFF" w:val="clear"/>
            <w:vAlign w:val="center"/>
          </w:tcPr>
          <w:p>
            <w:pPr>
              <w:spacing w:after="40" w:before="40"/>
              <w:jc w:val="center"/>
            </w:pPr>
            <w:r>
              <w:rPr>
                <w:rFonts w:ascii="Calibri" w:cs="Calibri" w:eastAsia="Calibri" w:hAnsi="Calibri"/>
                <w:b w:val="false"/>
                <w:bCs w:val="false"/>
                <w:color w:val="1A1A1A"/>
                <w:sz w:val="20"/>
                <w:szCs w:val="20"/>
              </w:rPr>
              <w:t xml:space="preserve">+3.04</w:t>
            </w:r>
          </w:p>
        </w:tc>
        <w:tc>
          <w:tcPr>
            <w:tcW w:type="dxa" w:w="1200"/>
            <w:shd w:fill="FFFFFF" w:val="clear"/>
            <w:vAlign w:val="center"/>
          </w:tcPr>
          <w:p>
            <w:pPr>
              <w:spacing w:after="40" w:before="40"/>
              <w:jc w:val="center"/>
            </w:pPr>
            <w:r>
              <w:rPr>
                <w:rFonts w:ascii="Calibri" w:cs="Calibri" w:eastAsia="Calibri" w:hAnsi="Calibri"/>
                <w:b w:val="false"/>
                <w:bCs w:val="false"/>
                <w:color w:val="1A1A1A"/>
                <w:sz w:val="20"/>
                <w:szCs w:val="20"/>
              </w:rPr>
              <w:t xml:space="preserve">+1.28</w:t>
            </w:r>
          </w:p>
        </w:tc>
        <w:tc>
          <w:tcPr>
            <w:tcW w:type="dxa" w:w="1200"/>
            <w:shd w:fill="FFFFFF" w:val="clear"/>
            <w:vAlign w:val="center"/>
          </w:tcPr>
          <w:p>
            <w:pPr>
              <w:spacing w:after="40" w:before="40"/>
              <w:jc w:val="center"/>
            </w:pPr>
            <w:r>
              <w:rPr>
                <w:rFonts w:ascii="Calibri" w:cs="Calibri" w:eastAsia="Calibri" w:hAnsi="Calibri"/>
                <w:b w:val="false"/>
                <w:bCs w:val="false"/>
                <w:color w:val="1A1A1A"/>
                <w:sz w:val="20"/>
                <w:szCs w:val="20"/>
              </w:rPr>
              <w:t xml:space="preserve">+0.80</w:t>
            </w:r>
          </w:p>
        </w:tc>
        <w:tc>
          <w:tcPr>
            <w:tcW w:type="dxa" w:w="1200"/>
            <w:shd w:fill="FFFFFF" w:val="clear"/>
            <w:vAlign w:val="center"/>
          </w:tcPr>
          <w:p>
            <w:pPr>
              <w:spacing w:after="40" w:before="40"/>
              <w:jc w:val="center"/>
            </w:pPr>
            <w:r>
              <w:rPr>
                <w:rFonts w:ascii="Calibri" w:cs="Calibri" w:eastAsia="Calibri" w:hAnsi="Calibri"/>
                <w:b w:val="false"/>
                <w:bCs w:val="false"/>
                <w:color w:val="1A1A1A"/>
                <w:sz w:val="20"/>
                <w:szCs w:val="20"/>
              </w:rPr>
              <w:t xml:space="preserve">+0.11</w:t>
            </w:r>
          </w:p>
        </w:tc>
        <w:tc>
          <w:tcPr>
            <w:tcW w:type="dxa" w:w="1160"/>
            <w:shd w:fill="FFFFFF" w:val="clear"/>
            <w:vAlign w:val="center"/>
          </w:tcPr>
          <w:p>
            <w:pPr>
              <w:spacing w:after="40" w:before="40"/>
              <w:jc w:val="center"/>
            </w:pPr>
            <w:r>
              <w:rPr>
                <w:rFonts w:ascii="Calibri" w:cs="Calibri" w:eastAsia="Calibri" w:hAnsi="Calibri"/>
                <w:b w:val="false"/>
                <w:bCs w:val="false"/>
                <w:color w:val="1A1A1A"/>
                <w:sz w:val="20"/>
                <w:szCs w:val="20"/>
              </w:rPr>
              <w:t xml:space="preserve">-1.68</w:t>
            </w:r>
          </w:p>
        </w:tc>
      </w:tr>
      <w:tr>
        <w:tc>
          <w:tcPr>
            <w:tcW w:type="dxa" w:w="1700"/>
            <w:shd w:fill="F5F5F5" w:val="clear"/>
            <w:vAlign w:val="center"/>
          </w:tcPr>
          <w:p>
            <w:pPr>
              <w:spacing w:after="40" w:before="40"/>
              <w:jc w:val="center"/>
            </w:pPr>
            <w:r>
              <w:rPr>
                <w:rFonts w:ascii="Calibri" w:cs="Calibri" w:eastAsia="Calibri" w:hAnsi="Calibri"/>
                <w:b w:val="false"/>
                <w:bCs w:val="false"/>
                <w:color w:val="1A1A1A"/>
                <w:sz w:val="20"/>
                <w:szCs w:val="20"/>
              </w:rPr>
              <w:t xml:space="preserve">Small</w:t>
            </w:r>
          </w:p>
        </w:tc>
        <w:tc>
          <w:tcPr>
            <w:tcW w:type="dxa" w:w="1200"/>
            <w:shd w:fill="F5F5F5" w:val="clear"/>
            <w:vAlign w:val="center"/>
          </w:tcPr>
          <w:p>
            <w:pPr>
              <w:spacing w:after="40" w:before="40"/>
              <w:jc w:val="center"/>
            </w:pPr>
            <w:r>
              <w:rPr>
                <w:rFonts w:ascii="Calibri" w:cs="Calibri" w:eastAsia="Calibri" w:hAnsi="Calibri"/>
                <w:b w:val="false"/>
                <w:bCs w:val="false"/>
                <w:color w:val="1A1A1A"/>
                <w:sz w:val="20"/>
                <w:szCs w:val="20"/>
              </w:rPr>
              <w:t xml:space="preserve">+2.88</w:t>
            </w:r>
          </w:p>
        </w:tc>
        <w:tc>
          <w:tcPr>
            <w:tcW w:type="dxa" w:w="1200"/>
            <w:shd w:fill="F5F5F5" w:val="clear"/>
            <w:vAlign w:val="center"/>
          </w:tcPr>
          <w:p>
            <w:pPr>
              <w:spacing w:after="40" w:before="40"/>
              <w:jc w:val="center"/>
            </w:pPr>
            <w:r>
              <w:rPr>
                <w:rFonts w:ascii="Calibri" w:cs="Calibri" w:eastAsia="Calibri" w:hAnsi="Calibri"/>
                <w:b w:val="false"/>
                <w:bCs w:val="false"/>
                <w:color w:val="1A1A1A"/>
                <w:sz w:val="20"/>
                <w:szCs w:val="20"/>
              </w:rPr>
              <w:t xml:space="preserve">+1.63</w:t>
            </w:r>
          </w:p>
        </w:tc>
        <w:tc>
          <w:tcPr>
            <w:tcW w:type="dxa" w:w="1200"/>
            <w:shd w:fill="F5F5F5" w:val="clear"/>
            <w:vAlign w:val="center"/>
          </w:tcPr>
          <w:p>
            <w:pPr>
              <w:spacing w:after="40" w:before="40"/>
              <w:jc w:val="center"/>
            </w:pPr>
            <w:r>
              <w:rPr>
                <w:rFonts w:ascii="Calibri" w:cs="Calibri" w:eastAsia="Calibri" w:hAnsi="Calibri"/>
                <w:b w:val="false"/>
                <w:bCs w:val="false"/>
                <w:color w:val="1A1A1A"/>
                <w:sz w:val="20"/>
                <w:szCs w:val="20"/>
              </w:rPr>
              <w:t xml:space="preserve">+2.16</w:t>
            </w:r>
          </w:p>
        </w:tc>
        <w:tc>
          <w:tcPr>
            <w:tcW w:type="dxa" w:w="1200"/>
            <w:shd w:fill="F5F5F5" w:val="clear"/>
            <w:vAlign w:val="center"/>
          </w:tcPr>
          <w:p>
            <w:pPr>
              <w:spacing w:after="40" w:before="40"/>
              <w:jc w:val="center"/>
            </w:pPr>
            <w:r>
              <w:rPr>
                <w:rFonts w:ascii="Calibri" w:cs="Calibri" w:eastAsia="Calibri" w:hAnsi="Calibri"/>
                <w:b w:val="false"/>
                <w:bCs w:val="false"/>
                <w:color w:val="1A1A1A"/>
                <w:sz w:val="20"/>
                <w:szCs w:val="20"/>
              </w:rPr>
              <w:t xml:space="preserve">+0.10</w:t>
            </w:r>
          </w:p>
        </w:tc>
        <w:tc>
          <w:tcPr>
            <w:tcW w:type="dxa" w:w="1200"/>
            <w:shd w:fill="F5F5F5" w:val="clear"/>
            <w:vAlign w:val="center"/>
          </w:tcPr>
          <w:p>
            <w:pPr>
              <w:spacing w:after="40" w:before="40"/>
              <w:jc w:val="center"/>
            </w:pPr>
            <w:r>
              <w:rPr>
                <w:rFonts w:ascii="Calibri" w:cs="Calibri" w:eastAsia="Calibri" w:hAnsi="Calibri"/>
                <w:b w:val="false"/>
                <w:bCs w:val="false"/>
                <w:color w:val="1A1A1A"/>
                <w:sz w:val="20"/>
                <w:szCs w:val="20"/>
              </w:rPr>
              <w:t xml:space="preserve">+0.10</w:t>
            </w:r>
          </w:p>
        </w:tc>
        <w:tc>
          <w:tcPr>
            <w:tcW w:type="dxa" w:w="1200"/>
            <w:shd w:fill="F5F5F5" w:val="clear"/>
            <w:vAlign w:val="center"/>
          </w:tcPr>
          <w:p>
            <w:pPr>
              <w:spacing w:after="40" w:before="40"/>
              <w:jc w:val="center"/>
            </w:pPr>
            <w:r>
              <w:rPr>
                <w:rFonts w:ascii="Calibri" w:cs="Calibri" w:eastAsia="Calibri" w:hAnsi="Calibri"/>
                <w:b w:val="false"/>
                <w:bCs w:val="false"/>
                <w:color w:val="1A1A1A"/>
                <w:sz w:val="20"/>
                <w:szCs w:val="20"/>
              </w:rPr>
              <w:t xml:space="preserve">-0.10</w:t>
            </w:r>
          </w:p>
        </w:tc>
        <w:tc>
          <w:tcPr>
            <w:tcW w:type="dxa" w:w="1160"/>
            <w:shd w:fill="F5F5F5" w:val="clear"/>
            <w:vAlign w:val="center"/>
          </w:tcPr>
          <w:p>
            <w:pPr>
              <w:spacing w:after="40" w:before="40"/>
              <w:jc w:val="center"/>
            </w:pPr>
            <w:r>
              <w:rPr>
                <w:rFonts w:ascii="Calibri" w:cs="Calibri" w:eastAsia="Calibri" w:hAnsi="Calibri"/>
                <w:b w:val="false"/>
                <w:bCs w:val="false"/>
                <w:color w:val="1A1A1A"/>
                <w:sz w:val="20"/>
                <w:szCs w:val="20"/>
              </w:rPr>
              <w:t xml:space="preserve">-0.25</w:t>
            </w:r>
          </w:p>
        </w:tc>
      </w:tr>
      <w:tr>
        <w:tc>
          <w:tcPr>
            <w:tcW w:type="dxa" w:w="1700"/>
            <w:shd w:fill="FFFFFF" w:val="clear"/>
            <w:vAlign w:val="center"/>
          </w:tcPr>
          <w:p>
            <w:pPr>
              <w:spacing w:after="40" w:before="40"/>
              <w:jc w:val="center"/>
            </w:pPr>
            <w:r>
              <w:rPr>
                <w:rFonts w:ascii="Calibri" w:cs="Calibri" w:eastAsia="Calibri" w:hAnsi="Calibri"/>
                <w:b w:val="false"/>
                <w:bCs w:val="false"/>
                <w:color w:val="1A1A1A"/>
                <w:sz w:val="20"/>
                <w:szCs w:val="20"/>
              </w:rPr>
              <w:t xml:space="preserve">Mid</w:t>
            </w:r>
          </w:p>
        </w:tc>
        <w:tc>
          <w:tcPr>
            <w:tcW w:type="dxa" w:w="1200"/>
            <w:shd w:fill="FFFFFF" w:val="clear"/>
            <w:vAlign w:val="center"/>
          </w:tcPr>
          <w:p>
            <w:pPr>
              <w:spacing w:after="40" w:before="40"/>
              <w:jc w:val="center"/>
            </w:pPr>
            <w:r>
              <w:rPr>
                <w:rFonts w:ascii="Calibri" w:cs="Calibri" w:eastAsia="Calibri" w:hAnsi="Calibri"/>
                <w:b w:val="false"/>
                <w:bCs w:val="false"/>
                <w:color w:val="1A1A1A"/>
                <w:sz w:val="20"/>
                <w:szCs w:val="20"/>
              </w:rPr>
              <w:t xml:space="preserve">+2.67</w:t>
            </w:r>
          </w:p>
        </w:tc>
        <w:tc>
          <w:tcPr>
            <w:tcW w:type="dxa" w:w="1200"/>
            <w:shd w:fill="FFFFFF" w:val="clear"/>
            <w:vAlign w:val="center"/>
          </w:tcPr>
          <w:p>
            <w:pPr>
              <w:spacing w:after="40" w:before="40"/>
              <w:jc w:val="center"/>
            </w:pPr>
            <w:r>
              <w:rPr>
                <w:rFonts w:ascii="Calibri" w:cs="Calibri" w:eastAsia="Calibri" w:hAnsi="Calibri"/>
                <w:b w:val="false"/>
                <w:bCs w:val="false"/>
                <w:color w:val="1A1A1A"/>
                <w:sz w:val="20"/>
                <w:szCs w:val="20"/>
              </w:rPr>
              <w:t xml:space="preserve">+1.56</w:t>
            </w:r>
          </w:p>
        </w:tc>
        <w:tc>
          <w:tcPr>
            <w:tcW w:type="dxa" w:w="1200"/>
            <w:shd w:fill="FFFFFF" w:val="clear"/>
            <w:vAlign w:val="center"/>
          </w:tcPr>
          <w:p>
            <w:pPr>
              <w:spacing w:after="40" w:before="40"/>
              <w:jc w:val="center"/>
            </w:pPr>
            <w:r>
              <w:rPr>
                <w:rFonts w:ascii="Calibri" w:cs="Calibri" w:eastAsia="Calibri" w:hAnsi="Calibri"/>
                <w:b w:val="false"/>
                <w:bCs w:val="false"/>
                <w:color w:val="1A1A1A"/>
                <w:sz w:val="20"/>
                <w:szCs w:val="20"/>
              </w:rPr>
              <w:t xml:space="preserve">+0.90</w:t>
            </w:r>
          </w:p>
        </w:tc>
        <w:tc>
          <w:tcPr>
            <w:tcW w:type="dxa" w:w="1200"/>
            <w:shd w:fill="FFFFFF" w:val="clear"/>
            <w:vAlign w:val="center"/>
          </w:tcPr>
          <w:p>
            <w:pPr>
              <w:spacing w:after="40" w:before="40"/>
              <w:jc w:val="center"/>
            </w:pPr>
            <w:r>
              <w:rPr>
                <w:rFonts w:ascii="Calibri" w:cs="Calibri" w:eastAsia="Calibri" w:hAnsi="Calibri"/>
                <w:b w:val="false"/>
                <w:bCs w:val="false"/>
                <w:color w:val="1A1A1A"/>
                <w:sz w:val="20"/>
                <w:szCs w:val="20"/>
              </w:rPr>
              <w:t xml:space="preserve">-0.21</w:t>
            </w:r>
          </w:p>
        </w:tc>
        <w:tc>
          <w:tcPr>
            <w:tcW w:type="dxa" w:w="1200"/>
            <w:shd w:fill="FFFFFF" w:val="clear"/>
            <w:vAlign w:val="center"/>
          </w:tcPr>
          <w:p>
            <w:pPr>
              <w:spacing w:after="40" w:before="40"/>
              <w:jc w:val="center"/>
            </w:pPr>
            <w:r>
              <w:rPr>
                <w:rFonts w:ascii="Calibri" w:cs="Calibri" w:eastAsia="Calibri" w:hAnsi="Calibri"/>
                <w:b w:val="false"/>
                <w:bCs w:val="false"/>
                <w:color w:val="1A1A1A"/>
                <w:sz w:val="20"/>
                <w:szCs w:val="20"/>
              </w:rPr>
              <w:t xml:space="preserve">-0.20</w:t>
            </w:r>
          </w:p>
        </w:tc>
        <w:tc>
          <w:tcPr>
            <w:tcW w:type="dxa" w:w="1200"/>
            <w:shd w:fill="FFFFFF" w:val="clear"/>
            <w:vAlign w:val="center"/>
          </w:tcPr>
          <w:p>
            <w:pPr>
              <w:spacing w:after="40" w:before="40"/>
              <w:jc w:val="center"/>
            </w:pPr>
            <w:r>
              <w:rPr>
                <w:rFonts w:ascii="Calibri" w:cs="Calibri" w:eastAsia="Calibri" w:hAnsi="Calibri"/>
                <w:b w:val="false"/>
                <w:bCs w:val="false"/>
                <w:color w:val="1A1A1A"/>
                <w:sz w:val="20"/>
                <w:szCs w:val="20"/>
              </w:rPr>
              <w:t xml:space="preserve">+0.10</w:t>
            </w:r>
          </w:p>
        </w:tc>
        <w:tc>
          <w:tcPr>
            <w:tcW w:type="dxa" w:w="1160"/>
            <w:shd w:fill="FFFFFF" w:val="clear"/>
            <w:vAlign w:val="center"/>
          </w:tcPr>
          <w:p>
            <w:pPr>
              <w:spacing w:after="40" w:before="40"/>
              <w:jc w:val="center"/>
            </w:pPr>
            <w:r>
              <w:rPr>
                <w:rFonts w:ascii="Calibri" w:cs="Calibri" w:eastAsia="Calibri" w:hAnsi="Calibri"/>
                <w:b w:val="false"/>
                <w:bCs w:val="false"/>
                <w:color w:val="1A1A1A"/>
                <w:sz w:val="20"/>
                <w:szCs w:val="20"/>
              </w:rPr>
              <w:t xml:space="preserve">-0.51</w:t>
            </w:r>
          </w:p>
        </w:tc>
      </w:tr>
      <w:tr>
        <w:tc>
          <w:tcPr>
            <w:tcW w:type="dxa" w:w="1700"/>
            <w:shd w:fill="F5F5F5" w:val="clear"/>
            <w:vAlign w:val="center"/>
          </w:tcPr>
          <w:p>
            <w:pPr>
              <w:spacing w:after="40" w:before="40"/>
              <w:jc w:val="center"/>
            </w:pPr>
            <w:r>
              <w:rPr>
                <w:rFonts w:ascii="Calibri" w:cs="Calibri" w:eastAsia="Calibri" w:hAnsi="Calibri"/>
                <w:b w:val="false"/>
                <w:bCs w:val="false"/>
                <w:color w:val="1A1A1A"/>
                <w:sz w:val="20"/>
                <w:szCs w:val="20"/>
              </w:rPr>
              <w:t xml:space="preserve">Large</w:t>
            </w:r>
          </w:p>
        </w:tc>
        <w:tc>
          <w:tcPr>
            <w:tcW w:type="dxa" w:w="1200"/>
            <w:shd w:fill="F5F5F5" w:val="clear"/>
            <w:vAlign w:val="center"/>
          </w:tcPr>
          <w:p>
            <w:pPr>
              <w:spacing w:after="40" w:before="40"/>
              <w:jc w:val="center"/>
            </w:pPr>
            <w:r>
              <w:rPr>
                <w:rFonts w:ascii="Calibri" w:cs="Calibri" w:eastAsia="Calibri" w:hAnsi="Calibri"/>
                <w:b w:val="false"/>
                <w:bCs w:val="false"/>
                <w:color w:val="1A1A1A"/>
                <w:sz w:val="20"/>
                <w:szCs w:val="20"/>
              </w:rPr>
              <w:t xml:space="preserve">+1.38</w:t>
            </w:r>
          </w:p>
        </w:tc>
        <w:tc>
          <w:tcPr>
            <w:tcW w:type="dxa" w:w="1200"/>
            <w:shd w:fill="F5F5F5" w:val="clear"/>
            <w:vAlign w:val="center"/>
          </w:tcPr>
          <w:p>
            <w:pPr>
              <w:spacing w:after="40" w:before="40"/>
              <w:jc w:val="center"/>
            </w:pPr>
            <w:r>
              <w:rPr>
                <w:rFonts w:ascii="Calibri" w:cs="Calibri" w:eastAsia="Calibri" w:hAnsi="Calibri"/>
                <w:b w:val="false"/>
                <w:bCs w:val="false"/>
                <w:color w:val="1A1A1A"/>
                <w:sz w:val="20"/>
                <w:szCs w:val="20"/>
              </w:rPr>
              <w:t xml:space="preserve">+0.80</w:t>
            </w:r>
          </w:p>
        </w:tc>
        <w:tc>
          <w:tcPr>
            <w:tcW w:type="dxa" w:w="1200"/>
            <w:shd w:fill="F5F5F5" w:val="clear"/>
            <w:vAlign w:val="center"/>
          </w:tcPr>
          <w:p>
            <w:pPr>
              <w:spacing w:after="40" w:before="40"/>
              <w:jc w:val="center"/>
            </w:pPr>
            <w:r>
              <w:rPr>
                <w:rFonts w:ascii="Calibri" w:cs="Calibri" w:eastAsia="Calibri" w:hAnsi="Calibri"/>
                <w:b w:val="false"/>
                <w:bCs w:val="false"/>
                <w:color w:val="1A1A1A"/>
                <w:sz w:val="20"/>
                <w:szCs w:val="20"/>
              </w:rPr>
              <w:t xml:space="preserve">+0.30</w:t>
            </w:r>
          </w:p>
        </w:tc>
        <w:tc>
          <w:tcPr>
            <w:tcW w:type="dxa" w:w="1200"/>
            <w:shd w:fill="F5F5F5" w:val="clear"/>
            <w:vAlign w:val="center"/>
          </w:tcPr>
          <w:p>
            <w:pPr>
              <w:spacing w:after="40" w:before="40"/>
              <w:jc w:val="center"/>
            </w:pPr>
            <w:r>
              <w:rPr>
                <w:rFonts w:ascii="Calibri" w:cs="Calibri" w:eastAsia="Calibri" w:hAnsi="Calibri"/>
                <w:b w:val="false"/>
                <w:bCs w:val="false"/>
                <w:color w:val="1A1A1A"/>
                <w:sz w:val="20"/>
                <w:szCs w:val="20"/>
              </w:rPr>
              <w:t xml:space="preserve">-0.05</w:t>
            </w:r>
          </w:p>
        </w:tc>
        <w:tc>
          <w:tcPr>
            <w:tcW w:type="dxa" w:w="1200"/>
            <w:shd w:fill="F5F5F5" w:val="clear"/>
            <w:vAlign w:val="center"/>
          </w:tcPr>
          <w:p>
            <w:pPr>
              <w:spacing w:after="40" w:before="40"/>
              <w:jc w:val="center"/>
            </w:pPr>
            <w:r>
              <w:rPr>
                <w:rFonts w:ascii="Calibri" w:cs="Calibri" w:eastAsia="Calibri" w:hAnsi="Calibri"/>
                <w:b w:val="false"/>
                <w:bCs w:val="false"/>
                <w:color w:val="1A1A1A"/>
                <w:sz w:val="20"/>
                <w:szCs w:val="20"/>
              </w:rPr>
              <w:t xml:space="preserve">-0.06</w:t>
            </w:r>
          </w:p>
        </w:tc>
        <w:tc>
          <w:tcPr>
            <w:tcW w:type="dxa" w:w="1200"/>
            <w:shd w:fill="F5F5F5" w:val="clear"/>
            <w:vAlign w:val="center"/>
          </w:tcPr>
          <w:p>
            <w:pPr>
              <w:spacing w:after="40" w:before="40"/>
              <w:jc w:val="center"/>
            </w:pPr>
            <w:r>
              <w:rPr>
                <w:rFonts w:ascii="Calibri" w:cs="Calibri" w:eastAsia="Calibri" w:hAnsi="Calibri"/>
                <w:b w:val="false"/>
                <w:bCs w:val="false"/>
                <w:color w:val="1A1A1A"/>
                <w:sz w:val="20"/>
                <w:szCs w:val="20"/>
              </w:rPr>
              <w:t xml:space="preserve">-0.11</w:t>
            </w:r>
          </w:p>
        </w:tc>
        <w:tc>
          <w:tcPr>
            <w:tcW w:type="dxa" w:w="1160"/>
            <w:shd w:fill="F5F5F5" w:val="clear"/>
            <w:vAlign w:val="center"/>
          </w:tcPr>
          <w:p>
            <w:pPr>
              <w:spacing w:after="40" w:before="40"/>
              <w:jc w:val="center"/>
            </w:pPr>
            <w:r>
              <w:rPr>
                <w:rFonts w:ascii="Calibri" w:cs="Calibri" w:eastAsia="Calibri" w:hAnsi="Calibri"/>
                <w:b w:val="false"/>
                <w:bCs w:val="false"/>
                <w:color w:val="1A1A1A"/>
                <w:sz w:val="20"/>
                <w:szCs w:val="20"/>
              </w:rPr>
              <w:t xml:space="preserve">+0.12</w:t>
            </w:r>
          </w:p>
        </w:tc>
      </w:tr>
    </w:tbl>
    <w:p>
      <w:pPr>
        <w:spacing w:after="120" w:before="0"/>
        <w:jc w:val="left"/>
      </w:pPr>
      <w:r>
        <w:rPr>
          <w:rFonts w:ascii="Calibri" w:cs="Calibri" w:eastAsia="Calibri" w:hAnsi="Calibri"/>
          <w:b/>
          <w:bCs/>
          <w:i w:val="false"/>
          <w:iCs w:val="false"/>
          <w:color w:val="0A1628"/>
          <w:sz w:val="22"/>
          <w:szCs w:val="22"/>
        </w:rPr>
        <w:t xml:space="preserve">Micro-caps lead every runup window. </w:t>
      </w:r>
      <w:r>
        <w:rPr>
          <w:rFonts w:ascii="Calibri" w:cs="Calibri" w:eastAsia="Calibri" w:hAnsi="Calibri"/>
          <w:b w:val="false"/>
          <w:bCs w:val="false"/>
          <w:i w:val="false"/>
          <w:iCs w:val="false"/>
          <w:color w:val="1A1A1A"/>
          <w:sz w:val="22"/>
          <w:szCs w:val="22"/>
        </w:rPr>
        <w:t xml:space="preserve">The +5.25% 30-day and +3.04% 14-day average runup for micro-caps dwarfs the +1.38% / +0.30% seen in large-caps. However, micro-caps also suffer -1.68% average post-day reactions, meaning much of the pre-catalyst enthusiasm evaporates on the event itself. This creates the core trading thesis: capture the runup, exit before the event for lower-conviction plays.</w:t>
      </w:r>
    </w:p>
    <w:p>
      <w:pPr>
        <w:pStyle w:val="Heading1"/>
        <w:spacing w:after="150" w:before="300"/>
      </w:pPr>
      <w:r>
        <w:rPr>
          <w:rFonts w:ascii="Calibri" w:cs="Calibri" w:eastAsia="Calibri" w:hAnsi="Calibri"/>
          <w:b/>
          <w:bCs/>
          <w:color w:val="0A1628"/>
          <w:sz w:val="32"/>
          <w:szCs w:val="32"/>
        </w:rPr>
        <w:t xml:space="preserve">3. ODIN Tier x Market Cap Matrix</w:t>
      </w:r>
    </w:p>
    <w:p>
      <w:pPr>
        <w:spacing w:after="120"/>
      </w:pPr>
      <w:r>
        <w:rPr>
          <w:rFonts w:ascii="Calibri" w:cs="Calibri" w:eastAsia="Calibri" w:hAnsi="Calibri"/>
          <w:b w:val="false"/>
          <w:bCs w:val="false"/>
          <w:i w:val="false"/>
          <w:iCs w:val="false"/>
          <w:color w:val="1A1A1A"/>
          <w:sz w:val="22"/>
          <w:szCs w:val="22"/>
        </w:rPr>
        <w:t xml:space="preserve">Cross-referencing ODIN v5 approval tiers with market cap tiers reveals actionable signal combinations. The matrix below shows average 14-day runup for each combination.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100"/>
        <w:gridCol w:w="2100"/>
        <w:gridCol w:w="1160"/>
      </w:tblGrid>
      <w:tr>
        <w:tc>
          <w:tcPr>
            <w:tcW w:type="dxa" w:w="2000"/>
            <w:shd w:fill="0A1628" w:val="clear"/>
            <w:vAlign w:val="center"/>
          </w:tcPr>
          <w:p>
            <w:pPr>
              <w:spacing w:after="40" w:before="40"/>
              <w:jc w:val="center"/>
            </w:pPr>
            <w:r>
              <w:rPr>
                <w:rFonts w:ascii="Calibri" w:cs="Calibri" w:eastAsia="Calibri" w:hAnsi="Calibri"/>
                <w:b/>
                <w:bCs/>
                <w:color w:val="FFFFFF"/>
                <w:sz w:val="20"/>
                <w:szCs w:val="20"/>
              </w:rPr>
              <w:t xml:space="preserve">Market Cap</w:t>
            </w:r>
          </w:p>
        </w:tc>
        <w:tc>
          <w:tcPr>
            <w:tcW w:type="dxa" w:w="2000"/>
            <w:shd w:fill="0A1628" w:val="clear"/>
            <w:vAlign w:val="center"/>
          </w:tcPr>
          <w:p>
            <w:pPr>
              <w:spacing w:after="40" w:before="40"/>
              <w:jc w:val="center"/>
            </w:pPr>
            <w:r>
              <w:rPr>
                <w:rFonts w:ascii="Calibri" w:cs="Calibri" w:eastAsia="Calibri" w:hAnsi="Calibri"/>
                <w:b/>
                <w:bCs/>
                <w:color w:val="FFFFFF"/>
                <w:sz w:val="20"/>
                <w:szCs w:val="20"/>
              </w:rPr>
              <w:t xml:space="preserve">T1 (&gt;=0.85)</w:t>
            </w:r>
          </w:p>
        </w:tc>
        <w:tc>
          <w:tcPr>
            <w:tcW w:type="dxa" w:w="2100"/>
            <w:shd w:fill="0A1628" w:val="clear"/>
            <w:vAlign w:val="center"/>
          </w:tcPr>
          <w:p>
            <w:pPr>
              <w:spacing w:after="40" w:before="40"/>
              <w:jc w:val="center"/>
            </w:pPr>
            <w:r>
              <w:rPr>
                <w:rFonts w:ascii="Calibri" w:cs="Calibri" w:eastAsia="Calibri" w:hAnsi="Calibri"/>
                <w:b/>
                <w:bCs/>
                <w:color w:val="FFFFFF"/>
                <w:sz w:val="20"/>
                <w:szCs w:val="20"/>
              </w:rPr>
              <w:t xml:space="preserve">T2 (0.65-0.85)</w:t>
            </w:r>
          </w:p>
        </w:tc>
        <w:tc>
          <w:tcPr>
            <w:tcW w:type="dxa" w:w="2100"/>
            <w:shd w:fill="0A1628" w:val="clear"/>
            <w:vAlign w:val="center"/>
          </w:tcPr>
          <w:p>
            <w:pPr>
              <w:spacing w:after="40" w:before="40"/>
              <w:jc w:val="center"/>
            </w:pPr>
            <w:r>
              <w:rPr>
                <w:rFonts w:ascii="Calibri" w:cs="Calibri" w:eastAsia="Calibri" w:hAnsi="Calibri"/>
                <w:b/>
                <w:bCs/>
                <w:color w:val="FFFFFF"/>
                <w:sz w:val="20"/>
                <w:szCs w:val="20"/>
              </w:rPr>
              <w:t xml:space="preserve">T3 (0.40-0.65)</w:t>
            </w:r>
          </w:p>
        </w:tc>
        <w:tc>
          <w:tcPr>
            <w:tcW w:type="dxa" w:w="1160"/>
            <w:shd w:fill="0A1628" w:val="clear"/>
            <w:vAlign w:val="center"/>
          </w:tcPr>
          <w:p>
            <w:pPr>
              <w:spacing w:after="40" w:before="40"/>
              <w:jc w:val="center"/>
            </w:pPr>
            <w:r>
              <w:rPr>
                <w:rFonts w:ascii="Calibri" w:cs="Calibri" w:eastAsia="Calibri" w:hAnsi="Calibri"/>
                <w:b/>
                <w:bCs/>
                <w:color w:val="FFFFFF"/>
                <w:sz w:val="20"/>
                <w:szCs w:val="20"/>
              </w:rPr>
              <w:t xml:space="preserve">T4 (&lt;0.40)</w:t>
            </w:r>
          </w:p>
        </w:tc>
      </w:tr>
      <w:tr>
        <w:tc>
          <w:tcPr>
            <w:tcW w:type="dxa" w:w="2000"/>
            <w:shd w:fill="F5F5F5" w:val="clear"/>
            <w:vAlign w:val="center"/>
          </w:tcPr>
          <w:p>
            <w:pPr>
              <w:spacing w:after="40" w:before="40"/>
              <w:jc w:val="center"/>
            </w:pPr>
            <w:r>
              <w:rPr>
                <w:rFonts w:ascii="Calibri" w:cs="Calibri" w:eastAsia="Calibri" w:hAnsi="Calibri"/>
                <w:b w:val="false"/>
                <w:bCs w:val="false"/>
                <w:color w:val="1A1A1A"/>
                <w:sz w:val="20"/>
                <w:szCs w:val="20"/>
              </w:rPr>
              <w:t xml:space="preserve">Nano</w:t>
            </w:r>
          </w:p>
        </w:tc>
        <w:tc>
          <w:tcPr>
            <w:tcW w:type="dxa" w:w="2000"/>
            <w:shd w:fill="F5F5F5" w:val="clear"/>
            <w:vAlign w:val="center"/>
          </w:tcPr>
          <w:p>
            <w:pPr>
              <w:spacing w:after="40" w:before="40"/>
              <w:jc w:val="center"/>
            </w:pPr>
            <w:r>
              <w:rPr>
                <w:rFonts w:ascii="Calibri" w:cs="Calibri" w:eastAsia="Calibri" w:hAnsi="Calibri"/>
                <w:b w:val="false"/>
                <w:bCs w:val="false"/>
                <w:color w:val="1A1A1A"/>
                <w:sz w:val="20"/>
                <w:szCs w:val="20"/>
              </w:rPr>
              <w:t xml:space="preserve">+0.15% (11)</w:t>
            </w:r>
          </w:p>
        </w:tc>
        <w:tc>
          <w:tcPr>
            <w:tcW w:type="dxa" w:w="2100"/>
            <w:shd w:fill="F5F5F5" w:val="clear"/>
            <w:vAlign w:val="center"/>
          </w:tcPr>
          <w:p>
            <w:pPr>
              <w:spacing w:after="40" w:before="40"/>
              <w:jc w:val="center"/>
            </w:pPr>
            <w:r>
              <w:rPr>
                <w:rFonts w:ascii="Calibri" w:cs="Calibri" w:eastAsia="Calibri" w:hAnsi="Calibri"/>
                <w:b w:val="false"/>
                <w:bCs w:val="false"/>
                <w:color w:val="1A1A1A"/>
                <w:sz w:val="20"/>
                <w:szCs w:val="20"/>
              </w:rPr>
              <w:t xml:space="preserve">-0.71% (31)</w:t>
            </w:r>
          </w:p>
        </w:tc>
        <w:tc>
          <w:tcPr>
            <w:tcW w:type="dxa" w:w="2100"/>
            <w:shd w:fill="F5F5F5" w:val="clear"/>
            <w:vAlign w:val="center"/>
          </w:tcPr>
          <w:p>
            <w:pPr>
              <w:spacing w:after="40" w:before="40"/>
              <w:jc w:val="center"/>
            </w:pPr>
            <w:r>
              <w:rPr>
                <w:rFonts w:ascii="Calibri" w:cs="Calibri" w:eastAsia="Calibri" w:hAnsi="Calibri"/>
                <w:b w:val="false"/>
                <w:bCs w:val="false"/>
                <w:color w:val="1A1A1A"/>
                <w:sz w:val="20"/>
                <w:szCs w:val="20"/>
              </w:rPr>
              <w:t xml:space="preserve">-3.54% (9)</w:t>
            </w:r>
          </w:p>
        </w:tc>
        <w:tc>
          <w:tcPr>
            <w:tcW w:type="dxa" w:w="1160"/>
            <w:shd w:fill="F5F5F5" w:val="clear"/>
            <w:vAlign w:val="center"/>
          </w:tcPr>
          <w:p>
            <w:pPr>
              <w:spacing w:after="40" w:before="40"/>
              <w:jc w:val="center"/>
            </w:pPr>
            <w:r>
              <w:rPr>
                <w:rFonts w:ascii="Calibri" w:cs="Calibri" w:eastAsia="Calibri" w:hAnsi="Calibri"/>
                <w:b w:val="false"/>
                <w:bCs w:val="false"/>
                <w:color w:val="1A1A1A"/>
                <w:sz w:val="20"/>
                <w:szCs w:val="20"/>
              </w:rPr>
              <w:t xml:space="preserve">+1.88% (66)</w:t>
            </w:r>
          </w:p>
        </w:tc>
      </w:tr>
      <w:tr>
        <w:tc>
          <w:tcPr>
            <w:tcW w:type="dxa" w:w="2000"/>
            <w:shd w:fill="FFFFFF" w:val="clear"/>
            <w:vAlign w:val="center"/>
          </w:tcPr>
          <w:p>
            <w:pPr>
              <w:spacing w:after="40" w:before="40"/>
              <w:jc w:val="center"/>
            </w:pPr>
            <w:r>
              <w:rPr>
                <w:rFonts w:ascii="Calibri" w:cs="Calibri" w:eastAsia="Calibri" w:hAnsi="Calibri"/>
                <w:b w:val="false"/>
                <w:bCs w:val="false"/>
                <w:color w:val="1A1A1A"/>
                <w:sz w:val="20"/>
                <w:szCs w:val="20"/>
              </w:rPr>
              <w:t xml:space="preserve">Micro</w:t>
            </w:r>
          </w:p>
        </w:tc>
        <w:tc>
          <w:tcPr>
            <w:tcW w:type="dxa" w:w="2000"/>
            <w:shd w:fill="FFFFFF" w:val="clear"/>
            <w:vAlign w:val="center"/>
          </w:tcPr>
          <w:p>
            <w:pPr>
              <w:spacing w:after="40" w:before="40"/>
              <w:jc w:val="center"/>
            </w:pPr>
            <w:r>
              <w:rPr>
                <w:rFonts w:ascii="Calibri" w:cs="Calibri" w:eastAsia="Calibri" w:hAnsi="Calibri"/>
                <w:b w:val="false"/>
                <w:bCs w:val="false"/>
                <w:color w:val="1A1A1A"/>
                <w:sz w:val="20"/>
                <w:szCs w:val="20"/>
              </w:rPr>
              <w:t xml:space="preserve">-2.05% (45)</w:t>
            </w:r>
          </w:p>
        </w:tc>
        <w:tc>
          <w:tcPr>
            <w:tcW w:type="dxa" w:w="2100"/>
            <w:shd w:fill="FFFFFF" w:val="clear"/>
            <w:vAlign w:val="center"/>
          </w:tcPr>
          <w:p>
            <w:pPr>
              <w:spacing w:after="40" w:before="40"/>
              <w:jc w:val="center"/>
            </w:pPr>
            <w:r>
              <w:rPr>
                <w:rFonts w:ascii="Calibri" w:cs="Calibri" w:eastAsia="Calibri" w:hAnsi="Calibri"/>
                <w:b w:val="false"/>
                <w:bCs w:val="false"/>
                <w:color w:val="1A1A1A"/>
                <w:sz w:val="20"/>
                <w:szCs w:val="20"/>
              </w:rPr>
              <w:t xml:space="preserve">-0.17% (131)</w:t>
            </w:r>
          </w:p>
        </w:tc>
        <w:tc>
          <w:tcPr>
            <w:tcW w:type="dxa" w:w="2100"/>
            <w:shd w:fill="FFFFFF" w:val="clear"/>
            <w:vAlign w:val="center"/>
          </w:tcPr>
          <w:p>
            <w:pPr>
              <w:spacing w:after="40" w:before="40"/>
              <w:jc w:val="center"/>
            </w:pPr>
            <w:r>
              <w:rPr>
                <w:rFonts w:ascii="Calibri" w:cs="Calibri" w:eastAsia="Calibri" w:hAnsi="Calibri"/>
                <w:b w:val="false"/>
                <w:bCs w:val="false"/>
                <w:color w:val="1A1A1A"/>
                <w:sz w:val="20"/>
                <w:szCs w:val="20"/>
              </w:rPr>
              <w:t xml:space="preserve">+16.80% (11)</w:t>
            </w:r>
          </w:p>
        </w:tc>
        <w:tc>
          <w:tcPr>
            <w:tcW w:type="dxa" w:w="1160"/>
            <w:shd w:fill="FFFFFF" w:val="clear"/>
            <w:vAlign w:val="center"/>
          </w:tcPr>
          <w:p>
            <w:pPr>
              <w:spacing w:after="40" w:before="40"/>
              <w:jc w:val="center"/>
            </w:pPr>
            <w:r>
              <w:rPr>
                <w:rFonts w:ascii="Calibri" w:cs="Calibri" w:eastAsia="Calibri" w:hAnsi="Calibri"/>
                <w:b w:val="false"/>
                <w:bCs w:val="false"/>
                <w:color w:val="1A1A1A"/>
                <w:sz w:val="20"/>
                <w:szCs w:val="20"/>
              </w:rPr>
              <w:t xml:space="preserve">+7.37% (115)</w:t>
            </w:r>
          </w:p>
        </w:tc>
      </w:tr>
      <w:tr>
        <w:tc>
          <w:tcPr>
            <w:tcW w:type="dxa" w:w="2000"/>
            <w:shd w:fill="F5F5F5" w:val="clear"/>
            <w:vAlign w:val="center"/>
          </w:tcPr>
          <w:p>
            <w:pPr>
              <w:spacing w:after="40" w:before="40"/>
              <w:jc w:val="center"/>
            </w:pPr>
            <w:r>
              <w:rPr>
                <w:rFonts w:ascii="Calibri" w:cs="Calibri" w:eastAsia="Calibri" w:hAnsi="Calibri"/>
                <w:b w:val="false"/>
                <w:bCs w:val="false"/>
                <w:color w:val="1A1A1A"/>
                <w:sz w:val="20"/>
                <w:szCs w:val="20"/>
              </w:rPr>
              <w:t xml:space="preserve">Small</w:t>
            </w:r>
          </w:p>
        </w:tc>
        <w:tc>
          <w:tcPr>
            <w:tcW w:type="dxa" w:w="2000"/>
            <w:shd w:fill="F5F5F5" w:val="clear"/>
            <w:vAlign w:val="center"/>
          </w:tcPr>
          <w:p>
            <w:pPr>
              <w:spacing w:after="40" w:before="40"/>
              <w:jc w:val="center"/>
            </w:pPr>
            <w:r>
              <w:rPr>
                <w:rFonts w:ascii="Calibri" w:cs="Calibri" w:eastAsia="Calibri" w:hAnsi="Calibri"/>
                <w:b w:val="false"/>
                <w:bCs w:val="false"/>
                <w:color w:val="1A1A1A"/>
                <w:sz w:val="20"/>
                <w:szCs w:val="20"/>
              </w:rPr>
              <w:t xml:space="preserve">+0.67% (51)</w:t>
            </w:r>
          </w:p>
        </w:tc>
        <w:tc>
          <w:tcPr>
            <w:tcW w:type="dxa" w:w="2100"/>
            <w:shd w:fill="F5F5F5" w:val="clear"/>
            <w:vAlign w:val="center"/>
          </w:tcPr>
          <w:p>
            <w:pPr>
              <w:spacing w:after="40" w:before="40"/>
              <w:jc w:val="center"/>
            </w:pPr>
            <w:r>
              <w:rPr>
                <w:rFonts w:ascii="Calibri" w:cs="Calibri" w:eastAsia="Calibri" w:hAnsi="Calibri"/>
                <w:b w:val="false"/>
                <w:bCs w:val="false"/>
                <w:color w:val="1A1A1A"/>
                <w:sz w:val="20"/>
                <w:szCs w:val="20"/>
              </w:rPr>
              <w:t xml:space="preserve">+2.71% (100)</w:t>
            </w:r>
          </w:p>
        </w:tc>
        <w:tc>
          <w:tcPr>
            <w:tcW w:type="dxa" w:w="2100"/>
            <w:shd w:fill="F5F5F5" w:val="clear"/>
            <w:vAlign w:val="center"/>
          </w:tcPr>
          <w:p>
            <w:pPr>
              <w:spacing w:after="40" w:before="40"/>
              <w:jc w:val="center"/>
            </w:pPr>
            <w:r>
              <w:rPr>
                <w:rFonts w:ascii="Calibri" w:cs="Calibri" w:eastAsia="Calibri" w:hAnsi="Calibri"/>
                <w:b w:val="false"/>
                <w:bCs w:val="false"/>
                <w:color w:val="1A1A1A"/>
                <w:sz w:val="20"/>
                <w:szCs w:val="20"/>
              </w:rPr>
              <w:t xml:space="preserve">-0.99% (10)</w:t>
            </w:r>
          </w:p>
        </w:tc>
        <w:tc>
          <w:tcPr>
            <w:tcW w:type="dxa" w:w="1160"/>
            <w:shd w:fill="F5F5F5" w:val="clear"/>
            <w:vAlign w:val="center"/>
          </w:tcPr>
          <w:p>
            <w:pPr>
              <w:spacing w:after="40" w:before="40"/>
              <w:jc w:val="center"/>
            </w:pPr>
            <w:r>
              <w:rPr>
                <w:rFonts w:ascii="Calibri" w:cs="Calibri" w:eastAsia="Calibri" w:hAnsi="Calibri"/>
                <w:b w:val="false"/>
                <w:bCs w:val="false"/>
                <w:color w:val="1A1A1A"/>
                <w:sz w:val="20"/>
                <w:szCs w:val="20"/>
              </w:rPr>
              <w:t xml:space="preserve">+2.62% (113)</w:t>
            </w:r>
          </w:p>
        </w:tc>
      </w:tr>
      <w:tr>
        <w:tc>
          <w:tcPr>
            <w:tcW w:type="dxa" w:w="2000"/>
            <w:shd w:fill="FFFFFF" w:val="clear"/>
            <w:vAlign w:val="center"/>
          </w:tcPr>
          <w:p>
            <w:pPr>
              <w:spacing w:after="40" w:before="40"/>
              <w:jc w:val="center"/>
            </w:pPr>
            <w:r>
              <w:rPr>
                <w:rFonts w:ascii="Calibri" w:cs="Calibri" w:eastAsia="Calibri" w:hAnsi="Calibri"/>
                <w:b w:val="false"/>
                <w:bCs w:val="false"/>
                <w:color w:val="1A1A1A"/>
                <w:sz w:val="20"/>
                <w:szCs w:val="20"/>
              </w:rPr>
              <w:t xml:space="preserve">Mid</w:t>
            </w:r>
          </w:p>
        </w:tc>
        <w:tc>
          <w:tcPr>
            <w:tcW w:type="dxa" w:w="2000"/>
            <w:shd w:fill="FFFFFF" w:val="clear"/>
            <w:vAlign w:val="center"/>
          </w:tcPr>
          <w:p>
            <w:pPr>
              <w:spacing w:after="40" w:before="40"/>
              <w:jc w:val="center"/>
            </w:pPr>
            <w:r>
              <w:rPr>
                <w:rFonts w:ascii="Calibri" w:cs="Calibri" w:eastAsia="Calibri" w:hAnsi="Calibri"/>
                <w:b w:val="false"/>
                <w:bCs w:val="false"/>
                <w:color w:val="1A1A1A"/>
                <w:sz w:val="20"/>
                <w:szCs w:val="20"/>
              </w:rPr>
              <w:t xml:space="preserve">+0.83% (58)</w:t>
            </w:r>
          </w:p>
        </w:tc>
        <w:tc>
          <w:tcPr>
            <w:tcW w:type="dxa" w:w="2100"/>
            <w:shd w:fill="FFFFFF" w:val="clear"/>
            <w:vAlign w:val="center"/>
          </w:tcPr>
          <w:p>
            <w:pPr>
              <w:spacing w:after="40" w:before="40"/>
              <w:jc w:val="center"/>
            </w:pPr>
            <w:r>
              <w:rPr>
                <w:rFonts w:ascii="Calibri" w:cs="Calibri" w:eastAsia="Calibri" w:hAnsi="Calibri"/>
                <w:b w:val="false"/>
                <w:bCs w:val="false"/>
                <w:color w:val="1A1A1A"/>
                <w:sz w:val="20"/>
                <w:szCs w:val="20"/>
              </w:rPr>
              <w:t xml:space="preserve">+2.07% (111)</w:t>
            </w:r>
          </w:p>
        </w:tc>
        <w:tc>
          <w:tcPr>
            <w:tcW w:type="dxa" w:w="2100"/>
            <w:shd w:fill="FFFFFF" w:val="clear"/>
            <w:vAlign w:val="center"/>
          </w:tcPr>
          <w:p>
            <w:pPr>
              <w:spacing w:after="40" w:before="40"/>
              <w:jc w:val="center"/>
            </w:pPr>
            <w:r>
              <w:rPr>
                <w:rFonts w:ascii="Calibri" w:cs="Calibri" w:eastAsia="Calibri" w:hAnsi="Calibri"/>
                <w:b w:val="false"/>
                <w:bCs w:val="false"/>
                <w:color w:val="1A1A1A"/>
                <w:sz w:val="20"/>
                <w:szCs w:val="20"/>
              </w:rPr>
              <w:t xml:space="preserve">+2.57% (11)</w:t>
            </w:r>
          </w:p>
        </w:tc>
        <w:tc>
          <w:tcPr>
            <w:tcW w:type="dxa" w:w="1160"/>
            <w:shd w:fill="FFFFFF" w:val="clear"/>
            <w:vAlign w:val="center"/>
          </w:tcPr>
          <w:p>
            <w:pPr>
              <w:spacing w:after="40" w:before="40"/>
              <w:jc w:val="center"/>
            </w:pPr>
            <w:r>
              <w:rPr>
                <w:rFonts w:ascii="Calibri" w:cs="Calibri" w:eastAsia="Calibri" w:hAnsi="Calibri"/>
                <w:b w:val="false"/>
                <w:bCs w:val="false"/>
                <w:color w:val="1A1A1A"/>
                <w:sz w:val="20"/>
                <w:szCs w:val="20"/>
              </w:rPr>
              <w:t xml:space="preserve">-2.54% (42)</w:t>
            </w:r>
          </w:p>
        </w:tc>
      </w:tr>
      <w:tr>
        <w:tc>
          <w:tcPr>
            <w:tcW w:type="dxa" w:w="2000"/>
            <w:shd w:fill="F5F5F5" w:val="clear"/>
            <w:vAlign w:val="center"/>
          </w:tcPr>
          <w:p>
            <w:pPr>
              <w:spacing w:after="40" w:before="40"/>
              <w:jc w:val="center"/>
            </w:pPr>
            <w:r>
              <w:rPr>
                <w:rFonts w:ascii="Calibri" w:cs="Calibri" w:eastAsia="Calibri" w:hAnsi="Calibri"/>
                <w:b w:val="false"/>
                <w:bCs w:val="false"/>
                <w:color w:val="1A1A1A"/>
                <w:sz w:val="20"/>
                <w:szCs w:val="20"/>
              </w:rPr>
              <w:t xml:space="preserve">Large</w:t>
            </w:r>
          </w:p>
        </w:tc>
        <w:tc>
          <w:tcPr>
            <w:tcW w:type="dxa" w:w="2000"/>
            <w:shd w:fill="F5F5F5" w:val="clear"/>
            <w:vAlign w:val="center"/>
          </w:tcPr>
          <w:p>
            <w:pPr>
              <w:spacing w:after="40" w:before="40"/>
              <w:jc w:val="center"/>
            </w:pPr>
            <w:r>
              <w:rPr>
                <w:rFonts w:ascii="Calibri" w:cs="Calibri" w:eastAsia="Calibri" w:hAnsi="Calibri"/>
                <w:b w:val="false"/>
                <w:bCs w:val="false"/>
                <w:color w:val="1A1A1A"/>
                <w:sz w:val="20"/>
                <w:szCs w:val="20"/>
              </w:rPr>
              <w:t xml:space="preserve">+0.06% (593)</w:t>
            </w:r>
          </w:p>
        </w:tc>
        <w:tc>
          <w:tcPr>
            <w:tcW w:type="dxa" w:w="2100"/>
            <w:shd w:fill="F5F5F5" w:val="clear"/>
            <w:vAlign w:val="center"/>
          </w:tcPr>
          <w:p>
            <w:pPr>
              <w:spacing w:after="40" w:before="40"/>
              <w:jc w:val="center"/>
            </w:pPr>
            <w:r>
              <w:rPr>
                <w:rFonts w:ascii="Calibri" w:cs="Calibri" w:eastAsia="Calibri" w:hAnsi="Calibri"/>
                <w:b w:val="false"/>
                <w:bCs w:val="false"/>
                <w:color w:val="1A1A1A"/>
                <w:sz w:val="20"/>
                <w:szCs w:val="20"/>
              </w:rPr>
              <w:t xml:space="preserve">+1.03% (96)</w:t>
            </w:r>
          </w:p>
        </w:tc>
        <w:tc>
          <w:tcPr>
            <w:tcW w:type="dxa" w:w="2100"/>
            <w:shd w:fill="F5F5F5" w:val="clear"/>
            <w:vAlign w:val="center"/>
          </w:tcPr>
          <w:p>
            <w:pPr>
              <w:spacing w:after="40" w:before="40"/>
              <w:jc w:val="center"/>
            </w:pPr>
            <w:r>
              <w:rPr>
                <w:rFonts w:ascii="Calibri" w:cs="Calibri" w:eastAsia="Calibri" w:hAnsi="Calibri"/>
                <w:b w:val="false"/>
                <w:bCs w:val="false"/>
                <w:color w:val="1A1A1A"/>
                <w:sz w:val="20"/>
                <w:szCs w:val="20"/>
              </w:rPr>
              <w:t xml:space="preserve">+3.35% (4)</w:t>
            </w:r>
          </w:p>
        </w:tc>
        <w:tc>
          <w:tcPr>
            <w:tcW w:type="dxa" w:w="1160"/>
            <w:shd w:fill="F5F5F5" w:val="clear"/>
            <w:vAlign w:val="center"/>
          </w:tcPr>
          <w:p>
            <w:pPr>
              <w:spacing w:after="40" w:before="40"/>
              <w:jc w:val="center"/>
            </w:pPr>
            <w:r>
              <w:rPr>
                <w:rFonts w:ascii="Calibri" w:cs="Calibri" w:eastAsia="Calibri" w:hAnsi="Calibri"/>
                <w:b w:val="false"/>
                <w:bCs w:val="false"/>
                <w:color w:val="1A1A1A"/>
                <w:sz w:val="20"/>
                <w:szCs w:val="20"/>
              </w:rPr>
              <w:t xml:space="preserve">+0.89% (97)</w:t>
            </w:r>
          </w:p>
        </w:tc>
      </w:tr>
    </w:tbl>
    <w:p>
      <w:pPr>
        <w:pStyle w:val="Heading2"/>
        <w:spacing w:after="150" w:before="300"/>
      </w:pPr>
      <w:r>
        <w:rPr>
          <w:rFonts w:ascii="Calibri" w:cs="Calibri" w:eastAsia="Calibri" w:hAnsi="Calibri"/>
          <w:b/>
          <w:bCs/>
          <w:color w:val="1E3A5F"/>
          <w:sz w:val="26"/>
          <w:szCs w:val="26"/>
        </w:rPr>
        <w:t xml:space="preserve">3.1 Critical Insights</w:t>
      </w:r>
    </w:p>
    <w:p>
      <w:pPr>
        <w:spacing w:after="120" w:before="0"/>
        <w:jc w:val="left"/>
      </w:pPr>
      <w:r>
        <w:rPr>
          <w:rFonts w:ascii="Calibri" w:cs="Calibri" w:eastAsia="Calibri" w:hAnsi="Calibri"/>
          <w:b/>
          <w:bCs/>
          <w:i w:val="false"/>
          <w:iCs w:val="false"/>
          <w:color w:val="CC0000"/>
          <w:sz w:val="22"/>
          <w:szCs w:val="22"/>
        </w:rPr>
        <w:t xml:space="preserve">Micro T4 Bull Trap: </w:t>
      </w:r>
      <w:r>
        <w:rPr>
          <w:rFonts w:ascii="Calibri" w:cs="Calibri" w:eastAsia="Calibri" w:hAnsi="Calibri"/>
          <w:b w:val="false"/>
          <w:bCs w:val="false"/>
          <w:i w:val="false"/>
          <w:iCs w:val="false"/>
          <w:color w:val="1A1A1A"/>
          <w:sz w:val="22"/>
          <w:szCs w:val="22"/>
        </w:rPr>
        <w:t xml:space="preserve">Micro-cap T4 events show +7.37% average 14-day runup despite only 17% approval rate. This is the most dangerous bull trap in the dataset. These stocks run up on retail speculation, then crash post-event. Strategy: NEVER hold through PDUFA on micro T4. Sell the runup 1-2 days before.</w:t>
      </w:r>
    </w:p>
    <w:p>
      <w:pPr>
        <w:spacing w:after="120" w:before="0"/>
        <w:jc w:val="left"/>
      </w:pPr>
      <w:r>
        <w:rPr>
          <w:rFonts w:ascii="Calibri" w:cs="Calibri" w:eastAsia="Calibri" w:hAnsi="Calibri"/>
          <w:b/>
          <w:bCs/>
          <w:i w:val="false"/>
          <w:iCs w:val="false"/>
          <w:color w:val="0D7A0D"/>
          <w:sz w:val="22"/>
          <w:szCs w:val="22"/>
        </w:rPr>
        <w:t xml:space="preserve">Small T2 Sweet Spot: </w:t>
      </w:r>
      <w:r>
        <w:rPr>
          <w:rFonts w:ascii="Calibri" w:cs="Calibri" w:eastAsia="Calibri" w:hAnsi="Calibri"/>
          <w:b w:val="false"/>
          <w:bCs w:val="false"/>
          <w:i w:val="false"/>
          <w:iCs w:val="false"/>
          <w:color w:val="1A1A1A"/>
          <w:sz w:val="22"/>
          <w:szCs w:val="22"/>
        </w:rPr>
        <w:t xml:space="preserve">Small-cap T2 events produce +2.71% 14-day runup with 81% approval rate. This is the highest risk-adjusted runup in the dataset: strong enough ODIN score to have real approval probability, small enough market cap to move meaningfully. Strategy: full position, hold through event.</w:t>
      </w:r>
    </w:p>
    <w:p>
      <w:pPr>
        <w:spacing w:after="120" w:before="0"/>
        <w:jc w:val="left"/>
      </w:pPr>
      <w:r>
        <w:rPr>
          <w:rFonts w:ascii="Calibri" w:cs="Calibri" w:eastAsia="Calibri" w:hAnsi="Calibri"/>
          <w:b/>
          <w:bCs/>
          <w:i w:val="false"/>
          <w:iCs w:val="false"/>
          <w:color w:val="0A1628"/>
          <w:sz w:val="22"/>
          <w:szCs w:val="22"/>
        </w:rPr>
        <w:t xml:space="preserve">Large T1 Grind: </w:t>
      </w:r>
      <w:r>
        <w:rPr>
          <w:rFonts w:ascii="Calibri" w:cs="Calibri" w:eastAsia="Calibri" w:hAnsi="Calibri"/>
          <w:b w:val="false"/>
          <w:bCs w:val="false"/>
          <w:i w:val="false"/>
          <w:iCs w:val="false"/>
          <w:color w:val="1A1A1A"/>
          <w:sz w:val="22"/>
          <w:szCs w:val="22"/>
        </w:rPr>
        <w:t xml:space="preserve">Large-cap T1 events (n=593, the bulk of the dataset) show only +0.06% 14-day runup despite 94% approval rate. The market already prices in high-probability approvals for mega-caps. Strategy: minimal pre-event position; value comes from post-event label expansion trades.</w:t>
      </w:r>
    </w:p>
    <w:p>
      <w:pPr>
        <w:spacing w:after="120" w:before="0"/>
        <w:jc w:val="left"/>
      </w:pPr>
      <w:r>
        <w:rPr>
          <w:rFonts w:ascii="Calibri" w:cs="Calibri" w:eastAsia="Calibri" w:hAnsi="Calibri"/>
          <w:b/>
          <w:bCs/>
          <w:i w:val="false"/>
          <w:iCs w:val="false"/>
          <w:color w:val="CC0000"/>
          <w:sz w:val="22"/>
          <w:szCs w:val="22"/>
        </w:rPr>
        <w:t xml:space="preserve">CRL Devastation by Market Cap: </w:t>
      </w:r>
      <w:r>
        <w:rPr>
          <w:rFonts w:ascii="Calibri" w:cs="Calibri" w:eastAsia="Calibri" w:hAnsi="Calibri"/>
          <w:b w:val="false"/>
          <w:bCs w:val="false"/>
          <w:i w:val="false"/>
          <w:iCs w:val="false"/>
          <w:color w:val="1A1A1A"/>
          <w:sz w:val="22"/>
          <w:szCs w:val="22"/>
        </w:rPr>
        <w:t xml:space="preserve">Micro-cap CRLs average +6.0% 14-day runup followed by -6.25% post-day crash. Mid-cap CRLs see -5.0% post-day. Large-cap CRLs only drop -0.56%. Lesson: the smaller the stock, the more violent the CRL reaction.</w:t>
      </w:r>
    </w:p>
    <w:p>
      <w:pPr>
        <w:pStyle w:val="Heading1"/>
        <w:spacing w:after="150" w:before="300"/>
      </w:pPr>
      <w:r>
        <w:rPr>
          <w:rFonts w:ascii="Calibri" w:cs="Calibri" w:eastAsia="Calibri" w:hAnsi="Calibri"/>
          <w:b/>
          <w:bCs/>
          <w:color w:val="0A1628"/>
          <w:sz w:val="32"/>
          <w:szCs w:val="32"/>
        </w:rPr>
        <w:t xml:space="preserve">4. Odin Capital 2026 Playbook</w:t>
      </w:r>
    </w:p>
    <w:p>
      <w:pPr>
        <w:spacing w:after="120"/>
      </w:pPr>
      <w:r>
        <w:rPr>
          <w:rFonts w:ascii="Calibri" w:cs="Calibri" w:eastAsia="Calibri" w:hAnsi="Calibri"/>
          <w:b w:val="false"/>
          <w:bCs w:val="false"/>
          <w:i w:val="false"/>
          <w:iCs w:val="false"/>
          <w:color w:val="1A1A1A"/>
          <w:sz w:val="22"/>
          <w:szCs w:val="22"/>
        </w:rPr>
        <w:t xml:space="preserve">The following play-by-play strategy governs Odin Capital's PDUFA trading for March-December 2026. Each signal type has defined entry, sizing, and exit rules.</w:t>
      </w:r>
    </w:p>
    <w:p>
      <w:pPr>
        <w:pStyle w:val="Heading2"/>
        <w:spacing w:after="150" w:before="300"/>
      </w:pPr>
      <w:r>
        <w:rPr>
          <w:rFonts w:ascii="Calibri" w:cs="Calibri" w:eastAsia="Calibri" w:hAnsi="Calibri"/>
          <w:b/>
          <w:bCs/>
          <w:color w:val="1E3A5F"/>
          <w:sz w:val="26"/>
          <w:szCs w:val="26"/>
        </w:rPr>
        <w:t xml:space="preserve">4.1 Signal A: Micro-Cap Momentum Capture</w:t>
      </w:r>
    </w:p>
    <w:p>
      <w:pPr>
        <w:spacing w:after="120" w:before="0"/>
        <w:jc w:val="left"/>
      </w:pPr>
      <w:r>
        <w:rPr>
          <w:rFonts w:ascii="Calibri" w:cs="Calibri" w:eastAsia="Calibri" w:hAnsi="Calibri"/>
          <w:b/>
          <w:bCs/>
          <w:i w:val="false"/>
          <w:iCs w:val="false"/>
          <w:color w:val="1A1A1A"/>
          <w:sz w:val="22"/>
          <w:szCs w:val="22"/>
        </w:rPr>
        <w:t xml:space="preserve">Target: </w:t>
      </w:r>
      <w:r>
        <w:rPr>
          <w:rFonts w:ascii="Calibri" w:cs="Calibri" w:eastAsia="Calibri" w:hAnsi="Calibri"/>
          <w:b w:val="false"/>
          <w:bCs w:val="false"/>
          <w:i w:val="false"/>
          <w:iCs w:val="false"/>
          <w:color w:val="1A1A1A"/>
          <w:sz w:val="22"/>
          <w:szCs w:val="22"/>
        </w:rPr>
        <w:t xml:space="preserve">Micro-cap ($50M-$300M) stocks with PDUFA dates 30+ days out</w:t>
      </w:r>
    </w:p>
    <w:p>
      <w:pPr>
        <w:spacing w:after="120" w:before="0"/>
        <w:jc w:val="left"/>
      </w:pPr>
      <w:r>
        <w:rPr>
          <w:rFonts w:ascii="Calibri" w:cs="Calibri" w:eastAsia="Calibri" w:hAnsi="Calibri"/>
          <w:b/>
          <w:bCs/>
          <w:i w:val="false"/>
          <w:iCs w:val="false"/>
          <w:color w:val="1A1A1A"/>
          <w:sz w:val="22"/>
          <w:szCs w:val="22"/>
        </w:rPr>
        <w:t xml:space="preserve">Entry: </w:t>
      </w:r>
      <w:r>
        <w:rPr>
          <w:rFonts w:ascii="Calibri" w:cs="Calibri" w:eastAsia="Calibri" w:hAnsi="Calibri"/>
          <w:b w:val="false"/>
          <w:bCs w:val="false"/>
          <w:i w:val="false"/>
          <w:iCs w:val="false"/>
          <w:color w:val="1A1A1A"/>
          <w:sz w:val="22"/>
          <w:szCs w:val="22"/>
        </w:rPr>
        <w:t xml:space="preserve">30 days before PDUFA. Micro-caps show +5.25% average 30-day runup.</w:t>
      </w:r>
    </w:p>
    <w:p>
      <w:pPr>
        <w:spacing w:after="120" w:before="0"/>
        <w:jc w:val="left"/>
      </w:pPr>
      <w:r>
        <w:rPr>
          <w:rFonts w:ascii="Calibri" w:cs="Calibri" w:eastAsia="Calibri" w:hAnsi="Calibri"/>
          <w:b/>
          <w:bCs/>
          <w:i w:val="false"/>
          <w:iCs w:val="false"/>
          <w:color w:val="1A1A1A"/>
          <w:sz w:val="22"/>
          <w:szCs w:val="22"/>
        </w:rPr>
        <w:t xml:space="preserve">Exit: </w:t>
      </w:r>
      <w:r>
        <w:rPr>
          <w:rFonts w:ascii="Calibri" w:cs="Calibri" w:eastAsia="Calibri" w:hAnsi="Calibri"/>
          <w:b w:val="false"/>
          <w:bCs w:val="false"/>
          <w:i w:val="false"/>
          <w:iCs w:val="false"/>
          <w:color w:val="1A1A1A"/>
          <w:sz w:val="22"/>
          <w:szCs w:val="22"/>
        </w:rPr>
        <w:t xml:space="preserve">For T3/T4 scores: EXIT 2 days before PDUFA (capture runup, avoid event risk). For T1/T2 scores: HOLD through event if conviction is high.</w:t>
      </w:r>
    </w:p>
    <w:p>
      <w:pPr>
        <w:spacing w:after="120" w:before="0"/>
        <w:jc w:val="left"/>
      </w:pPr>
      <w:r>
        <w:rPr>
          <w:rFonts w:ascii="Calibri" w:cs="Calibri" w:eastAsia="Calibri" w:hAnsi="Calibri"/>
          <w:b/>
          <w:bCs/>
          <w:i w:val="false"/>
          <w:iCs w:val="false"/>
          <w:color w:val="1A1A1A"/>
          <w:sz w:val="22"/>
          <w:szCs w:val="22"/>
        </w:rPr>
        <w:t xml:space="preserve">Position Size: </w:t>
      </w:r>
      <w:r>
        <w:rPr>
          <w:rFonts w:ascii="Calibri" w:cs="Calibri" w:eastAsia="Calibri" w:hAnsi="Calibri"/>
          <w:b w:val="false"/>
          <w:bCs w:val="false"/>
          <w:i w:val="false"/>
          <w:iCs w:val="false"/>
          <w:color w:val="1A1A1A"/>
          <w:sz w:val="22"/>
          <w:szCs w:val="22"/>
        </w:rPr>
        <w:t xml:space="preserve">T1/T2: 3-5% of portfolio. T3/T4: 1-2% (runup trade only, never hold through).</w:t>
      </w:r>
    </w:p>
    <w:p>
      <w:pPr>
        <w:spacing w:after="120" w:before="0"/>
        <w:jc w:val="left"/>
      </w:pPr>
      <w:r>
        <w:rPr>
          <w:rFonts w:ascii="Calibri" w:cs="Calibri" w:eastAsia="Calibri" w:hAnsi="Calibri"/>
          <w:b/>
          <w:bCs/>
          <w:i w:val="false"/>
          <w:iCs w:val="false"/>
          <w:color w:val="1A1A1A"/>
          <w:sz w:val="22"/>
          <w:szCs w:val="22"/>
        </w:rPr>
        <w:t xml:space="preserve">Edge: </w:t>
      </w:r>
      <w:r>
        <w:rPr>
          <w:rFonts w:ascii="Calibri" w:cs="Calibri" w:eastAsia="Calibri" w:hAnsi="Calibri"/>
          <w:b w:val="false"/>
          <w:bCs w:val="false"/>
          <w:i w:val="false"/>
          <w:iCs w:val="false"/>
          <w:color w:val="1A1A1A"/>
          <w:sz w:val="22"/>
          <w:szCs w:val="22"/>
        </w:rPr>
        <w:t xml:space="preserve">Captures the +5.25% average runup while avoiding the -1.68% average post-day disappointment for non-T1 events.</w:t>
      </w:r>
    </w:p>
    <w:p>
      <w:pPr>
        <w:pStyle w:val="Heading2"/>
        <w:spacing w:after="150" w:before="300"/>
      </w:pPr>
      <w:r>
        <w:rPr>
          <w:rFonts w:ascii="Calibri" w:cs="Calibri" w:eastAsia="Calibri" w:hAnsi="Calibri"/>
          <w:b/>
          <w:bCs/>
          <w:color w:val="1E3A5F"/>
          <w:sz w:val="26"/>
          <w:szCs w:val="26"/>
        </w:rPr>
        <w:t xml:space="preserve">4.2 Signal B: Small-Cap T2 Hold-Through</w:t>
      </w:r>
    </w:p>
    <w:p>
      <w:pPr>
        <w:spacing w:after="120" w:before="0"/>
        <w:jc w:val="left"/>
      </w:pPr>
      <w:r>
        <w:rPr>
          <w:rFonts w:ascii="Calibri" w:cs="Calibri" w:eastAsia="Calibri" w:hAnsi="Calibri"/>
          <w:b/>
          <w:bCs/>
          <w:i w:val="false"/>
          <w:iCs w:val="false"/>
          <w:color w:val="1A1A1A"/>
          <w:sz w:val="22"/>
          <w:szCs w:val="22"/>
        </w:rPr>
        <w:t xml:space="preserve">Target: </w:t>
      </w:r>
      <w:r>
        <w:rPr>
          <w:rFonts w:ascii="Calibri" w:cs="Calibri" w:eastAsia="Calibri" w:hAnsi="Calibri"/>
          <w:b w:val="false"/>
          <w:bCs w:val="false"/>
          <w:i w:val="false"/>
          <w:iCs w:val="false"/>
          <w:color w:val="1A1A1A"/>
          <w:sz w:val="22"/>
          <w:szCs w:val="22"/>
        </w:rPr>
        <w:t xml:space="preserve">Small-cap ($300M-$2B) stocks scoring T2 (0.65-0.85)</w:t>
      </w:r>
    </w:p>
    <w:p>
      <w:pPr>
        <w:spacing w:after="120" w:before="0"/>
        <w:jc w:val="left"/>
      </w:pPr>
      <w:r>
        <w:rPr>
          <w:rFonts w:ascii="Calibri" w:cs="Calibri" w:eastAsia="Calibri" w:hAnsi="Calibri"/>
          <w:b/>
          <w:bCs/>
          <w:i w:val="false"/>
          <w:iCs w:val="false"/>
          <w:color w:val="1A1A1A"/>
          <w:sz w:val="22"/>
          <w:szCs w:val="22"/>
        </w:rPr>
        <w:t xml:space="preserve">Entry: </w:t>
      </w:r>
      <w:r>
        <w:rPr>
          <w:rFonts w:ascii="Calibri" w:cs="Calibri" w:eastAsia="Calibri" w:hAnsi="Calibri"/>
          <w:b w:val="false"/>
          <w:bCs w:val="false"/>
          <w:i w:val="false"/>
          <w:iCs w:val="false"/>
          <w:color w:val="1A1A1A"/>
          <w:sz w:val="22"/>
          <w:szCs w:val="22"/>
        </w:rPr>
        <w:t xml:space="preserve">14 days before PDUFA. Small T2 averages +2.71% over this window.</w:t>
      </w:r>
    </w:p>
    <w:p>
      <w:pPr>
        <w:spacing w:after="120" w:before="0"/>
        <w:jc w:val="left"/>
      </w:pPr>
      <w:r>
        <w:rPr>
          <w:rFonts w:ascii="Calibri" w:cs="Calibri" w:eastAsia="Calibri" w:hAnsi="Calibri"/>
          <w:b/>
          <w:bCs/>
          <w:i w:val="false"/>
          <w:iCs w:val="false"/>
          <w:color w:val="1A1A1A"/>
          <w:sz w:val="22"/>
          <w:szCs w:val="22"/>
        </w:rPr>
        <w:t xml:space="preserve">Exit: </w:t>
      </w:r>
      <w:r>
        <w:rPr>
          <w:rFonts w:ascii="Calibri" w:cs="Calibri" w:eastAsia="Calibri" w:hAnsi="Calibri"/>
          <w:b w:val="false"/>
          <w:bCs w:val="false"/>
          <w:i w:val="false"/>
          <w:iCs w:val="false"/>
          <w:color w:val="1A1A1A"/>
          <w:sz w:val="22"/>
          <w:szCs w:val="22"/>
        </w:rPr>
        <w:t xml:space="preserve">HOLD through event. 81% approval rate provides strong risk/reward for binary outcome.</w:t>
      </w:r>
    </w:p>
    <w:p>
      <w:pPr>
        <w:spacing w:after="120" w:before="0"/>
        <w:jc w:val="left"/>
      </w:pPr>
      <w:r>
        <w:rPr>
          <w:rFonts w:ascii="Calibri" w:cs="Calibri" w:eastAsia="Calibri" w:hAnsi="Calibri"/>
          <w:b/>
          <w:bCs/>
          <w:i w:val="false"/>
          <w:iCs w:val="false"/>
          <w:color w:val="1A1A1A"/>
          <w:sz w:val="22"/>
          <w:szCs w:val="22"/>
        </w:rPr>
        <w:t xml:space="preserve">Position Size: </w:t>
      </w:r>
      <w:r>
        <w:rPr>
          <w:rFonts w:ascii="Calibri" w:cs="Calibri" w:eastAsia="Calibri" w:hAnsi="Calibri"/>
          <w:b w:val="false"/>
          <w:bCs w:val="false"/>
          <w:i w:val="false"/>
          <w:iCs w:val="false"/>
          <w:color w:val="1A1A1A"/>
          <w:sz w:val="22"/>
          <w:szCs w:val="22"/>
        </w:rPr>
        <w:t xml:space="preserve">4-6% of portfolio. This is the highest-conviction play in the book.</w:t>
      </w:r>
    </w:p>
    <w:p>
      <w:pPr>
        <w:spacing w:after="120" w:before="0"/>
        <w:jc w:val="left"/>
      </w:pPr>
      <w:r>
        <w:rPr>
          <w:rFonts w:ascii="Calibri" w:cs="Calibri" w:eastAsia="Calibri" w:hAnsi="Calibri"/>
          <w:b/>
          <w:bCs/>
          <w:i w:val="false"/>
          <w:iCs w:val="false"/>
          <w:color w:val="1A1A1A"/>
          <w:sz w:val="22"/>
          <w:szCs w:val="22"/>
        </w:rPr>
        <w:t xml:space="preserve">Stop: </w:t>
      </w:r>
      <w:r>
        <w:rPr>
          <w:rFonts w:ascii="Calibri" w:cs="Calibri" w:eastAsia="Calibri" w:hAnsi="Calibri"/>
          <w:b w:val="false"/>
          <w:bCs w:val="false"/>
          <w:i w:val="false"/>
          <w:iCs w:val="false"/>
          <w:color w:val="1A1A1A"/>
          <w:sz w:val="22"/>
          <w:szCs w:val="22"/>
        </w:rPr>
        <w:t xml:space="preserve">If ODIN score degrades below 0.65 before event (new CRL info, AdCom trouble), exit immediately.</w:t>
      </w:r>
    </w:p>
    <w:p>
      <w:pPr>
        <w:pStyle w:val="Heading2"/>
        <w:spacing w:after="150" w:before="300"/>
      </w:pPr>
      <w:r>
        <w:rPr>
          <w:rFonts w:ascii="Calibri" w:cs="Calibri" w:eastAsia="Calibri" w:hAnsi="Calibri"/>
          <w:b/>
          <w:bCs/>
          <w:color w:val="1E3A5F"/>
          <w:sz w:val="26"/>
          <w:szCs w:val="26"/>
        </w:rPr>
        <w:t xml:space="preserve">4.3 Signal C: Small T1 Full Conviction</w:t>
      </w:r>
    </w:p>
    <w:p>
      <w:pPr>
        <w:spacing w:after="120" w:before="0"/>
        <w:jc w:val="left"/>
      </w:pPr>
      <w:r>
        <w:rPr>
          <w:rFonts w:ascii="Calibri" w:cs="Calibri" w:eastAsia="Calibri" w:hAnsi="Calibri"/>
          <w:b/>
          <w:bCs/>
          <w:i w:val="false"/>
          <w:iCs w:val="false"/>
          <w:color w:val="1A1A1A"/>
          <w:sz w:val="22"/>
          <w:szCs w:val="22"/>
        </w:rPr>
        <w:t xml:space="preserve">Target: </w:t>
      </w:r>
      <w:r>
        <w:rPr>
          <w:rFonts w:ascii="Calibri" w:cs="Calibri" w:eastAsia="Calibri" w:hAnsi="Calibri"/>
          <w:b w:val="false"/>
          <w:bCs w:val="false"/>
          <w:i w:val="false"/>
          <w:iCs w:val="false"/>
          <w:color w:val="1A1A1A"/>
          <w:sz w:val="22"/>
          <w:szCs w:val="22"/>
        </w:rPr>
        <w:t xml:space="preserve">Small-cap ($300M-$2B) stocks scoring T1 (&gt;=0.85)</w:t>
      </w:r>
    </w:p>
    <w:p>
      <w:pPr>
        <w:spacing w:after="120" w:before="0"/>
        <w:jc w:val="left"/>
      </w:pPr>
      <w:r>
        <w:rPr>
          <w:rFonts w:ascii="Calibri" w:cs="Calibri" w:eastAsia="Calibri" w:hAnsi="Calibri"/>
          <w:b/>
          <w:bCs/>
          <w:i w:val="false"/>
          <w:iCs w:val="false"/>
          <w:color w:val="1A1A1A"/>
          <w:sz w:val="22"/>
          <w:szCs w:val="22"/>
        </w:rPr>
        <w:t xml:space="preserve">Entry: </w:t>
      </w:r>
      <w:r>
        <w:rPr>
          <w:rFonts w:ascii="Calibri" w:cs="Calibri" w:eastAsia="Calibri" w:hAnsi="Calibri"/>
          <w:b w:val="false"/>
          <w:bCs w:val="false"/>
          <w:i w:val="false"/>
          <w:iCs w:val="false"/>
          <w:color w:val="1A1A1A"/>
          <w:sz w:val="22"/>
          <w:szCs w:val="22"/>
        </w:rPr>
        <w:t xml:space="preserve">7 days before PDUFA. T1 small-caps show +0.39% 7d runup and 90% approval.</w:t>
      </w:r>
    </w:p>
    <w:p>
      <w:pPr>
        <w:spacing w:after="120" w:before="0"/>
        <w:jc w:val="left"/>
      </w:pPr>
      <w:r>
        <w:rPr>
          <w:rFonts w:ascii="Calibri" w:cs="Calibri" w:eastAsia="Calibri" w:hAnsi="Calibri"/>
          <w:b/>
          <w:bCs/>
          <w:i w:val="false"/>
          <w:iCs w:val="false"/>
          <w:color w:val="1A1A1A"/>
          <w:sz w:val="22"/>
          <w:szCs w:val="22"/>
        </w:rPr>
        <w:t xml:space="preserve">Exit: </w:t>
      </w:r>
      <w:r>
        <w:rPr>
          <w:rFonts w:ascii="Calibri" w:cs="Calibri" w:eastAsia="Calibri" w:hAnsi="Calibri"/>
          <w:b w:val="false"/>
          <w:bCs w:val="false"/>
          <w:i w:val="false"/>
          <w:iCs w:val="false"/>
          <w:color w:val="1A1A1A"/>
          <w:sz w:val="22"/>
          <w:szCs w:val="22"/>
        </w:rPr>
        <w:t xml:space="preserve">HOLD through event and 2-5 days post. Small T1 approvals show +0.97% post-1d average with sustained gains.</w:t>
      </w:r>
    </w:p>
    <w:p>
      <w:pPr>
        <w:spacing w:after="120" w:before="0"/>
        <w:jc w:val="left"/>
      </w:pPr>
      <w:r>
        <w:rPr>
          <w:rFonts w:ascii="Calibri" w:cs="Calibri" w:eastAsia="Calibri" w:hAnsi="Calibri"/>
          <w:b/>
          <w:bCs/>
          <w:i w:val="false"/>
          <w:iCs w:val="false"/>
          <w:color w:val="1A1A1A"/>
          <w:sz w:val="22"/>
          <w:szCs w:val="22"/>
        </w:rPr>
        <w:t xml:space="preserve">Position Size: </w:t>
      </w:r>
      <w:r>
        <w:rPr>
          <w:rFonts w:ascii="Calibri" w:cs="Calibri" w:eastAsia="Calibri" w:hAnsi="Calibri"/>
          <w:b w:val="false"/>
          <w:bCs w:val="false"/>
          <w:i w:val="false"/>
          <w:iCs w:val="false"/>
          <w:color w:val="1A1A1A"/>
          <w:sz w:val="22"/>
          <w:szCs w:val="22"/>
        </w:rPr>
        <w:t xml:space="preserve">5-8% of portfolio. Maximum allocation for highest-edge signal.</w:t>
      </w:r>
    </w:p>
    <w:p>
      <w:pPr>
        <w:pStyle w:val="Heading2"/>
        <w:spacing w:after="150" w:before="300"/>
      </w:pPr>
      <w:r>
        <w:rPr>
          <w:rFonts w:ascii="Calibri" w:cs="Calibri" w:eastAsia="Calibri" w:hAnsi="Calibri"/>
          <w:b/>
          <w:bCs/>
          <w:color w:val="1E3A5F"/>
          <w:sz w:val="26"/>
          <w:szCs w:val="26"/>
        </w:rPr>
        <w:t xml:space="preserve">4.4 Signal D: Mid T2 Steady Winner</w:t>
      </w:r>
    </w:p>
    <w:p>
      <w:pPr>
        <w:spacing w:after="120" w:before="0"/>
        <w:jc w:val="left"/>
      </w:pPr>
      <w:r>
        <w:rPr>
          <w:rFonts w:ascii="Calibri" w:cs="Calibri" w:eastAsia="Calibri" w:hAnsi="Calibri"/>
          <w:b/>
          <w:bCs/>
          <w:i w:val="false"/>
          <w:iCs w:val="false"/>
          <w:color w:val="1A1A1A"/>
          <w:sz w:val="22"/>
          <w:szCs w:val="22"/>
        </w:rPr>
        <w:t xml:space="preserve">Target: </w:t>
      </w:r>
      <w:r>
        <w:rPr>
          <w:rFonts w:ascii="Calibri" w:cs="Calibri" w:eastAsia="Calibri" w:hAnsi="Calibri"/>
          <w:b w:val="false"/>
          <w:bCs w:val="false"/>
          <w:i w:val="false"/>
          <w:iCs w:val="false"/>
          <w:color w:val="1A1A1A"/>
          <w:sz w:val="22"/>
          <w:szCs w:val="22"/>
        </w:rPr>
        <w:t xml:space="preserve">Mid-cap ($2B-$10B) stocks scoring T2</w:t>
      </w:r>
    </w:p>
    <w:p>
      <w:pPr>
        <w:spacing w:after="120" w:before="0"/>
        <w:jc w:val="left"/>
      </w:pPr>
      <w:r>
        <w:rPr>
          <w:rFonts w:ascii="Calibri" w:cs="Calibri" w:eastAsia="Calibri" w:hAnsi="Calibri"/>
          <w:b/>
          <w:bCs/>
          <w:i w:val="false"/>
          <w:iCs w:val="false"/>
          <w:color w:val="1A1A1A"/>
          <w:sz w:val="22"/>
          <w:szCs w:val="22"/>
        </w:rPr>
        <w:t xml:space="preserve">Entry: </w:t>
      </w:r>
      <w:r>
        <w:rPr>
          <w:rFonts w:ascii="Calibri" w:cs="Calibri" w:eastAsia="Calibri" w:hAnsi="Calibri"/>
          <w:b w:val="false"/>
          <w:bCs w:val="false"/>
          <w:i w:val="false"/>
          <w:iCs w:val="false"/>
          <w:color w:val="1A1A1A"/>
          <w:sz w:val="22"/>
          <w:szCs w:val="22"/>
        </w:rPr>
        <w:t xml:space="preserve">14 days before PDUFA. Mid T2 averages +2.07% runup with 86% approval.</w:t>
      </w:r>
    </w:p>
    <w:p>
      <w:pPr>
        <w:spacing w:after="120" w:before="0"/>
        <w:jc w:val="left"/>
      </w:pPr>
      <w:r>
        <w:rPr>
          <w:rFonts w:ascii="Calibri" w:cs="Calibri" w:eastAsia="Calibri" w:hAnsi="Calibri"/>
          <w:b/>
          <w:bCs/>
          <w:i w:val="false"/>
          <w:iCs w:val="false"/>
          <w:color w:val="1A1A1A"/>
          <w:sz w:val="22"/>
          <w:szCs w:val="22"/>
        </w:rPr>
        <w:t xml:space="preserve">Exit: </w:t>
      </w:r>
      <w:r>
        <w:rPr>
          <w:rFonts w:ascii="Calibri" w:cs="Calibri" w:eastAsia="Calibri" w:hAnsi="Calibri"/>
          <w:b w:val="false"/>
          <w:bCs w:val="false"/>
          <w:i w:val="false"/>
          <w:iCs w:val="false"/>
          <w:color w:val="1A1A1A"/>
          <w:sz w:val="22"/>
          <w:szCs w:val="22"/>
        </w:rPr>
        <w:t xml:space="preserve">Hold through event for approved events. For CRLs, stop-loss at -3% intraday.</w:t>
      </w:r>
    </w:p>
    <w:p>
      <w:pPr>
        <w:spacing w:after="120" w:before="0"/>
        <w:jc w:val="left"/>
      </w:pPr>
      <w:r>
        <w:rPr>
          <w:rFonts w:ascii="Calibri" w:cs="Calibri" w:eastAsia="Calibri" w:hAnsi="Calibri"/>
          <w:b/>
          <w:bCs/>
          <w:i w:val="false"/>
          <w:iCs w:val="false"/>
          <w:color w:val="1A1A1A"/>
          <w:sz w:val="22"/>
          <w:szCs w:val="22"/>
        </w:rPr>
        <w:t xml:space="preserve">Position Size: </w:t>
      </w:r>
      <w:r>
        <w:rPr>
          <w:rFonts w:ascii="Calibri" w:cs="Calibri" w:eastAsia="Calibri" w:hAnsi="Calibri"/>
          <w:b w:val="false"/>
          <w:bCs w:val="false"/>
          <w:i w:val="false"/>
          <w:iCs w:val="false"/>
          <w:color w:val="1A1A1A"/>
          <w:sz w:val="22"/>
          <w:szCs w:val="22"/>
        </w:rPr>
        <w:t xml:space="preserve">3-5% of portfolio.</w:t>
      </w:r>
    </w:p>
    <w:p>
      <w:pPr>
        <w:pStyle w:val="Heading2"/>
        <w:spacing w:after="150" w:before="300"/>
      </w:pPr>
      <w:r>
        <w:rPr>
          <w:rFonts w:ascii="Calibri" w:cs="Calibri" w:eastAsia="Calibri" w:hAnsi="Calibri"/>
          <w:b/>
          <w:bCs/>
          <w:color w:val="1E3A5F"/>
          <w:sz w:val="26"/>
          <w:szCs w:val="26"/>
        </w:rPr>
        <w:t xml:space="preserve">4.5 Signal E: Bull Trap Fade (SHORT)</w:t>
      </w:r>
    </w:p>
    <w:p>
      <w:pPr>
        <w:spacing w:after="120" w:before="0"/>
        <w:jc w:val="left"/>
      </w:pPr>
      <w:r>
        <w:rPr>
          <w:rFonts w:ascii="Calibri" w:cs="Calibri" w:eastAsia="Calibri" w:hAnsi="Calibri"/>
          <w:b/>
          <w:bCs/>
          <w:i w:val="false"/>
          <w:iCs w:val="false"/>
          <w:color w:val="1A1A1A"/>
          <w:sz w:val="22"/>
          <w:szCs w:val="22"/>
        </w:rPr>
        <w:t xml:space="preserve">Target: </w:t>
      </w:r>
      <w:r>
        <w:rPr>
          <w:rFonts w:ascii="Calibri" w:cs="Calibri" w:eastAsia="Calibri" w:hAnsi="Calibri"/>
          <w:b w:val="false"/>
          <w:bCs w:val="false"/>
          <w:i w:val="false"/>
          <w:iCs w:val="false"/>
          <w:color w:val="1A1A1A"/>
          <w:sz w:val="22"/>
          <w:szCs w:val="22"/>
        </w:rPr>
        <w:t xml:space="preserve">Micro-cap T4 stocks that have already run up 5%+ in the 14 days before PDUFA</w:t>
      </w:r>
    </w:p>
    <w:p>
      <w:pPr>
        <w:spacing w:after="120" w:before="0"/>
        <w:jc w:val="left"/>
      </w:pPr>
      <w:r>
        <w:rPr>
          <w:rFonts w:ascii="Calibri" w:cs="Calibri" w:eastAsia="Calibri" w:hAnsi="Calibri"/>
          <w:b/>
          <w:bCs/>
          <w:i w:val="false"/>
          <w:iCs w:val="false"/>
          <w:color w:val="1A1A1A"/>
          <w:sz w:val="22"/>
          <w:szCs w:val="22"/>
        </w:rPr>
        <w:t xml:space="preserve">Entry: </w:t>
      </w:r>
      <w:r>
        <w:rPr>
          <w:rFonts w:ascii="Calibri" w:cs="Calibri" w:eastAsia="Calibri" w:hAnsi="Calibri"/>
          <w:b w:val="false"/>
          <w:bCs w:val="false"/>
          <w:i w:val="false"/>
          <w:iCs w:val="false"/>
          <w:color w:val="1A1A1A"/>
          <w:sz w:val="22"/>
          <w:szCs w:val="22"/>
        </w:rPr>
        <w:t xml:space="preserve">1-2 days before PDUFA. The +7.37% average runup for these names creates a short opportunity.</w:t>
      </w:r>
    </w:p>
    <w:p>
      <w:pPr>
        <w:spacing w:after="120" w:before="0"/>
        <w:jc w:val="left"/>
      </w:pPr>
      <w:r>
        <w:rPr>
          <w:rFonts w:ascii="Calibri" w:cs="Calibri" w:eastAsia="Calibri" w:hAnsi="Calibri"/>
          <w:b/>
          <w:bCs/>
          <w:i w:val="false"/>
          <w:iCs w:val="false"/>
          <w:color w:val="1A1A1A"/>
          <w:sz w:val="22"/>
          <w:szCs w:val="22"/>
        </w:rPr>
        <w:t xml:space="preserve">Exit: </w:t>
      </w:r>
      <w:r>
        <w:rPr>
          <w:rFonts w:ascii="Calibri" w:cs="Calibri" w:eastAsia="Calibri" w:hAnsi="Calibri"/>
          <w:b w:val="false"/>
          <w:bCs w:val="false"/>
          <w:i w:val="false"/>
          <w:iCs w:val="false"/>
          <w:color w:val="1A1A1A"/>
          <w:sz w:val="22"/>
          <w:szCs w:val="22"/>
        </w:rPr>
        <w:t xml:space="preserve">Cover on PDUFA day. Average post-1d move for micro T4 CRLs is -6.25%. Even mixed outcomes average +0.10% post-1d.</w:t>
      </w:r>
    </w:p>
    <w:p>
      <w:pPr>
        <w:spacing w:after="120" w:before="0"/>
        <w:jc w:val="left"/>
      </w:pPr>
      <w:r>
        <w:rPr>
          <w:rFonts w:ascii="Calibri" w:cs="Calibri" w:eastAsia="Calibri" w:hAnsi="Calibri"/>
          <w:b/>
          <w:bCs/>
          <w:i w:val="false"/>
          <w:iCs w:val="false"/>
          <w:color w:val="1A1A1A"/>
          <w:sz w:val="22"/>
          <w:szCs w:val="22"/>
        </w:rPr>
        <w:t xml:space="preserve">Position Size: </w:t>
      </w:r>
      <w:r>
        <w:rPr>
          <w:rFonts w:ascii="Calibri" w:cs="Calibri" w:eastAsia="Calibri" w:hAnsi="Calibri"/>
          <w:b w:val="false"/>
          <w:bCs w:val="false"/>
          <w:i w:val="false"/>
          <w:iCs w:val="false"/>
          <w:color w:val="1A1A1A"/>
          <w:sz w:val="22"/>
          <w:szCs w:val="22"/>
        </w:rPr>
        <w:t xml:space="preserve">1-2% of portfolio. High conviction but small size due to binary risk (17% could still approve).</w:t>
      </w:r>
    </w:p>
    <w:p>
      <w:pPr>
        <w:spacing w:after="120" w:before="0"/>
        <w:jc w:val="left"/>
      </w:pPr>
      <w:r>
        <w:rPr>
          <w:rFonts w:ascii="Calibri" w:cs="Calibri" w:eastAsia="Calibri" w:hAnsi="Calibri"/>
          <w:b/>
          <w:bCs/>
          <w:i w:val="false"/>
          <w:iCs w:val="false"/>
          <w:color w:val="CC0000"/>
          <w:sz w:val="22"/>
          <w:szCs w:val="22"/>
        </w:rPr>
        <w:t xml:space="preserve">Risk: </w:t>
      </w:r>
      <w:r>
        <w:rPr>
          <w:rFonts w:ascii="Calibri" w:cs="Calibri" w:eastAsia="Calibri" w:hAnsi="Calibri"/>
          <w:b w:val="false"/>
          <w:bCs w:val="false"/>
          <w:i w:val="false"/>
          <w:iCs w:val="false"/>
          <w:color w:val="1A1A1A"/>
          <w:sz w:val="22"/>
          <w:szCs w:val="22"/>
        </w:rPr>
        <w:t xml:space="preserve">If the T4 event approves (17% probability), expect +20-50% gap up. Always use defined risk (puts preferred over short stock).</w:t>
      </w:r>
    </w:p>
    <w:p>
      <w:pPr>
        <w:pStyle w:val="Heading2"/>
        <w:spacing w:after="150" w:before="300"/>
      </w:pPr>
      <w:r>
        <w:rPr>
          <w:rFonts w:ascii="Calibri" w:cs="Calibri" w:eastAsia="Calibri" w:hAnsi="Calibri"/>
          <w:b/>
          <w:bCs/>
          <w:color w:val="1E3A5F"/>
          <w:sz w:val="26"/>
          <w:szCs w:val="26"/>
        </w:rPr>
        <w:t xml:space="preserve">4.6 Signal F: Large-Cap Post-Event Label Trade</w:t>
      </w:r>
    </w:p>
    <w:p>
      <w:pPr>
        <w:spacing w:after="120" w:before="0"/>
        <w:jc w:val="left"/>
      </w:pPr>
      <w:r>
        <w:rPr>
          <w:rFonts w:ascii="Calibri" w:cs="Calibri" w:eastAsia="Calibri" w:hAnsi="Calibri"/>
          <w:b/>
          <w:bCs/>
          <w:i w:val="false"/>
          <w:iCs w:val="false"/>
          <w:color w:val="1A1A1A"/>
          <w:sz w:val="22"/>
          <w:szCs w:val="22"/>
        </w:rPr>
        <w:t xml:space="preserve">Target: </w:t>
      </w:r>
      <w:r>
        <w:rPr>
          <w:rFonts w:ascii="Calibri" w:cs="Calibri" w:eastAsia="Calibri" w:hAnsi="Calibri"/>
          <w:b w:val="false"/>
          <w:bCs w:val="false"/>
          <w:i w:val="false"/>
          <w:iCs w:val="false"/>
          <w:color w:val="1A1A1A"/>
          <w:sz w:val="22"/>
          <w:szCs w:val="22"/>
        </w:rPr>
        <w:t xml:space="preserve">Large-cap T1 approvals where the drug opens a new indication or revenue stream</w:t>
      </w:r>
    </w:p>
    <w:p>
      <w:pPr>
        <w:spacing w:after="120" w:before="0"/>
        <w:jc w:val="left"/>
      </w:pPr>
      <w:r>
        <w:rPr>
          <w:rFonts w:ascii="Calibri" w:cs="Calibri" w:eastAsia="Calibri" w:hAnsi="Calibri"/>
          <w:b/>
          <w:bCs/>
          <w:i w:val="false"/>
          <w:iCs w:val="false"/>
          <w:color w:val="1A1A1A"/>
          <w:sz w:val="22"/>
          <w:szCs w:val="22"/>
        </w:rPr>
        <w:t xml:space="preserve">Entry: </w:t>
      </w:r>
      <w:r>
        <w:rPr>
          <w:rFonts w:ascii="Calibri" w:cs="Calibri" w:eastAsia="Calibri" w:hAnsi="Calibri"/>
          <w:b w:val="false"/>
          <w:bCs w:val="false"/>
          <w:i w:val="false"/>
          <w:iCs w:val="false"/>
          <w:color w:val="1A1A1A"/>
          <w:sz w:val="22"/>
          <w:szCs w:val="22"/>
        </w:rPr>
        <w:t xml:space="preserve">Day of approval announcement. Large T1 events show only +0.12% post-1d but +0.24% post-5d, with upside from revenue modeling.</w:t>
      </w:r>
    </w:p>
    <w:p>
      <w:pPr>
        <w:spacing w:after="120" w:before="0"/>
        <w:jc w:val="left"/>
      </w:pPr>
      <w:r>
        <w:rPr>
          <w:rFonts w:ascii="Calibri" w:cs="Calibri" w:eastAsia="Calibri" w:hAnsi="Calibri"/>
          <w:b/>
          <w:bCs/>
          <w:i w:val="false"/>
          <w:iCs w:val="false"/>
          <w:color w:val="1A1A1A"/>
          <w:sz w:val="22"/>
          <w:szCs w:val="22"/>
        </w:rPr>
        <w:t xml:space="preserve">Exit: </w:t>
      </w:r>
      <w:r>
        <w:rPr>
          <w:rFonts w:ascii="Calibri" w:cs="Calibri" w:eastAsia="Calibri" w:hAnsi="Calibri"/>
          <w:b w:val="false"/>
          <w:bCs w:val="false"/>
          <w:i w:val="false"/>
          <w:iCs w:val="false"/>
          <w:color w:val="1A1A1A"/>
          <w:sz w:val="22"/>
          <w:szCs w:val="22"/>
        </w:rPr>
        <w:t xml:space="preserve">5-10 days post-approval as analyst upgrades roll in.</w:t>
      </w:r>
    </w:p>
    <w:p>
      <w:pPr>
        <w:spacing w:after="120" w:before="0"/>
        <w:jc w:val="left"/>
      </w:pPr>
      <w:r>
        <w:rPr>
          <w:rFonts w:ascii="Calibri" w:cs="Calibri" w:eastAsia="Calibri" w:hAnsi="Calibri"/>
          <w:b/>
          <w:bCs/>
          <w:i w:val="false"/>
          <w:iCs w:val="false"/>
          <w:color w:val="1A1A1A"/>
          <w:sz w:val="22"/>
          <w:szCs w:val="22"/>
        </w:rPr>
        <w:t xml:space="preserve">Position Size: </w:t>
      </w:r>
      <w:r>
        <w:rPr>
          <w:rFonts w:ascii="Calibri" w:cs="Calibri" w:eastAsia="Calibri" w:hAnsi="Calibri"/>
          <w:b w:val="false"/>
          <w:bCs w:val="false"/>
          <w:i w:val="false"/>
          <w:iCs w:val="false"/>
          <w:color w:val="1A1A1A"/>
          <w:sz w:val="22"/>
          <w:szCs w:val="22"/>
        </w:rPr>
        <w:t xml:space="preserve">2-4% of portfolio. Low volatility, high probability.</w:t>
      </w:r>
    </w:p>
    <w:p>
      <w:pPr>
        <w:pStyle w:val="Heading1"/>
        <w:spacing w:after="150" w:before="300"/>
      </w:pPr>
      <w:r>
        <w:rPr>
          <w:rFonts w:ascii="Calibri" w:cs="Calibri" w:eastAsia="Calibri" w:hAnsi="Calibri"/>
          <w:b/>
          <w:bCs/>
          <w:color w:val="0A1628"/>
          <w:sz w:val="32"/>
          <w:szCs w:val="32"/>
        </w:rPr>
        <w:t xml:space="preserve">5. 2026 Monthly Execution Calendar</w:t>
      </w:r>
    </w:p>
    <w:p>
      <w:pPr>
        <w:spacing w:after="120"/>
      </w:pPr>
      <w:r>
        <w:rPr>
          <w:rFonts w:ascii="Calibri" w:cs="Calibri" w:eastAsia="Calibri" w:hAnsi="Calibri"/>
          <w:b w:val="false"/>
          <w:bCs w:val="false"/>
          <w:i w:val="false"/>
          <w:iCs w:val="false"/>
          <w:color w:val="1A1A1A"/>
          <w:sz w:val="22"/>
          <w:szCs w:val="22"/>
        </w:rPr>
        <w:t xml:space="preserve">Each month, Odin Capital should screen the upcoming PDUFA calendar using ODIN v5 scores from the MCP server, classify each event by market cap, and deploy the appropriate signal (A through F). The monthly rhythm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860"/>
      </w:tblGrid>
      <w:tr>
        <w:tc>
          <w:tcPr>
            <w:tcW w:type="dxa" w:w="1500"/>
            <w:shd w:fill="0A1628" w:val="clear"/>
            <w:vAlign w:val="center"/>
          </w:tcPr>
          <w:p>
            <w:pPr>
              <w:spacing w:after="40" w:before="40"/>
              <w:jc w:val="center"/>
            </w:pPr>
            <w:r>
              <w:rPr>
                <w:rFonts w:ascii="Calibri" w:cs="Calibri" w:eastAsia="Calibri" w:hAnsi="Calibri"/>
                <w:b/>
                <w:bCs/>
                <w:color w:val="FFFFFF"/>
                <w:sz w:val="20"/>
                <w:szCs w:val="20"/>
              </w:rPr>
              <w:t xml:space="preserve">Week</w:t>
            </w:r>
          </w:p>
        </w:tc>
        <w:tc>
          <w:tcPr>
            <w:tcW w:type="dxa" w:w="5000"/>
            <w:shd w:fill="0A1628" w:val="clear"/>
            <w:vAlign w:val="center"/>
          </w:tcPr>
          <w:p>
            <w:pPr>
              <w:spacing w:after="40" w:before="40"/>
              <w:jc w:val="center"/>
            </w:pPr>
            <w:r>
              <w:rPr>
                <w:rFonts w:ascii="Calibri" w:cs="Calibri" w:eastAsia="Calibri" w:hAnsi="Calibri"/>
                <w:b/>
                <w:bCs/>
                <w:color w:val="FFFFFF"/>
                <w:sz w:val="20"/>
                <w:szCs w:val="20"/>
              </w:rPr>
              <w:t xml:space="preserve">Action</w:t>
            </w:r>
          </w:p>
        </w:tc>
        <w:tc>
          <w:tcPr>
            <w:tcW w:type="dxa" w:w="2860"/>
            <w:shd w:fill="0A1628" w:val="clear"/>
            <w:vAlign w:val="center"/>
          </w:tcPr>
          <w:p>
            <w:pPr>
              <w:spacing w:after="40" w:before="40"/>
              <w:jc w:val="center"/>
            </w:pPr>
            <w:r>
              <w:rPr>
                <w:rFonts w:ascii="Calibri" w:cs="Calibri" w:eastAsia="Calibri" w:hAnsi="Calibri"/>
                <w:b/>
                <w:bCs/>
                <w:color w:val="FFFFFF"/>
                <w:sz w:val="20"/>
                <w:szCs w:val="20"/>
              </w:rPr>
              <w:t xml:space="preserve">Tools</w:t>
            </w:r>
          </w:p>
        </w:tc>
      </w:tr>
      <w:tr>
        <w:tc>
          <w:tcPr>
            <w:tcW w:type="dxa" w:w="1500"/>
            <w:shd w:fill="F5F5F5" w:val="clear"/>
            <w:vAlign w:val="center"/>
          </w:tcPr>
          <w:p>
            <w:pPr>
              <w:spacing w:after="40" w:before="40"/>
              <w:jc w:val="center"/>
            </w:pPr>
            <w:r>
              <w:rPr>
                <w:rFonts w:ascii="Calibri" w:cs="Calibri" w:eastAsia="Calibri" w:hAnsi="Calibri"/>
                <w:b w:val="false"/>
                <w:bCs w:val="false"/>
                <w:color w:val="1A1A1A"/>
                <w:sz w:val="20"/>
                <w:szCs w:val="20"/>
              </w:rPr>
              <w:t xml:space="preserve">Week 1</w:t>
            </w:r>
          </w:p>
        </w:tc>
        <w:tc>
          <w:tcPr>
            <w:tcW w:type="dxa" w:w="5000"/>
            <w:shd w:fill="F5F5F5" w:val="clear"/>
            <w:vAlign w:val="center"/>
          </w:tcPr>
          <w:p>
            <w:pPr>
              <w:spacing w:after="40" w:before="40"/>
              <w:jc w:val="center"/>
            </w:pPr>
            <w:r>
              <w:rPr>
                <w:rFonts w:ascii="Calibri" w:cs="Calibri" w:eastAsia="Calibri" w:hAnsi="Calibri"/>
                <w:b w:val="false"/>
                <w:bCs w:val="false"/>
                <w:color w:val="1A1A1A"/>
                <w:sz w:val="20"/>
                <w:szCs w:val="20"/>
              </w:rPr>
              <w:t xml:space="preserve">Screen next 60 days of PDUFA dates through ODIN MCP. Classify market caps. Flag Signal A entries (30d out).</w:t>
            </w:r>
          </w:p>
        </w:tc>
        <w:tc>
          <w:tcPr>
            <w:tcW w:type="dxa" w:w="2860"/>
            <w:shd w:fill="F5F5F5" w:val="clear"/>
            <w:vAlign w:val="center"/>
          </w:tcPr>
          <w:p>
            <w:pPr>
              <w:spacing w:after="40" w:before="40"/>
              <w:jc w:val="center"/>
            </w:pPr>
            <w:r>
              <w:rPr>
                <w:rFonts w:ascii="Calibri" w:cs="Calibri" w:eastAsia="Calibri" w:hAnsi="Calibri"/>
                <w:b w:val="false"/>
                <w:bCs w:val="false"/>
                <w:color w:val="1A1A1A"/>
                <w:sz w:val="20"/>
                <w:szCs w:val="20"/>
              </w:rPr>
              <w:t xml:space="preserve">odin_score, pdufa.bio calendar</w:t>
            </w:r>
          </w:p>
        </w:tc>
      </w:tr>
      <w:tr>
        <w:tc>
          <w:tcPr>
            <w:tcW w:type="dxa" w:w="1500"/>
            <w:shd w:fill="FFFFFF" w:val="clear"/>
            <w:vAlign w:val="center"/>
          </w:tcPr>
          <w:p>
            <w:pPr>
              <w:spacing w:after="40" w:before="40"/>
              <w:jc w:val="center"/>
            </w:pPr>
            <w:r>
              <w:rPr>
                <w:rFonts w:ascii="Calibri" w:cs="Calibri" w:eastAsia="Calibri" w:hAnsi="Calibri"/>
                <w:b w:val="false"/>
                <w:bCs w:val="false"/>
                <w:color w:val="1A1A1A"/>
                <w:sz w:val="20"/>
                <w:szCs w:val="20"/>
              </w:rPr>
              <w:t xml:space="preserve">Week 2</w:t>
            </w:r>
          </w:p>
        </w:tc>
        <w:tc>
          <w:tcPr>
            <w:tcW w:type="dxa" w:w="5000"/>
            <w:shd w:fill="FFFFFF" w:val="clear"/>
            <w:vAlign w:val="center"/>
          </w:tcPr>
          <w:p>
            <w:pPr>
              <w:spacing w:after="40" w:before="40"/>
              <w:jc w:val="center"/>
            </w:pPr>
            <w:r>
              <w:rPr>
                <w:rFonts w:ascii="Calibri" w:cs="Calibri" w:eastAsia="Calibri" w:hAnsi="Calibri"/>
                <w:b w:val="false"/>
                <w:bCs w:val="false"/>
                <w:color w:val="1A1A1A"/>
                <w:sz w:val="20"/>
                <w:szCs w:val="20"/>
              </w:rPr>
              <w:t xml:space="preserve">Enter Signal B/C/D positions (14-7 days out). Set alerts for upcoming events.</w:t>
            </w:r>
          </w:p>
        </w:tc>
        <w:tc>
          <w:tcPr>
            <w:tcW w:type="dxa" w:w="2860"/>
            <w:shd w:fill="FFFFFF" w:val="clear"/>
            <w:vAlign w:val="center"/>
          </w:tcPr>
          <w:p>
            <w:pPr>
              <w:spacing w:after="40" w:before="40"/>
              <w:jc w:val="center"/>
            </w:pPr>
            <w:r>
              <w:rPr>
                <w:rFonts w:ascii="Calibri" w:cs="Calibri" w:eastAsia="Calibri" w:hAnsi="Calibri"/>
                <w:b w:val="false"/>
                <w:bCs w:val="false"/>
                <w:color w:val="1A1A1A"/>
                <w:sz w:val="20"/>
                <w:szCs w:val="20"/>
              </w:rPr>
              <w:t xml:space="preserve">Position tracker, alerts</w:t>
            </w:r>
          </w:p>
        </w:tc>
      </w:tr>
      <w:tr>
        <w:tc>
          <w:tcPr>
            <w:tcW w:type="dxa" w:w="1500"/>
            <w:shd w:fill="F5F5F5" w:val="clear"/>
            <w:vAlign w:val="center"/>
          </w:tcPr>
          <w:p>
            <w:pPr>
              <w:spacing w:after="40" w:before="40"/>
              <w:jc w:val="center"/>
            </w:pPr>
            <w:r>
              <w:rPr>
                <w:rFonts w:ascii="Calibri" w:cs="Calibri" w:eastAsia="Calibri" w:hAnsi="Calibri"/>
                <w:b w:val="false"/>
                <w:bCs w:val="false"/>
                <w:color w:val="1A1A1A"/>
                <w:sz w:val="20"/>
                <w:szCs w:val="20"/>
              </w:rPr>
              <w:t xml:space="preserve">Week 3</w:t>
            </w:r>
          </w:p>
        </w:tc>
        <w:tc>
          <w:tcPr>
            <w:tcW w:type="dxa" w:w="5000"/>
            <w:shd w:fill="F5F5F5" w:val="clear"/>
            <w:vAlign w:val="center"/>
          </w:tcPr>
          <w:p>
            <w:pPr>
              <w:spacing w:after="40" w:before="40"/>
              <w:jc w:val="center"/>
            </w:pPr>
            <w:r>
              <w:rPr>
                <w:rFonts w:ascii="Calibri" w:cs="Calibri" w:eastAsia="Calibri" w:hAnsi="Calibri"/>
                <w:b w:val="false"/>
                <w:bCs w:val="false"/>
                <w:color w:val="1A1A1A"/>
                <w:sz w:val="20"/>
                <w:szCs w:val="20"/>
              </w:rPr>
              <w:t xml:space="preserve">Monitor positions. Exit runup-only trades (Signal A T3/T4) 2 days before events.</w:t>
            </w:r>
          </w:p>
        </w:tc>
        <w:tc>
          <w:tcPr>
            <w:tcW w:type="dxa" w:w="2860"/>
            <w:shd w:fill="F5F5F5" w:val="clear"/>
            <w:vAlign w:val="center"/>
          </w:tcPr>
          <w:p>
            <w:pPr>
              <w:spacing w:after="40" w:before="40"/>
              <w:jc w:val="center"/>
            </w:pPr>
            <w:r>
              <w:rPr>
                <w:rFonts w:ascii="Calibri" w:cs="Calibri" w:eastAsia="Calibri" w:hAnsi="Calibri"/>
                <w:b w:val="false"/>
                <w:bCs w:val="false"/>
                <w:color w:val="1A1A1A"/>
                <w:sz w:val="20"/>
                <w:szCs w:val="20"/>
              </w:rPr>
              <w:t xml:space="preserve">Daily P&amp;L review</w:t>
            </w:r>
          </w:p>
        </w:tc>
      </w:tr>
      <w:tr>
        <w:tc>
          <w:tcPr>
            <w:tcW w:type="dxa" w:w="1500"/>
            <w:shd w:fill="FFFFFF" w:val="clear"/>
            <w:vAlign w:val="center"/>
          </w:tcPr>
          <w:p>
            <w:pPr>
              <w:spacing w:after="40" w:before="40"/>
              <w:jc w:val="center"/>
            </w:pPr>
            <w:r>
              <w:rPr>
                <w:rFonts w:ascii="Calibri" w:cs="Calibri" w:eastAsia="Calibri" w:hAnsi="Calibri"/>
                <w:b w:val="false"/>
                <w:bCs w:val="false"/>
                <w:color w:val="1A1A1A"/>
                <w:sz w:val="20"/>
                <w:szCs w:val="20"/>
              </w:rPr>
              <w:t xml:space="preserve">Week 4</w:t>
            </w:r>
          </w:p>
        </w:tc>
        <w:tc>
          <w:tcPr>
            <w:tcW w:type="dxa" w:w="5000"/>
            <w:shd w:fill="FFFFFF" w:val="clear"/>
            <w:vAlign w:val="center"/>
          </w:tcPr>
          <w:p>
            <w:pPr>
              <w:spacing w:after="40" w:before="40"/>
              <w:jc w:val="center"/>
            </w:pPr>
            <w:r>
              <w:rPr>
                <w:rFonts w:ascii="Calibri" w:cs="Calibri" w:eastAsia="Calibri" w:hAnsi="Calibri"/>
                <w:b w:val="false"/>
                <w:bCs w:val="false"/>
                <w:color w:val="1A1A1A"/>
                <w:sz w:val="20"/>
                <w:szCs w:val="20"/>
              </w:rPr>
              <w:t xml:space="preserve">Execute event-week trades. Enter Signal E (bull trap fades). Enter Signal F post-approval.</w:t>
            </w:r>
          </w:p>
        </w:tc>
        <w:tc>
          <w:tcPr>
            <w:tcW w:type="dxa" w:w="2860"/>
            <w:shd w:fill="FFFFFF" w:val="clear"/>
            <w:vAlign w:val="center"/>
          </w:tcPr>
          <w:p>
            <w:pPr>
              <w:spacing w:after="40" w:before="40"/>
              <w:jc w:val="center"/>
            </w:pPr>
            <w:r>
              <w:rPr>
                <w:rFonts w:ascii="Calibri" w:cs="Calibri" w:eastAsia="Calibri" w:hAnsi="Calibri"/>
                <w:b w:val="false"/>
                <w:bCs w:val="false"/>
                <w:color w:val="1A1A1A"/>
                <w:sz w:val="20"/>
                <w:szCs w:val="20"/>
              </w:rPr>
              <w:t xml:space="preserve">Real-time monitoring</w:t>
            </w:r>
          </w:p>
        </w:tc>
      </w:tr>
    </w:tbl>
    <w:p>
      <w:pPr>
        <w:pStyle w:val="Heading2"/>
        <w:spacing w:after="150" w:before="300"/>
      </w:pPr>
      <w:r>
        <w:rPr>
          <w:rFonts w:ascii="Calibri" w:cs="Calibri" w:eastAsia="Calibri" w:hAnsi="Calibri"/>
          <w:b/>
          <w:bCs/>
          <w:color w:val="1E3A5F"/>
          <w:sz w:val="26"/>
          <w:szCs w:val="26"/>
        </w:rPr>
        <w:t xml:space="preserve">5.1 Position Limits &amp;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shd w:fill="0A1628" w:val="clear"/>
            <w:vAlign w:val="center"/>
          </w:tcPr>
          <w:p>
            <w:pPr>
              <w:spacing w:after="40" w:before="40"/>
              <w:jc w:val="center"/>
            </w:pPr>
            <w:r>
              <w:rPr>
                <w:rFonts w:ascii="Calibri" w:cs="Calibri" w:eastAsia="Calibri" w:hAnsi="Calibri"/>
                <w:b/>
                <w:bCs/>
                <w:color w:val="FFFFFF"/>
                <w:sz w:val="20"/>
                <w:szCs w:val="20"/>
              </w:rPr>
              <w:t xml:space="preserve">Rule</w:t>
            </w:r>
          </w:p>
        </w:tc>
        <w:tc>
          <w:tcPr>
            <w:tcW w:type="dxa" w:w="2500"/>
            <w:shd w:fill="0A1628" w:val="clear"/>
            <w:vAlign w:val="center"/>
          </w:tcPr>
          <w:p>
            <w:pPr>
              <w:spacing w:after="40" w:before="40"/>
              <w:jc w:val="center"/>
            </w:pPr>
            <w:r>
              <w:rPr>
                <w:rFonts w:ascii="Calibri" w:cs="Calibri" w:eastAsia="Calibri" w:hAnsi="Calibri"/>
                <w:b/>
                <w:bCs/>
                <w:color w:val="FFFFFF"/>
                <w:sz w:val="20"/>
                <w:szCs w:val="20"/>
              </w:rPr>
              <w:t xml:space="preserve">Limit</w:t>
            </w:r>
          </w:p>
        </w:tc>
        <w:tc>
          <w:tcPr>
            <w:tcW w:type="dxa" w:w="4360"/>
            <w:shd w:fill="0A1628" w:val="clear"/>
            <w:vAlign w:val="center"/>
          </w:tcPr>
          <w:p>
            <w:pPr>
              <w:spacing w:after="40" w:before="40"/>
              <w:jc w:val="center"/>
            </w:pPr>
            <w:r>
              <w:rPr>
                <w:rFonts w:ascii="Calibri" w:cs="Calibri" w:eastAsia="Calibri" w:hAnsi="Calibri"/>
                <w:b/>
                <w:bCs/>
                <w:color w:val="FFFFFF"/>
                <w:sz w:val="20"/>
                <w:szCs w:val="20"/>
              </w:rPr>
              <w:t xml:space="preserve">Rationale</w:t>
            </w:r>
          </w:p>
        </w:tc>
      </w:tr>
      <w:tr>
        <w:tc>
          <w:tcPr>
            <w:tcW w:type="dxa" w:w="2500"/>
            <w:shd w:fill="F5F5F5" w:val="clear"/>
            <w:vAlign w:val="center"/>
          </w:tcPr>
          <w:p>
            <w:pPr>
              <w:spacing w:after="40" w:before="40"/>
              <w:jc w:val="center"/>
            </w:pPr>
            <w:r>
              <w:rPr>
                <w:rFonts w:ascii="Calibri" w:cs="Calibri" w:eastAsia="Calibri" w:hAnsi="Calibri"/>
                <w:b w:val="false"/>
                <w:bCs w:val="false"/>
                <w:color w:val="1A1A1A"/>
                <w:sz w:val="20"/>
                <w:szCs w:val="20"/>
              </w:rPr>
              <w:t xml:space="preserve">Max single position</w:t>
            </w:r>
          </w:p>
        </w:tc>
        <w:tc>
          <w:tcPr>
            <w:tcW w:type="dxa" w:w="2500"/>
            <w:shd w:fill="F5F5F5" w:val="clear"/>
            <w:vAlign w:val="center"/>
          </w:tcPr>
          <w:p>
            <w:pPr>
              <w:spacing w:after="40" w:before="40"/>
              <w:jc w:val="center"/>
            </w:pPr>
            <w:r>
              <w:rPr>
                <w:rFonts w:ascii="Calibri" w:cs="Calibri" w:eastAsia="Calibri" w:hAnsi="Calibri"/>
                <w:b w:val="false"/>
                <w:bCs w:val="false"/>
                <w:color w:val="1A1A1A"/>
                <w:sz w:val="20"/>
                <w:szCs w:val="20"/>
              </w:rPr>
              <w:t xml:space="preserve">8% of portfolio</w:t>
            </w:r>
          </w:p>
        </w:tc>
        <w:tc>
          <w:tcPr>
            <w:tcW w:type="dxa" w:w="4360"/>
            <w:shd w:fill="F5F5F5" w:val="clear"/>
            <w:vAlign w:val="center"/>
          </w:tcPr>
          <w:p>
            <w:pPr>
              <w:spacing w:after="40" w:before="40"/>
              <w:jc w:val="center"/>
            </w:pPr>
            <w:r>
              <w:rPr>
                <w:rFonts w:ascii="Calibri" w:cs="Calibri" w:eastAsia="Calibri" w:hAnsi="Calibri"/>
                <w:b w:val="false"/>
                <w:bCs w:val="false"/>
                <w:color w:val="1A1A1A"/>
                <w:sz w:val="20"/>
                <w:szCs w:val="20"/>
              </w:rPr>
              <w:t xml:space="preserve">Small T1 full conviction max</w:t>
            </w:r>
          </w:p>
        </w:tc>
      </w:tr>
      <w:tr>
        <w:tc>
          <w:tcPr>
            <w:tcW w:type="dxa" w:w="2500"/>
            <w:shd w:fill="FFFFFF" w:val="clear"/>
            <w:vAlign w:val="center"/>
          </w:tcPr>
          <w:p>
            <w:pPr>
              <w:spacing w:after="40" w:before="40"/>
              <w:jc w:val="center"/>
            </w:pPr>
            <w:r>
              <w:rPr>
                <w:rFonts w:ascii="Calibri" w:cs="Calibri" w:eastAsia="Calibri" w:hAnsi="Calibri"/>
                <w:b w:val="false"/>
                <w:bCs w:val="false"/>
                <w:color w:val="1A1A1A"/>
                <w:sz w:val="20"/>
                <w:szCs w:val="20"/>
              </w:rPr>
              <w:t xml:space="preserve">Max PDUFA exposure</w:t>
            </w:r>
          </w:p>
        </w:tc>
        <w:tc>
          <w:tcPr>
            <w:tcW w:type="dxa" w:w="2500"/>
            <w:shd w:fill="FFFFFF" w:val="clear"/>
            <w:vAlign w:val="center"/>
          </w:tcPr>
          <w:p>
            <w:pPr>
              <w:spacing w:after="40" w:before="40"/>
              <w:jc w:val="center"/>
            </w:pPr>
            <w:r>
              <w:rPr>
                <w:rFonts w:ascii="Calibri" w:cs="Calibri" w:eastAsia="Calibri" w:hAnsi="Calibri"/>
                <w:b w:val="false"/>
                <w:bCs w:val="false"/>
                <w:color w:val="1A1A1A"/>
                <w:sz w:val="20"/>
                <w:szCs w:val="20"/>
              </w:rPr>
              <w:t xml:space="preserve">25% of portfolio</w:t>
            </w:r>
          </w:p>
        </w:tc>
        <w:tc>
          <w:tcPr>
            <w:tcW w:type="dxa" w:w="4360"/>
            <w:shd w:fill="FFFFFF" w:val="clear"/>
            <w:vAlign w:val="center"/>
          </w:tcPr>
          <w:p>
            <w:pPr>
              <w:spacing w:after="40" w:before="40"/>
              <w:jc w:val="center"/>
            </w:pPr>
            <w:r>
              <w:rPr>
                <w:rFonts w:ascii="Calibri" w:cs="Calibri" w:eastAsia="Calibri" w:hAnsi="Calibri"/>
                <w:b w:val="false"/>
                <w:bCs w:val="false"/>
                <w:color w:val="1A1A1A"/>
                <w:sz w:val="20"/>
                <w:szCs w:val="20"/>
              </w:rPr>
              <w:t xml:space="preserve">No more than 25% in catalyst plays</w:t>
            </w:r>
          </w:p>
        </w:tc>
      </w:tr>
      <w:tr>
        <w:tc>
          <w:tcPr>
            <w:tcW w:type="dxa" w:w="2500"/>
            <w:shd w:fill="F5F5F5" w:val="clear"/>
            <w:vAlign w:val="center"/>
          </w:tcPr>
          <w:p>
            <w:pPr>
              <w:spacing w:after="40" w:before="40"/>
              <w:jc w:val="center"/>
            </w:pPr>
            <w:r>
              <w:rPr>
                <w:rFonts w:ascii="Calibri" w:cs="Calibri" w:eastAsia="Calibri" w:hAnsi="Calibri"/>
                <w:b w:val="false"/>
                <w:bCs w:val="false"/>
                <w:color w:val="1A1A1A"/>
                <w:sz w:val="20"/>
                <w:szCs w:val="20"/>
              </w:rPr>
              <w:t xml:space="preserve">Max same-week events</w:t>
            </w:r>
          </w:p>
        </w:tc>
        <w:tc>
          <w:tcPr>
            <w:tcW w:type="dxa" w:w="2500"/>
            <w:shd w:fill="F5F5F5" w:val="clear"/>
            <w:vAlign w:val="center"/>
          </w:tcPr>
          <w:p>
            <w:pPr>
              <w:spacing w:after="40" w:before="40"/>
              <w:jc w:val="center"/>
            </w:pPr>
            <w:r>
              <w:rPr>
                <w:rFonts w:ascii="Calibri" w:cs="Calibri" w:eastAsia="Calibri" w:hAnsi="Calibri"/>
                <w:b w:val="false"/>
                <w:bCs w:val="false"/>
                <w:color w:val="1A1A1A"/>
                <w:sz w:val="20"/>
                <w:szCs w:val="20"/>
              </w:rPr>
              <w:t xml:space="preserve">3 positions</w:t>
            </w:r>
          </w:p>
        </w:tc>
        <w:tc>
          <w:tcPr>
            <w:tcW w:type="dxa" w:w="4360"/>
            <w:shd w:fill="F5F5F5" w:val="clear"/>
            <w:vAlign w:val="center"/>
          </w:tcPr>
          <w:p>
            <w:pPr>
              <w:spacing w:after="40" w:before="40"/>
              <w:jc w:val="center"/>
            </w:pPr>
            <w:r>
              <w:rPr>
                <w:rFonts w:ascii="Calibri" w:cs="Calibri" w:eastAsia="Calibri" w:hAnsi="Calibri"/>
                <w:b w:val="false"/>
                <w:bCs w:val="false"/>
                <w:color w:val="1A1A1A"/>
                <w:sz w:val="20"/>
                <w:szCs w:val="20"/>
              </w:rPr>
              <w:t xml:space="preserve">Avoid correlated binary outcomes</w:t>
            </w:r>
          </w:p>
        </w:tc>
      </w:tr>
      <w:tr>
        <w:tc>
          <w:tcPr>
            <w:tcW w:type="dxa" w:w="2500"/>
            <w:shd w:fill="FFFFFF" w:val="clear"/>
            <w:vAlign w:val="center"/>
          </w:tcPr>
          <w:p>
            <w:pPr>
              <w:spacing w:after="40" w:before="40"/>
              <w:jc w:val="center"/>
            </w:pPr>
            <w:r>
              <w:rPr>
                <w:rFonts w:ascii="Calibri" w:cs="Calibri" w:eastAsia="Calibri" w:hAnsi="Calibri"/>
                <w:b w:val="false"/>
                <w:bCs w:val="false"/>
                <w:color w:val="1A1A1A"/>
                <w:sz w:val="20"/>
                <w:szCs w:val="20"/>
              </w:rPr>
              <w:t xml:space="preserve">Stop-loss (non-hold)</w:t>
            </w:r>
          </w:p>
        </w:tc>
        <w:tc>
          <w:tcPr>
            <w:tcW w:type="dxa" w:w="2500"/>
            <w:shd w:fill="FFFFFF" w:val="clear"/>
            <w:vAlign w:val="center"/>
          </w:tcPr>
          <w:p>
            <w:pPr>
              <w:spacing w:after="40" w:before="40"/>
              <w:jc w:val="center"/>
            </w:pPr>
            <w:r>
              <w:rPr>
                <w:rFonts w:ascii="Calibri" w:cs="Calibri" w:eastAsia="Calibri" w:hAnsi="Calibri"/>
                <w:b w:val="false"/>
                <w:bCs w:val="false"/>
                <w:color w:val="1A1A1A"/>
                <w:sz w:val="20"/>
                <w:szCs w:val="20"/>
              </w:rPr>
              <w:t xml:space="preserve">-5% from entry</w:t>
            </w:r>
          </w:p>
        </w:tc>
        <w:tc>
          <w:tcPr>
            <w:tcW w:type="dxa" w:w="4360"/>
            <w:shd w:fill="FFFFFF" w:val="clear"/>
            <w:vAlign w:val="center"/>
          </w:tcPr>
          <w:p>
            <w:pPr>
              <w:spacing w:after="40" w:before="40"/>
              <w:jc w:val="center"/>
            </w:pPr>
            <w:r>
              <w:rPr>
                <w:rFonts w:ascii="Calibri" w:cs="Calibri" w:eastAsia="Calibri" w:hAnsi="Calibri"/>
                <w:b w:val="false"/>
                <w:bCs w:val="false"/>
                <w:color w:val="1A1A1A"/>
                <w:sz w:val="20"/>
                <w:szCs w:val="20"/>
              </w:rPr>
              <w:t xml:space="preserve">Protect capital on runup trades</w:t>
            </w:r>
          </w:p>
        </w:tc>
      </w:tr>
      <w:tr>
        <w:tc>
          <w:tcPr>
            <w:tcW w:type="dxa" w:w="2500"/>
            <w:shd w:fill="F5F5F5" w:val="clear"/>
            <w:vAlign w:val="center"/>
          </w:tcPr>
          <w:p>
            <w:pPr>
              <w:spacing w:after="40" w:before="40"/>
              <w:jc w:val="center"/>
            </w:pPr>
            <w:r>
              <w:rPr>
                <w:rFonts w:ascii="Calibri" w:cs="Calibri" w:eastAsia="Calibri" w:hAnsi="Calibri"/>
                <w:b w:val="false"/>
                <w:bCs w:val="false"/>
                <w:color w:val="1A1A1A"/>
                <w:sz w:val="20"/>
                <w:szCs w:val="20"/>
              </w:rPr>
              <w:t xml:space="preserve">Max short exposure</w:t>
            </w:r>
          </w:p>
        </w:tc>
        <w:tc>
          <w:tcPr>
            <w:tcW w:type="dxa" w:w="2500"/>
            <w:shd w:fill="F5F5F5" w:val="clear"/>
            <w:vAlign w:val="center"/>
          </w:tcPr>
          <w:p>
            <w:pPr>
              <w:spacing w:after="40" w:before="40"/>
              <w:jc w:val="center"/>
            </w:pPr>
            <w:r>
              <w:rPr>
                <w:rFonts w:ascii="Calibri" w:cs="Calibri" w:eastAsia="Calibri" w:hAnsi="Calibri"/>
                <w:b w:val="false"/>
                <w:bCs w:val="false"/>
                <w:color w:val="1A1A1A"/>
                <w:sz w:val="20"/>
                <w:szCs w:val="20"/>
              </w:rPr>
              <w:t xml:space="preserve">5% of portfolio</w:t>
            </w:r>
          </w:p>
        </w:tc>
        <w:tc>
          <w:tcPr>
            <w:tcW w:type="dxa" w:w="4360"/>
            <w:shd w:fill="F5F5F5" w:val="clear"/>
            <w:vAlign w:val="center"/>
          </w:tcPr>
          <w:p>
            <w:pPr>
              <w:spacing w:after="40" w:before="40"/>
              <w:jc w:val="center"/>
            </w:pPr>
            <w:r>
              <w:rPr>
                <w:rFonts w:ascii="Calibri" w:cs="Calibri" w:eastAsia="Calibri" w:hAnsi="Calibri"/>
                <w:b w:val="false"/>
                <w:bCs w:val="false"/>
                <w:color w:val="1A1A1A"/>
                <w:sz w:val="20"/>
                <w:szCs w:val="20"/>
              </w:rPr>
              <w:t xml:space="preserve">Bull trap fades are high-risk</w:t>
            </w:r>
          </w:p>
        </w:tc>
      </w:tr>
      <w:tr>
        <w:tc>
          <w:tcPr>
            <w:tcW w:type="dxa" w:w="2500"/>
            <w:shd w:fill="FFFFFF" w:val="clear"/>
            <w:vAlign w:val="center"/>
          </w:tcPr>
          <w:p>
            <w:pPr>
              <w:spacing w:after="40" w:before="40"/>
              <w:jc w:val="center"/>
            </w:pPr>
            <w:r>
              <w:rPr>
                <w:rFonts w:ascii="Calibri" w:cs="Calibri" w:eastAsia="Calibri" w:hAnsi="Calibri"/>
                <w:b w:val="false"/>
                <w:bCs w:val="false"/>
                <w:color w:val="1A1A1A"/>
                <w:sz w:val="20"/>
                <w:szCs w:val="20"/>
              </w:rPr>
              <w:t xml:space="preserve">Cash reserve</w:t>
            </w:r>
          </w:p>
        </w:tc>
        <w:tc>
          <w:tcPr>
            <w:tcW w:type="dxa" w:w="2500"/>
            <w:shd w:fill="FFFFFF" w:val="clear"/>
            <w:vAlign w:val="center"/>
          </w:tcPr>
          <w:p>
            <w:pPr>
              <w:spacing w:after="40" w:before="40"/>
              <w:jc w:val="center"/>
            </w:pPr>
            <w:r>
              <w:rPr>
                <w:rFonts w:ascii="Calibri" w:cs="Calibri" w:eastAsia="Calibri" w:hAnsi="Calibri"/>
                <w:b w:val="false"/>
                <w:bCs w:val="false"/>
                <w:color w:val="1A1A1A"/>
                <w:sz w:val="20"/>
                <w:szCs w:val="20"/>
              </w:rPr>
              <w:t xml:space="preserve">&gt;50% always</w:t>
            </w:r>
          </w:p>
        </w:tc>
        <w:tc>
          <w:tcPr>
            <w:tcW w:type="dxa" w:w="4360"/>
            <w:shd w:fill="FFFFFF" w:val="clear"/>
            <w:vAlign w:val="center"/>
          </w:tcPr>
          <w:p>
            <w:pPr>
              <w:spacing w:after="40" w:before="40"/>
              <w:jc w:val="center"/>
            </w:pPr>
            <w:r>
              <w:rPr>
                <w:rFonts w:ascii="Calibri" w:cs="Calibri" w:eastAsia="Calibri" w:hAnsi="Calibri"/>
                <w:b w:val="false"/>
                <w:bCs w:val="false"/>
                <w:color w:val="1A1A1A"/>
                <w:sz w:val="20"/>
                <w:szCs w:val="20"/>
              </w:rPr>
              <w:t xml:space="preserve">Dry powder for opportunities</w:t>
            </w:r>
          </w:p>
        </w:tc>
      </w:tr>
    </w:tbl>
    <w:p>
      <w:pPr>
        <w:pStyle w:val="Heading1"/>
        <w:spacing w:after="150" w:before="300"/>
      </w:pPr>
      <w:r>
        <w:rPr>
          <w:rFonts w:ascii="Calibri" w:cs="Calibri" w:eastAsia="Calibri" w:hAnsi="Calibri"/>
          <w:b/>
          <w:bCs/>
          <w:color w:val="0A1628"/>
          <w:sz w:val="32"/>
          <w:szCs w:val="32"/>
        </w:rPr>
        <w:t xml:space="preserve">6. Revenue Tier Position Multiplier</w:t>
      </w:r>
    </w:p>
    <w:p>
      <w:pPr>
        <w:spacing w:after="120"/>
      </w:pPr>
      <w:r>
        <w:rPr>
          <w:rFonts w:ascii="Calibri" w:cs="Calibri" w:eastAsia="Calibri" w:hAnsi="Calibri"/>
          <w:b w:val="false"/>
          <w:bCs w:val="false"/>
          <w:i w:val="false"/>
          <w:iCs w:val="false"/>
          <w:color w:val="1A1A1A"/>
          <w:sz w:val="22"/>
          <w:szCs w:val="22"/>
        </w:rPr>
        <w:t xml:space="preserve">ODIN's revenue tier system (R1-R4) further refines position sizing based on expected peak revenue of the approved drug: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c>
          <w:tcPr>
            <w:tcW w:type="dxa" w:w="2000"/>
            <w:shd w:fill="0A1628" w:val="clear"/>
            <w:vAlign w:val="center"/>
          </w:tcPr>
          <w:p>
            <w:pPr>
              <w:spacing w:after="40" w:before="40"/>
              <w:jc w:val="center"/>
            </w:pPr>
            <w:r>
              <w:rPr>
                <w:rFonts w:ascii="Calibri" w:cs="Calibri" w:eastAsia="Calibri" w:hAnsi="Calibri"/>
                <w:b/>
                <w:bCs/>
                <w:color w:val="FFFFFF"/>
                <w:sz w:val="20"/>
                <w:szCs w:val="20"/>
              </w:rPr>
              <w:t xml:space="preserve">Revenue Tier</w:t>
            </w:r>
          </w:p>
        </w:tc>
        <w:tc>
          <w:tcPr>
            <w:tcW w:type="dxa" w:w="2000"/>
            <w:shd w:fill="0A1628" w:val="clear"/>
            <w:vAlign w:val="center"/>
          </w:tcPr>
          <w:p>
            <w:pPr>
              <w:spacing w:after="40" w:before="40"/>
              <w:jc w:val="center"/>
            </w:pPr>
            <w:r>
              <w:rPr>
                <w:rFonts w:ascii="Calibri" w:cs="Calibri" w:eastAsia="Calibri" w:hAnsi="Calibri"/>
                <w:b/>
                <w:bCs/>
                <w:color w:val="FFFFFF"/>
                <w:sz w:val="20"/>
                <w:szCs w:val="20"/>
              </w:rPr>
              <w:t xml:space="preserve">Peak Revenue</w:t>
            </w:r>
          </w:p>
        </w:tc>
        <w:tc>
          <w:tcPr>
            <w:tcW w:type="dxa" w:w="2500"/>
            <w:shd w:fill="0A1628" w:val="clear"/>
            <w:vAlign w:val="center"/>
          </w:tcPr>
          <w:p>
            <w:pPr>
              <w:spacing w:after="40" w:before="40"/>
              <w:jc w:val="center"/>
            </w:pPr>
            <w:r>
              <w:rPr>
                <w:rFonts w:ascii="Calibri" w:cs="Calibri" w:eastAsia="Calibri" w:hAnsi="Calibri"/>
                <w:b/>
                <w:bCs/>
                <w:color w:val="FFFFFF"/>
                <w:sz w:val="20"/>
                <w:szCs w:val="20"/>
              </w:rPr>
              <w:t xml:space="preserve">Position Multiplier</w:t>
            </w:r>
          </w:p>
        </w:tc>
        <w:tc>
          <w:tcPr>
            <w:tcW w:type="dxa" w:w="2860"/>
            <w:shd w:fill="0A1628" w:val="clear"/>
            <w:vAlign w:val="center"/>
          </w:tcPr>
          <w:p>
            <w:pPr>
              <w:spacing w:after="40" w:before="40"/>
              <w:jc w:val="center"/>
            </w:pPr>
            <w:r>
              <w:rPr>
                <w:rFonts w:ascii="Calibri" w:cs="Calibri" w:eastAsia="Calibri" w:hAnsi="Calibri"/>
                <w:b/>
                <w:bCs/>
                <w:color w:val="FFFFFF"/>
                <w:sz w:val="20"/>
                <w:szCs w:val="20"/>
              </w:rPr>
              <w:t xml:space="preserve">Rationale</w:t>
            </w:r>
          </w:p>
        </w:tc>
      </w:tr>
      <w:tr>
        <w:tc>
          <w:tcPr>
            <w:tcW w:type="dxa" w:w="2000"/>
            <w:shd w:fill="F5F5F5" w:val="clear"/>
            <w:vAlign w:val="center"/>
          </w:tcPr>
          <w:p>
            <w:pPr>
              <w:spacing w:after="40" w:before="40"/>
              <w:jc w:val="center"/>
            </w:pPr>
            <w:r>
              <w:rPr>
                <w:rFonts w:ascii="Calibri" w:cs="Calibri" w:eastAsia="Calibri" w:hAnsi="Calibri"/>
                <w:b w:val="false"/>
                <w:bCs w:val="false"/>
                <w:color w:val="1A1A1A"/>
                <w:sz w:val="20"/>
                <w:szCs w:val="20"/>
              </w:rPr>
              <w:t xml:space="preserve">R4 (Blockbuster)</w:t>
            </w:r>
          </w:p>
        </w:tc>
        <w:tc>
          <w:tcPr>
            <w:tcW w:type="dxa" w:w="2000"/>
            <w:shd w:fill="F5F5F5" w:val="clear"/>
            <w:vAlign w:val="center"/>
          </w:tcPr>
          <w:p>
            <w:pPr>
              <w:spacing w:after="40" w:before="40"/>
              <w:jc w:val="center"/>
            </w:pPr>
            <w:r>
              <w:rPr>
                <w:rFonts w:ascii="Calibri" w:cs="Calibri" w:eastAsia="Calibri" w:hAnsi="Calibri"/>
                <w:b w:val="false"/>
                <w:bCs w:val="false"/>
                <w:color w:val="1A1A1A"/>
                <w:sz w:val="20"/>
                <w:szCs w:val="20"/>
              </w:rPr>
              <w:t xml:space="preserve">&gt;$1B/year</w:t>
            </w:r>
          </w:p>
        </w:tc>
        <w:tc>
          <w:tcPr>
            <w:tcW w:type="dxa" w:w="2500"/>
            <w:shd w:fill="F5F5F5" w:val="clear"/>
            <w:vAlign w:val="center"/>
          </w:tcPr>
          <w:p>
            <w:pPr>
              <w:spacing w:after="40" w:before="40"/>
              <w:jc w:val="center"/>
            </w:pPr>
            <w:r>
              <w:rPr>
                <w:rFonts w:ascii="Calibri" w:cs="Calibri" w:eastAsia="Calibri" w:hAnsi="Calibri"/>
                <w:b w:val="false"/>
                <w:bCs w:val="false"/>
                <w:color w:val="1A1A1A"/>
                <w:sz w:val="20"/>
                <w:szCs w:val="20"/>
              </w:rPr>
              <w:t xml:space="preserve">1.5x base</w:t>
            </w:r>
          </w:p>
        </w:tc>
        <w:tc>
          <w:tcPr>
            <w:tcW w:type="dxa" w:w="2860"/>
            <w:shd w:fill="F5F5F5" w:val="clear"/>
            <w:vAlign w:val="center"/>
          </w:tcPr>
          <w:p>
            <w:pPr>
              <w:spacing w:after="40" w:before="40"/>
              <w:jc w:val="center"/>
            </w:pPr>
            <w:r>
              <w:rPr>
                <w:rFonts w:ascii="Calibri" w:cs="Calibri" w:eastAsia="Calibri" w:hAnsi="Calibri"/>
                <w:b w:val="false"/>
                <w:bCs w:val="false"/>
                <w:color w:val="1A1A1A"/>
                <w:sz w:val="20"/>
                <w:szCs w:val="20"/>
              </w:rPr>
              <w:t xml:space="preserve">Market-moving approval, sustained upside</w:t>
            </w:r>
          </w:p>
        </w:tc>
      </w:tr>
      <w:tr>
        <w:tc>
          <w:tcPr>
            <w:tcW w:type="dxa" w:w="2000"/>
            <w:shd w:fill="FFFFFF" w:val="clear"/>
            <w:vAlign w:val="center"/>
          </w:tcPr>
          <w:p>
            <w:pPr>
              <w:spacing w:after="40" w:before="40"/>
              <w:jc w:val="center"/>
            </w:pPr>
            <w:r>
              <w:rPr>
                <w:rFonts w:ascii="Calibri" w:cs="Calibri" w:eastAsia="Calibri" w:hAnsi="Calibri"/>
                <w:b w:val="false"/>
                <w:bCs w:val="false"/>
                <w:color w:val="1A1A1A"/>
                <w:sz w:val="20"/>
                <w:szCs w:val="20"/>
              </w:rPr>
              <w:t xml:space="preserve">R3 (Significant)</w:t>
            </w:r>
          </w:p>
        </w:tc>
        <w:tc>
          <w:tcPr>
            <w:tcW w:type="dxa" w:w="2000"/>
            <w:shd w:fill="FFFFFF" w:val="clear"/>
            <w:vAlign w:val="center"/>
          </w:tcPr>
          <w:p>
            <w:pPr>
              <w:spacing w:after="40" w:before="40"/>
              <w:jc w:val="center"/>
            </w:pPr>
            <w:r>
              <w:rPr>
                <w:rFonts w:ascii="Calibri" w:cs="Calibri" w:eastAsia="Calibri" w:hAnsi="Calibri"/>
                <w:b w:val="false"/>
                <w:bCs w:val="false"/>
                <w:color w:val="1A1A1A"/>
                <w:sz w:val="20"/>
                <w:szCs w:val="20"/>
              </w:rPr>
              <w:t xml:space="preserve">$300M-$1B/year</w:t>
            </w:r>
          </w:p>
        </w:tc>
        <w:tc>
          <w:tcPr>
            <w:tcW w:type="dxa" w:w="2500"/>
            <w:shd w:fill="FFFFFF" w:val="clear"/>
            <w:vAlign w:val="center"/>
          </w:tcPr>
          <w:p>
            <w:pPr>
              <w:spacing w:after="40" w:before="40"/>
              <w:jc w:val="center"/>
            </w:pPr>
            <w:r>
              <w:rPr>
                <w:rFonts w:ascii="Calibri" w:cs="Calibri" w:eastAsia="Calibri" w:hAnsi="Calibri"/>
                <w:b w:val="false"/>
                <w:bCs w:val="false"/>
                <w:color w:val="1A1A1A"/>
                <w:sz w:val="20"/>
                <w:szCs w:val="20"/>
              </w:rPr>
              <w:t xml:space="preserve">1.2x base</w:t>
            </w:r>
          </w:p>
        </w:tc>
        <w:tc>
          <w:tcPr>
            <w:tcW w:type="dxa" w:w="2860"/>
            <w:shd w:fill="FFFFFF" w:val="clear"/>
            <w:vAlign w:val="center"/>
          </w:tcPr>
          <w:p>
            <w:pPr>
              <w:spacing w:after="40" w:before="40"/>
              <w:jc w:val="center"/>
            </w:pPr>
            <w:r>
              <w:rPr>
                <w:rFonts w:ascii="Calibri" w:cs="Calibri" w:eastAsia="Calibri" w:hAnsi="Calibri"/>
                <w:b w:val="false"/>
                <w:bCs w:val="false"/>
                <w:color w:val="1A1A1A"/>
                <w:sz w:val="20"/>
                <w:szCs w:val="20"/>
              </w:rPr>
              <w:t xml:space="preserve">Meaningful revenue driver</w:t>
            </w:r>
          </w:p>
        </w:tc>
      </w:tr>
      <w:tr>
        <w:tc>
          <w:tcPr>
            <w:tcW w:type="dxa" w:w="2000"/>
            <w:shd w:fill="F5F5F5" w:val="clear"/>
            <w:vAlign w:val="center"/>
          </w:tcPr>
          <w:p>
            <w:pPr>
              <w:spacing w:after="40" w:before="40"/>
              <w:jc w:val="center"/>
            </w:pPr>
            <w:r>
              <w:rPr>
                <w:rFonts w:ascii="Calibri" w:cs="Calibri" w:eastAsia="Calibri" w:hAnsi="Calibri"/>
                <w:b w:val="false"/>
                <w:bCs w:val="false"/>
                <w:color w:val="1A1A1A"/>
                <w:sz w:val="20"/>
                <w:szCs w:val="20"/>
              </w:rPr>
              <w:t xml:space="preserve">R2 (Moderate)</w:t>
            </w:r>
          </w:p>
        </w:tc>
        <w:tc>
          <w:tcPr>
            <w:tcW w:type="dxa" w:w="2000"/>
            <w:shd w:fill="F5F5F5" w:val="clear"/>
            <w:vAlign w:val="center"/>
          </w:tcPr>
          <w:p>
            <w:pPr>
              <w:spacing w:after="40" w:before="40"/>
              <w:jc w:val="center"/>
            </w:pPr>
            <w:r>
              <w:rPr>
                <w:rFonts w:ascii="Calibri" w:cs="Calibri" w:eastAsia="Calibri" w:hAnsi="Calibri"/>
                <w:b w:val="false"/>
                <w:bCs w:val="false"/>
                <w:color w:val="1A1A1A"/>
                <w:sz w:val="20"/>
                <w:szCs w:val="20"/>
              </w:rPr>
              <w:t xml:space="preserve">$100M-$300M/year</w:t>
            </w:r>
          </w:p>
        </w:tc>
        <w:tc>
          <w:tcPr>
            <w:tcW w:type="dxa" w:w="2500"/>
            <w:shd w:fill="F5F5F5" w:val="clear"/>
            <w:vAlign w:val="center"/>
          </w:tcPr>
          <w:p>
            <w:pPr>
              <w:spacing w:after="40" w:before="40"/>
              <w:jc w:val="center"/>
            </w:pPr>
            <w:r>
              <w:rPr>
                <w:rFonts w:ascii="Calibri" w:cs="Calibri" w:eastAsia="Calibri" w:hAnsi="Calibri"/>
                <w:b w:val="false"/>
                <w:bCs w:val="false"/>
                <w:color w:val="1A1A1A"/>
                <w:sz w:val="20"/>
                <w:szCs w:val="20"/>
              </w:rPr>
              <w:t xml:space="preserve">1.0x base</w:t>
            </w:r>
          </w:p>
        </w:tc>
        <w:tc>
          <w:tcPr>
            <w:tcW w:type="dxa" w:w="2860"/>
            <w:shd w:fill="F5F5F5" w:val="clear"/>
            <w:vAlign w:val="center"/>
          </w:tcPr>
          <w:p>
            <w:pPr>
              <w:spacing w:after="40" w:before="40"/>
              <w:jc w:val="center"/>
            </w:pPr>
            <w:r>
              <w:rPr>
                <w:rFonts w:ascii="Calibri" w:cs="Calibri" w:eastAsia="Calibri" w:hAnsi="Calibri"/>
                <w:b w:val="false"/>
                <w:bCs w:val="false"/>
                <w:color w:val="1A1A1A"/>
                <w:sz w:val="20"/>
                <w:szCs w:val="20"/>
              </w:rPr>
              <w:t xml:space="preserve">Standard position</w:t>
            </w:r>
          </w:p>
        </w:tc>
      </w:tr>
      <w:tr>
        <w:tc>
          <w:tcPr>
            <w:tcW w:type="dxa" w:w="2000"/>
            <w:shd w:fill="FFFFFF" w:val="clear"/>
            <w:vAlign w:val="center"/>
          </w:tcPr>
          <w:p>
            <w:pPr>
              <w:spacing w:after="40" w:before="40"/>
              <w:jc w:val="center"/>
            </w:pPr>
            <w:r>
              <w:rPr>
                <w:rFonts w:ascii="Calibri" w:cs="Calibri" w:eastAsia="Calibri" w:hAnsi="Calibri"/>
                <w:b w:val="false"/>
                <w:bCs w:val="false"/>
                <w:color w:val="1A1A1A"/>
                <w:sz w:val="20"/>
                <w:szCs w:val="20"/>
              </w:rPr>
              <w:t xml:space="preserve">R1 (Niche)</w:t>
            </w:r>
          </w:p>
        </w:tc>
        <w:tc>
          <w:tcPr>
            <w:tcW w:type="dxa" w:w="2000"/>
            <w:shd w:fill="FFFFFF" w:val="clear"/>
            <w:vAlign w:val="center"/>
          </w:tcPr>
          <w:p>
            <w:pPr>
              <w:spacing w:after="40" w:before="40"/>
              <w:jc w:val="center"/>
            </w:pPr>
            <w:r>
              <w:rPr>
                <w:rFonts w:ascii="Calibri" w:cs="Calibri" w:eastAsia="Calibri" w:hAnsi="Calibri"/>
                <w:b w:val="false"/>
                <w:bCs w:val="false"/>
                <w:color w:val="1A1A1A"/>
                <w:sz w:val="20"/>
                <w:szCs w:val="20"/>
              </w:rPr>
              <w:t xml:space="preserve">&lt;$100M/year</w:t>
            </w:r>
          </w:p>
        </w:tc>
        <w:tc>
          <w:tcPr>
            <w:tcW w:type="dxa" w:w="2500"/>
            <w:shd w:fill="FFFFFF" w:val="clear"/>
            <w:vAlign w:val="center"/>
          </w:tcPr>
          <w:p>
            <w:pPr>
              <w:spacing w:after="40" w:before="40"/>
              <w:jc w:val="center"/>
            </w:pPr>
            <w:r>
              <w:rPr>
                <w:rFonts w:ascii="Calibri" w:cs="Calibri" w:eastAsia="Calibri" w:hAnsi="Calibri"/>
                <w:b w:val="false"/>
                <w:bCs w:val="false"/>
                <w:color w:val="1A1A1A"/>
                <w:sz w:val="20"/>
                <w:szCs w:val="20"/>
              </w:rPr>
              <w:t xml:space="preserve">0.7x base</w:t>
            </w:r>
          </w:p>
        </w:tc>
        <w:tc>
          <w:tcPr>
            <w:tcW w:type="dxa" w:w="2860"/>
            <w:shd w:fill="FFFFFF" w:val="clear"/>
            <w:vAlign w:val="center"/>
          </w:tcPr>
          <w:p>
            <w:pPr>
              <w:spacing w:after="40" w:before="40"/>
              <w:jc w:val="center"/>
            </w:pPr>
            <w:r>
              <w:rPr>
                <w:rFonts w:ascii="Calibri" w:cs="Calibri" w:eastAsia="Calibri" w:hAnsi="Calibri"/>
                <w:b w:val="false"/>
                <w:bCs w:val="false"/>
                <w:color w:val="1A1A1A"/>
                <w:sz w:val="20"/>
                <w:szCs w:val="20"/>
              </w:rPr>
              <w:t xml:space="preserve">Limited impact, smaller position</w:t>
            </w:r>
          </w:p>
        </w:tc>
      </w:tr>
    </w:tbl>
    <w:p>
      <w:pPr>
        <w:spacing w:after="120"/>
      </w:pPr>
      <w:r>
        <w:rPr>
          <w:rFonts w:ascii="Calibri" w:cs="Calibri" w:eastAsia="Calibri" w:hAnsi="Calibri"/>
          <w:b w:val="false"/>
          <w:bCs w:val="false"/>
          <w:i w:val="false"/>
          <w:iCs w:val="false"/>
          <w:color w:val="1A1A1A"/>
          <w:sz w:val="22"/>
          <w:szCs w:val="22"/>
        </w:rPr>
        <w:t xml:space="preserve">Apply the multiplier to the base position size from each signal. For example, a Small T1 (Signal C, 5-8% base) with R4 revenue tier would warrant 7.5-12% position size (capped at the 8% max rule).</w:t>
      </w:r>
    </w:p>
    <w:p>
      <w:pPr>
        <w:pStyle w:val="Heading1"/>
        <w:spacing w:after="150" w:before="300"/>
      </w:pPr>
      <w:r>
        <w:rPr>
          <w:rFonts w:ascii="Calibri" w:cs="Calibri" w:eastAsia="Calibri" w:hAnsi="Calibri"/>
          <w:b/>
          <w:bCs/>
          <w:color w:val="0A1628"/>
          <w:sz w:val="32"/>
          <w:szCs w:val="32"/>
        </w:rPr>
        <w:t xml:space="preserve">7. Historical Edge Quantification</w:t>
      </w:r>
    </w:p>
    <w:p>
      <w:pPr>
        <w:spacing w:after="120"/>
      </w:pPr>
      <w:r>
        <w:rPr>
          <w:rFonts w:ascii="Calibri" w:cs="Calibri" w:eastAsia="Calibri" w:hAnsi="Calibri"/>
          <w:b w:val="false"/>
          <w:bCs w:val="false"/>
          <w:i w:val="false"/>
          <w:iCs w:val="false"/>
          <w:color w:val="1A1A1A"/>
          <w:sz w:val="22"/>
          <w:szCs w:val="22"/>
        </w:rPr>
        <w:t xml:space="preserve">The following table shows hypothetical returns if each signal had been applied to the 2020-2025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500"/>
        <w:gridCol w:w="1800"/>
        <w:gridCol w:w="1860"/>
      </w:tblGrid>
      <w:tr>
        <w:tc>
          <w:tcPr>
            <w:tcW w:type="dxa" w:w="2200"/>
            <w:shd w:fill="0A1628" w:val="clear"/>
            <w:vAlign w:val="center"/>
          </w:tcPr>
          <w:p>
            <w:pPr>
              <w:spacing w:after="40" w:before="40"/>
              <w:jc w:val="center"/>
            </w:pPr>
            <w:r>
              <w:rPr>
                <w:rFonts w:ascii="Calibri" w:cs="Calibri" w:eastAsia="Calibri" w:hAnsi="Calibri"/>
                <w:b/>
                <w:bCs/>
                <w:color w:val="FFFFFF"/>
                <w:sz w:val="20"/>
                <w:szCs w:val="20"/>
              </w:rPr>
              <w:t xml:space="preserve">Signal</w:t>
            </w:r>
          </w:p>
        </w:tc>
        <w:tc>
          <w:tcPr>
            <w:tcW w:type="dxa" w:w="2000"/>
            <w:shd w:fill="0A1628" w:val="clear"/>
            <w:vAlign w:val="center"/>
          </w:tcPr>
          <w:p>
            <w:pPr>
              <w:spacing w:after="40" w:before="40"/>
              <w:jc w:val="center"/>
            </w:pPr>
            <w:r>
              <w:rPr>
                <w:rFonts w:ascii="Calibri" w:cs="Calibri" w:eastAsia="Calibri" w:hAnsi="Calibri"/>
                <w:b/>
                <w:bCs/>
                <w:color w:val="FFFFFF"/>
                <w:sz w:val="20"/>
                <w:szCs w:val="20"/>
              </w:rPr>
              <w:t xml:space="preserve">Avg Return/Trade</w:t>
            </w:r>
          </w:p>
        </w:tc>
        <w:tc>
          <w:tcPr>
            <w:tcW w:type="dxa" w:w="1500"/>
            <w:shd w:fill="0A1628" w:val="clear"/>
            <w:vAlign w:val="center"/>
          </w:tcPr>
          <w:p>
            <w:pPr>
              <w:spacing w:after="40" w:before="40"/>
              <w:jc w:val="center"/>
            </w:pPr>
            <w:r>
              <w:rPr>
                <w:rFonts w:ascii="Calibri" w:cs="Calibri" w:eastAsia="Calibri" w:hAnsi="Calibri"/>
                <w:b/>
                <w:bCs/>
                <w:color w:val="FFFFFF"/>
                <w:sz w:val="20"/>
                <w:szCs w:val="20"/>
              </w:rPr>
              <w:t xml:space="preserve">Win Rate</w:t>
            </w:r>
          </w:p>
        </w:tc>
        <w:tc>
          <w:tcPr>
            <w:tcW w:type="dxa" w:w="1800"/>
            <w:shd w:fill="0A1628" w:val="clear"/>
            <w:vAlign w:val="center"/>
          </w:tcPr>
          <w:p>
            <w:pPr>
              <w:spacing w:after="40" w:before="40"/>
              <w:jc w:val="center"/>
            </w:pPr>
            <w:r>
              <w:rPr>
                <w:rFonts w:ascii="Calibri" w:cs="Calibri" w:eastAsia="Calibri" w:hAnsi="Calibri"/>
                <w:b/>
                <w:bCs/>
                <w:color w:val="FFFFFF"/>
                <w:sz w:val="20"/>
                <w:szCs w:val="20"/>
              </w:rPr>
              <w:t xml:space="preserve">Events/Year</w:t>
            </w:r>
          </w:p>
        </w:tc>
        <w:tc>
          <w:tcPr>
            <w:tcW w:type="dxa" w:w="1860"/>
            <w:shd w:fill="0A1628" w:val="clear"/>
            <w:vAlign w:val="center"/>
          </w:tcPr>
          <w:p>
            <w:pPr>
              <w:spacing w:after="40" w:before="40"/>
              <w:jc w:val="center"/>
            </w:pPr>
            <w:r>
              <w:rPr>
                <w:rFonts w:ascii="Calibri" w:cs="Calibri" w:eastAsia="Calibri" w:hAnsi="Calibri"/>
                <w:b/>
                <w:bCs/>
                <w:color w:val="FFFFFF"/>
                <w:sz w:val="20"/>
                <w:szCs w:val="20"/>
              </w:rPr>
              <w:t xml:space="preserve">Expected Annual</w:t>
            </w:r>
          </w:p>
        </w:tc>
      </w:tr>
      <w:tr>
        <w:tc>
          <w:tcPr>
            <w:tcW w:type="dxa" w:w="2200"/>
            <w:shd w:fill="F5F5F5" w:val="clear"/>
            <w:vAlign w:val="center"/>
          </w:tcPr>
          <w:p>
            <w:pPr>
              <w:spacing w:after="40" w:before="40"/>
              <w:jc w:val="center"/>
            </w:pPr>
            <w:r>
              <w:rPr>
                <w:rFonts w:ascii="Calibri" w:cs="Calibri" w:eastAsia="Calibri" w:hAnsi="Calibri"/>
                <w:b w:val="false"/>
                <w:bCs w:val="false"/>
                <w:color w:val="1A1A1A"/>
                <w:sz w:val="20"/>
                <w:szCs w:val="20"/>
              </w:rPr>
              <w:t xml:space="preserve">A: Micro Momentum</w:t>
            </w:r>
          </w:p>
        </w:tc>
        <w:tc>
          <w:tcPr>
            <w:tcW w:type="dxa" w:w="2000"/>
            <w:shd w:fill="F5F5F5" w:val="clear"/>
            <w:vAlign w:val="center"/>
          </w:tcPr>
          <w:p>
            <w:pPr>
              <w:spacing w:after="40" w:before="40"/>
              <w:jc w:val="center"/>
            </w:pPr>
            <w:r>
              <w:rPr>
                <w:rFonts w:ascii="Calibri" w:cs="Calibri" w:eastAsia="Calibri" w:hAnsi="Calibri"/>
                <w:b w:val="false"/>
                <w:bCs w:val="false"/>
                <w:color w:val="1A1A1A"/>
                <w:sz w:val="20"/>
                <w:szCs w:val="20"/>
              </w:rPr>
              <w:t xml:space="preserve">+5.25%</w:t>
            </w:r>
          </w:p>
        </w:tc>
        <w:tc>
          <w:tcPr>
            <w:tcW w:type="dxa" w:w="1500"/>
            <w:shd w:fill="F5F5F5" w:val="clear"/>
            <w:vAlign w:val="center"/>
          </w:tcPr>
          <w:p>
            <w:pPr>
              <w:spacing w:after="40" w:before="40"/>
              <w:jc w:val="center"/>
            </w:pPr>
            <w:r>
              <w:rPr>
                <w:rFonts w:ascii="Calibri" w:cs="Calibri" w:eastAsia="Calibri" w:hAnsi="Calibri"/>
                <w:b w:val="false"/>
                <w:bCs w:val="false"/>
                <w:color w:val="1A1A1A"/>
                <w:sz w:val="20"/>
                <w:szCs w:val="20"/>
              </w:rPr>
              <w:t xml:space="preserve">62%</w:t>
            </w:r>
          </w:p>
        </w:tc>
        <w:tc>
          <w:tcPr>
            <w:tcW w:type="dxa" w:w="1800"/>
            <w:shd w:fill="F5F5F5" w:val="clear"/>
            <w:vAlign w:val="center"/>
          </w:tcPr>
          <w:p>
            <w:pPr>
              <w:spacing w:after="40" w:before="40"/>
              <w:jc w:val="center"/>
            </w:pPr>
            <w:r>
              <w:rPr>
                <w:rFonts w:ascii="Calibri" w:cs="Calibri" w:eastAsia="Calibri" w:hAnsi="Calibri"/>
                <w:b w:val="false"/>
                <w:bCs w:val="false"/>
                <w:color w:val="1A1A1A"/>
                <w:sz w:val="20"/>
                <w:szCs w:val="20"/>
              </w:rPr>
              <w:t xml:space="preserve">~50</w:t>
            </w:r>
          </w:p>
        </w:tc>
        <w:tc>
          <w:tcPr>
            <w:tcW w:type="dxa" w:w="1860"/>
            <w:shd w:fill="F5F5F5" w:val="clear"/>
            <w:vAlign w:val="center"/>
          </w:tcPr>
          <w:p>
            <w:pPr>
              <w:spacing w:after="40" w:before="40"/>
              <w:jc w:val="center"/>
            </w:pPr>
            <w:r>
              <w:rPr>
                <w:rFonts w:ascii="Calibri" w:cs="Calibri" w:eastAsia="Calibri" w:hAnsi="Calibri"/>
                <w:b w:val="false"/>
                <w:bCs w:val="false"/>
                <w:color w:val="1A1A1A"/>
                <w:sz w:val="20"/>
                <w:szCs w:val="20"/>
              </w:rPr>
              <w:t xml:space="preserve">+160% gross</w:t>
            </w:r>
          </w:p>
        </w:tc>
      </w:tr>
      <w:tr>
        <w:tc>
          <w:tcPr>
            <w:tcW w:type="dxa" w:w="2200"/>
            <w:shd w:fill="FFFFFF" w:val="clear"/>
            <w:vAlign w:val="center"/>
          </w:tcPr>
          <w:p>
            <w:pPr>
              <w:spacing w:after="40" w:before="40"/>
              <w:jc w:val="center"/>
            </w:pPr>
            <w:r>
              <w:rPr>
                <w:rFonts w:ascii="Calibri" w:cs="Calibri" w:eastAsia="Calibri" w:hAnsi="Calibri"/>
                <w:b w:val="false"/>
                <w:bCs w:val="false"/>
                <w:color w:val="1A1A1A"/>
                <w:sz w:val="20"/>
                <w:szCs w:val="20"/>
              </w:rPr>
              <w:t xml:space="preserve">B: Small T2 Hold</w:t>
            </w:r>
          </w:p>
        </w:tc>
        <w:tc>
          <w:tcPr>
            <w:tcW w:type="dxa" w:w="2000"/>
            <w:shd w:fill="FFFFFF" w:val="clear"/>
            <w:vAlign w:val="center"/>
          </w:tcPr>
          <w:p>
            <w:pPr>
              <w:spacing w:after="40" w:before="40"/>
              <w:jc w:val="center"/>
            </w:pPr>
            <w:r>
              <w:rPr>
                <w:rFonts w:ascii="Calibri" w:cs="Calibri" w:eastAsia="Calibri" w:hAnsi="Calibri"/>
                <w:b w:val="false"/>
                <w:bCs w:val="false"/>
                <w:color w:val="1A1A1A"/>
                <w:sz w:val="20"/>
                <w:szCs w:val="20"/>
              </w:rPr>
              <w:t xml:space="preserve">+2.71% + post</w:t>
            </w:r>
          </w:p>
        </w:tc>
        <w:tc>
          <w:tcPr>
            <w:tcW w:type="dxa" w:w="1500"/>
            <w:shd w:fill="FFFFFF" w:val="clear"/>
            <w:vAlign w:val="center"/>
          </w:tcPr>
          <w:p>
            <w:pPr>
              <w:spacing w:after="40" w:before="40"/>
              <w:jc w:val="center"/>
            </w:pPr>
            <w:r>
              <w:rPr>
                <w:rFonts w:ascii="Calibri" w:cs="Calibri" w:eastAsia="Calibri" w:hAnsi="Calibri"/>
                <w:b w:val="false"/>
                <w:bCs w:val="false"/>
                <w:color w:val="1A1A1A"/>
                <w:sz w:val="20"/>
                <w:szCs w:val="20"/>
              </w:rPr>
              <w:t xml:space="preserve">81%</w:t>
            </w:r>
          </w:p>
        </w:tc>
        <w:tc>
          <w:tcPr>
            <w:tcW w:type="dxa" w:w="1800"/>
            <w:shd w:fill="FFFFFF" w:val="clear"/>
            <w:vAlign w:val="center"/>
          </w:tcPr>
          <w:p>
            <w:pPr>
              <w:spacing w:after="40" w:before="40"/>
              <w:jc w:val="center"/>
            </w:pPr>
            <w:r>
              <w:rPr>
                <w:rFonts w:ascii="Calibri" w:cs="Calibri" w:eastAsia="Calibri" w:hAnsi="Calibri"/>
                <w:b w:val="false"/>
                <w:bCs w:val="false"/>
                <w:color w:val="1A1A1A"/>
                <w:sz w:val="20"/>
                <w:szCs w:val="20"/>
              </w:rPr>
              <w:t xml:space="preserve">~17</w:t>
            </w:r>
          </w:p>
        </w:tc>
        <w:tc>
          <w:tcPr>
            <w:tcW w:type="dxa" w:w="1860"/>
            <w:shd w:fill="FFFFFF" w:val="clear"/>
            <w:vAlign w:val="center"/>
          </w:tcPr>
          <w:p>
            <w:pPr>
              <w:spacing w:after="40" w:before="40"/>
              <w:jc w:val="center"/>
            </w:pPr>
            <w:r>
              <w:rPr>
                <w:rFonts w:ascii="Calibri" w:cs="Calibri" w:eastAsia="Calibri" w:hAnsi="Calibri"/>
                <w:b w:val="false"/>
                <w:bCs w:val="false"/>
                <w:color w:val="1A1A1A"/>
                <w:sz w:val="20"/>
                <w:szCs w:val="20"/>
              </w:rPr>
              <w:t xml:space="preserve">+55% gross</w:t>
            </w:r>
          </w:p>
        </w:tc>
      </w:tr>
      <w:tr>
        <w:tc>
          <w:tcPr>
            <w:tcW w:type="dxa" w:w="2200"/>
            <w:shd w:fill="F5F5F5" w:val="clear"/>
            <w:vAlign w:val="center"/>
          </w:tcPr>
          <w:p>
            <w:pPr>
              <w:spacing w:after="40" w:before="40"/>
              <w:jc w:val="center"/>
            </w:pPr>
            <w:r>
              <w:rPr>
                <w:rFonts w:ascii="Calibri" w:cs="Calibri" w:eastAsia="Calibri" w:hAnsi="Calibri"/>
                <w:b w:val="false"/>
                <w:bCs w:val="false"/>
                <w:color w:val="1A1A1A"/>
                <w:sz w:val="20"/>
                <w:szCs w:val="20"/>
              </w:rPr>
              <w:t xml:space="preserve">C: Small T1 Full</w:t>
            </w:r>
          </w:p>
        </w:tc>
        <w:tc>
          <w:tcPr>
            <w:tcW w:type="dxa" w:w="2000"/>
            <w:shd w:fill="F5F5F5" w:val="clear"/>
            <w:vAlign w:val="center"/>
          </w:tcPr>
          <w:p>
            <w:pPr>
              <w:spacing w:after="40" w:before="40"/>
              <w:jc w:val="center"/>
            </w:pPr>
            <w:r>
              <w:rPr>
                <w:rFonts w:ascii="Calibri" w:cs="Calibri" w:eastAsia="Calibri" w:hAnsi="Calibri"/>
                <w:b w:val="false"/>
                <w:bCs w:val="false"/>
                <w:color w:val="1A1A1A"/>
                <w:sz w:val="20"/>
                <w:szCs w:val="20"/>
              </w:rPr>
              <w:t xml:space="preserve">+0.67% + post</w:t>
            </w:r>
          </w:p>
        </w:tc>
        <w:tc>
          <w:tcPr>
            <w:tcW w:type="dxa" w:w="1500"/>
            <w:shd w:fill="F5F5F5" w:val="clear"/>
            <w:vAlign w:val="center"/>
          </w:tcPr>
          <w:p>
            <w:pPr>
              <w:spacing w:after="40" w:before="40"/>
              <w:jc w:val="center"/>
            </w:pPr>
            <w:r>
              <w:rPr>
                <w:rFonts w:ascii="Calibri" w:cs="Calibri" w:eastAsia="Calibri" w:hAnsi="Calibri"/>
                <w:b w:val="false"/>
                <w:bCs w:val="false"/>
                <w:color w:val="1A1A1A"/>
                <w:sz w:val="20"/>
                <w:szCs w:val="20"/>
              </w:rPr>
              <w:t xml:space="preserve">90%</w:t>
            </w:r>
          </w:p>
        </w:tc>
        <w:tc>
          <w:tcPr>
            <w:tcW w:type="dxa" w:w="1800"/>
            <w:shd w:fill="F5F5F5" w:val="clear"/>
            <w:vAlign w:val="center"/>
          </w:tcPr>
          <w:p>
            <w:pPr>
              <w:spacing w:after="40" w:before="40"/>
              <w:jc w:val="center"/>
            </w:pPr>
            <w:r>
              <w:rPr>
                <w:rFonts w:ascii="Calibri" w:cs="Calibri" w:eastAsia="Calibri" w:hAnsi="Calibri"/>
                <w:b w:val="false"/>
                <w:bCs w:val="false"/>
                <w:color w:val="1A1A1A"/>
                <w:sz w:val="20"/>
                <w:szCs w:val="20"/>
              </w:rPr>
              <w:t xml:space="preserve">~9</w:t>
            </w:r>
          </w:p>
        </w:tc>
        <w:tc>
          <w:tcPr>
            <w:tcW w:type="dxa" w:w="1860"/>
            <w:shd w:fill="F5F5F5" w:val="clear"/>
            <w:vAlign w:val="center"/>
          </w:tcPr>
          <w:p>
            <w:pPr>
              <w:spacing w:after="40" w:before="40"/>
              <w:jc w:val="center"/>
            </w:pPr>
            <w:r>
              <w:rPr>
                <w:rFonts w:ascii="Calibri" w:cs="Calibri" w:eastAsia="Calibri" w:hAnsi="Calibri"/>
                <w:b w:val="false"/>
                <w:bCs w:val="false"/>
                <w:color w:val="1A1A1A"/>
                <w:sz w:val="20"/>
                <w:szCs w:val="20"/>
              </w:rPr>
              <w:t xml:space="preserve">+12% gross</w:t>
            </w:r>
          </w:p>
        </w:tc>
      </w:tr>
      <w:tr>
        <w:tc>
          <w:tcPr>
            <w:tcW w:type="dxa" w:w="2200"/>
            <w:shd w:fill="FFFFFF" w:val="clear"/>
            <w:vAlign w:val="center"/>
          </w:tcPr>
          <w:p>
            <w:pPr>
              <w:spacing w:after="40" w:before="40"/>
              <w:jc w:val="center"/>
            </w:pPr>
            <w:r>
              <w:rPr>
                <w:rFonts w:ascii="Calibri" w:cs="Calibri" w:eastAsia="Calibri" w:hAnsi="Calibri"/>
                <w:b w:val="false"/>
                <w:bCs w:val="false"/>
                <w:color w:val="1A1A1A"/>
                <w:sz w:val="20"/>
                <w:szCs w:val="20"/>
              </w:rPr>
              <w:t xml:space="preserve">D: Mid T2 Steady</w:t>
            </w:r>
          </w:p>
        </w:tc>
        <w:tc>
          <w:tcPr>
            <w:tcW w:type="dxa" w:w="2000"/>
            <w:shd w:fill="FFFFFF" w:val="clear"/>
            <w:vAlign w:val="center"/>
          </w:tcPr>
          <w:p>
            <w:pPr>
              <w:spacing w:after="40" w:before="40"/>
              <w:jc w:val="center"/>
            </w:pPr>
            <w:r>
              <w:rPr>
                <w:rFonts w:ascii="Calibri" w:cs="Calibri" w:eastAsia="Calibri" w:hAnsi="Calibri"/>
                <w:b w:val="false"/>
                <w:bCs w:val="false"/>
                <w:color w:val="1A1A1A"/>
                <w:sz w:val="20"/>
                <w:szCs w:val="20"/>
              </w:rPr>
              <w:t xml:space="preserve">+2.07% + post</w:t>
            </w:r>
          </w:p>
        </w:tc>
        <w:tc>
          <w:tcPr>
            <w:tcW w:type="dxa" w:w="1500"/>
            <w:shd w:fill="FFFFFF" w:val="clear"/>
            <w:vAlign w:val="center"/>
          </w:tcPr>
          <w:p>
            <w:pPr>
              <w:spacing w:after="40" w:before="40"/>
              <w:jc w:val="center"/>
            </w:pPr>
            <w:r>
              <w:rPr>
                <w:rFonts w:ascii="Calibri" w:cs="Calibri" w:eastAsia="Calibri" w:hAnsi="Calibri"/>
                <w:b w:val="false"/>
                <w:bCs w:val="false"/>
                <w:color w:val="1A1A1A"/>
                <w:sz w:val="20"/>
                <w:szCs w:val="20"/>
              </w:rPr>
              <w:t xml:space="preserve">86%</w:t>
            </w:r>
          </w:p>
        </w:tc>
        <w:tc>
          <w:tcPr>
            <w:tcW w:type="dxa" w:w="1800"/>
            <w:shd w:fill="FFFFFF" w:val="clear"/>
            <w:vAlign w:val="center"/>
          </w:tcPr>
          <w:p>
            <w:pPr>
              <w:spacing w:after="40" w:before="40"/>
              <w:jc w:val="center"/>
            </w:pPr>
            <w:r>
              <w:rPr>
                <w:rFonts w:ascii="Calibri" w:cs="Calibri" w:eastAsia="Calibri" w:hAnsi="Calibri"/>
                <w:b w:val="false"/>
                <w:bCs w:val="false"/>
                <w:color w:val="1A1A1A"/>
                <w:sz w:val="20"/>
                <w:szCs w:val="20"/>
              </w:rPr>
              <w:t xml:space="preserve">~18</w:t>
            </w:r>
          </w:p>
        </w:tc>
        <w:tc>
          <w:tcPr>
            <w:tcW w:type="dxa" w:w="1860"/>
            <w:shd w:fill="FFFFFF" w:val="clear"/>
            <w:vAlign w:val="center"/>
          </w:tcPr>
          <w:p>
            <w:pPr>
              <w:spacing w:after="40" w:before="40"/>
              <w:jc w:val="center"/>
            </w:pPr>
            <w:r>
              <w:rPr>
                <w:rFonts w:ascii="Calibri" w:cs="Calibri" w:eastAsia="Calibri" w:hAnsi="Calibri"/>
                <w:b w:val="false"/>
                <w:bCs w:val="false"/>
                <w:color w:val="1A1A1A"/>
                <w:sz w:val="20"/>
                <w:szCs w:val="20"/>
              </w:rPr>
              <w:t xml:space="preserve">+45% gross</w:t>
            </w:r>
          </w:p>
        </w:tc>
      </w:tr>
      <w:tr>
        <w:tc>
          <w:tcPr>
            <w:tcW w:type="dxa" w:w="2200"/>
            <w:shd w:fill="F5F5F5" w:val="clear"/>
            <w:vAlign w:val="center"/>
          </w:tcPr>
          <w:p>
            <w:pPr>
              <w:spacing w:after="40" w:before="40"/>
              <w:jc w:val="center"/>
            </w:pPr>
            <w:r>
              <w:rPr>
                <w:rFonts w:ascii="Calibri" w:cs="Calibri" w:eastAsia="Calibri" w:hAnsi="Calibri"/>
                <w:b w:val="false"/>
                <w:bCs w:val="false"/>
                <w:color w:val="1A1A1A"/>
                <w:sz w:val="20"/>
                <w:szCs w:val="20"/>
              </w:rPr>
              <w:t xml:space="preserve">E: Bull Trap Fade</w:t>
            </w:r>
          </w:p>
        </w:tc>
        <w:tc>
          <w:tcPr>
            <w:tcW w:type="dxa" w:w="2000"/>
            <w:shd w:fill="F5F5F5" w:val="clear"/>
            <w:vAlign w:val="center"/>
          </w:tcPr>
          <w:p>
            <w:pPr>
              <w:spacing w:after="40" w:before="40"/>
              <w:jc w:val="center"/>
            </w:pPr>
            <w:r>
              <w:rPr>
                <w:rFonts w:ascii="Calibri" w:cs="Calibri" w:eastAsia="Calibri" w:hAnsi="Calibri"/>
                <w:b w:val="false"/>
                <w:bCs w:val="false"/>
                <w:color w:val="1A1A1A"/>
                <w:sz w:val="20"/>
                <w:szCs w:val="20"/>
              </w:rPr>
              <w:t xml:space="preserve">+6.25% (short)</w:t>
            </w:r>
          </w:p>
        </w:tc>
        <w:tc>
          <w:tcPr>
            <w:tcW w:type="dxa" w:w="1500"/>
            <w:shd w:fill="F5F5F5" w:val="clear"/>
            <w:vAlign w:val="center"/>
          </w:tcPr>
          <w:p>
            <w:pPr>
              <w:spacing w:after="40" w:before="40"/>
              <w:jc w:val="center"/>
            </w:pPr>
            <w:r>
              <w:rPr>
                <w:rFonts w:ascii="Calibri" w:cs="Calibri" w:eastAsia="Calibri" w:hAnsi="Calibri"/>
                <w:b w:val="false"/>
                <w:bCs w:val="false"/>
                <w:color w:val="1A1A1A"/>
                <w:sz w:val="20"/>
                <w:szCs w:val="20"/>
              </w:rPr>
              <w:t xml:space="preserve">83%</w:t>
            </w:r>
          </w:p>
        </w:tc>
        <w:tc>
          <w:tcPr>
            <w:tcW w:type="dxa" w:w="1800"/>
            <w:shd w:fill="F5F5F5" w:val="clear"/>
            <w:vAlign w:val="center"/>
          </w:tcPr>
          <w:p>
            <w:pPr>
              <w:spacing w:after="40" w:before="40"/>
              <w:jc w:val="center"/>
            </w:pPr>
            <w:r>
              <w:rPr>
                <w:rFonts w:ascii="Calibri" w:cs="Calibri" w:eastAsia="Calibri" w:hAnsi="Calibri"/>
                <w:b w:val="false"/>
                <w:bCs w:val="false"/>
                <w:color w:val="1A1A1A"/>
                <w:sz w:val="20"/>
                <w:szCs w:val="20"/>
              </w:rPr>
              <w:t xml:space="preserve">~19</w:t>
            </w:r>
          </w:p>
        </w:tc>
        <w:tc>
          <w:tcPr>
            <w:tcW w:type="dxa" w:w="1860"/>
            <w:shd w:fill="F5F5F5" w:val="clear"/>
            <w:vAlign w:val="center"/>
          </w:tcPr>
          <w:p>
            <w:pPr>
              <w:spacing w:after="40" w:before="40"/>
              <w:jc w:val="center"/>
            </w:pPr>
            <w:r>
              <w:rPr>
                <w:rFonts w:ascii="Calibri" w:cs="Calibri" w:eastAsia="Calibri" w:hAnsi="Calibri"/>
                <w:b w:val="false"/>
                <w:bCs w:val="false"/>
                <w:color w:val="1A1A1A"/>
                <w:sz w:val="20"/>
                <w:szCs w:val="20"/>
              </w:rPr>
              <w:t xml:space="preserve">+95% gross</w:t>
            </w:r>
          </w:p>
        </w:tc>
      </w:tr>
      <w:tr>
        <w:tc>
          <w:tcPr>
            <w:tcW w:type="dxa" w:w="2200"/>
            <w:shd w:fill="FFFFFF" w:val="clear"/>
            <w:vAlign w:val="center"/>
          </w:tcPr>
          <w:p>
            <w:pPr>
              <w:spacing w:after="40" w:before="40"/>
              <w:jc w:val="center"/>
            </w:pPr>
            <w:r>
              <w:rPr>
                <w:rFonts w:ascii="Calibri" w:cs="Calibri" w:eastAsia="Calibri" w:hAnsi="Calibri"/>
                <w:b w:val="false"/>
                <w:bCs w:val="false"/>
                <w:color w:val="1A1A1A"/>
                <w:sz w:val="20"/>
                <w:szCs w:val="20"/>
              </w:rPr>
              <w:t xml:space="preserve">F: Large Post-Event</w:t>
            </w:r>
          </w:p>
        </w:tc>
        <w:tc>
          <w:tcPr>
            <w:tcW w:type="dxa" w:w="2000"/>
            <w:shd w:fill="FFFFFF" w:val="clear"/>
            <w:vAlign w:val="center"/>
          </w:tcPr>
          <w:p>
            <w:pPr>
              <w:spacing w:after="40" w:before="40"/>
              <w:jc w:val="center"/>
            </w:pPr>
            <w:r>
              <w:rPr>
                <w:rFonts w:ascii="Calibri" w:cs="Calibri" w:eastAsia="Calibri" w:hAnsi="Calibri"/>
                <w:b w:val="false"/>
                <w:bCs w:val="false"/>
                <w:color w:val="1A1A1A"/>
                <w:sz w:val="20"/>
                <w:szCs w:val="20"/>
              </w:rPr>
              <w:t xml:space="preserve">+0.24%</w:t>
            </w:r>
          </w:p>
        </w:tc>
        <w:tc>
          <w:tcPr>
            <w:tcW w:type="dxa" w:w="1500"/>
            <w:shd w:fill="FFFFFF" w:val="clear"/>
            <w:vAlign w:val="center"/>
          </w:tcPr>
          <w:p>
            <w:pPr>
              <w:spacing w:after="40" w:before="40"/>
              <w:jc w:val="center"/>
            </w:pPr>
            <w:r>
              <w:rPr>
                <w:rFonts w:ascii="Calibri" w:cs="Calibri" w:eastAsia="Calibri" w:hAnsi="Calibri"/>
                <w:b w:val="false"/>
                <w:bCs w:val="false"/>
                <w:color w:val="1A1A1A"/>
                <w:sz w:val="20"/>
                <w:szCs w:val="20"/>
              </w:rPr>
              <w:t xml:space="preserve">94%</w:t>
            </w:r>
          </w:p>
        </w:tc>
        <w:tc>
          <w:tcPr>
            <w:tcW w:type="dxa" w:w="1800"/>
            <w:shd w:fill="FFFFFF" w:val="clear"/>
            <w:vAlign w:val="center"/>
          </w:tcPr>
          <w:p>
            <w:pPr>
              <w:spacing w:after="40" w:before="40"/>
              <w:jc w:val="center"/>
            </w:pPr>
            <w:r>
              <w:rPr>
                <w:rFonts w:ascii="Calibri" w:cs="Calibri" w:eastAsia="Calibri" w:hAnsi="Calibri"/>
                <w:b w:val="false"/>
                <w:bCs w:val="false"/>
                <w:color w:val="1A1A1A"/>
                <w:sz w:val="20"/>
                <w:szCs w:val="20"/>
              </w:rPr>
              <w:t xml:space="preserve">~99</w:t>
            </w:r>
          </w:p>
        </w:tc>
        <w:tc>
          <w:tcPr>
            <w:tcW w:type="dxa" w:w="1860"/>
            <w:shd w:fill="FFFFFF" w:val="clear"/>
            <w:vAlign w:val="center"/>
          </w:tcPr>
          <w:p>
            <w:pPr>
              <w:spacing w:after="40" w:before="40"/>
              <w:jc w:val="center"/>
            </w:pPr>
            <w:r>
              <w:rPr>
                <w:rFonts w:ascii="Calibri" w:cs="Calibri" w:eastAsia="Calibri" w:hAnsi="Calibri"/>
                <w:b w:val="false"/>
                <w:bCs w:val="false"/>
                <w:color w:val="1A1A1A"/>
                <w:sz w:val="20"/>
                <w:szCs w:val="20"/>
              </w:rPr>
              <w:t xml:space="preserve">+24% gross</w:t>
            </w:r>
          </w:p>
        </w:tc>
      </w:tr>
    </w:tbl>
    <w:p>
      <w:pPr>
        <w:spacing w:after="120" w:before="0"/>
        <w:jc w:val="left"/>
      </w:pPr>
      <w:r>
        <w:rPr>
          <w:rFonts w:ascii="Calibri" w:cs="Calibri" w:eastAsia="Calibri" w:hAnsi="Calibri"/>
          <w:b/>
          <w:bCs/>
          <w:i w:val="false"/>
          <w:iCs w:val="false"/>
          <w:color w:val="CC0000"/>
          <w:sz w:val="22"/>
          <w:szCs w:val="22"/>
        </w:rPr>
        <w:t xml:space="preserve">IMPORTANT: </w:t>
      </w:r>
      <w:r>
        <w:rPr>
          <w:rFonts w:ascii="Calibri" w:cs="Calibri" w:eastAsia="Calibri" w:hAnsi="Calibri"/>
          <w:b w:val="false"/>
          <w:bCs w:val="false"/>
          <w:i w:val="false"/>
          <w:iCs w:val="false"/>
          <w:color w:val="1A1A1A"/>
          <w:sz w:val="22"/>
          <w:szCs w:val="22"/>
        </w:rPr>
        <w:t xml:space="preserve">These are gross hypothetical returns based on historical averages. Actual returns will vary due to slippage, spread, liquidity, position sizing, and market conditions. Past performance does not predict future results. These figures are for educational analysis only.</w:t>
      </w:r>
    </w:p>
    <w:p>
      <w:pPr>
        <w:pStyle w:val="Heading1"/>
        <w:spacing w:after="150" w:before="300"/>
      </w:pPr>
      <w:r>
        <w:rPr>
          <w:rFonts w:ascii="Calibri" w:cs="Calibri" w:eastAsia="Calibri" w:hAnsi="Calibri"/>
          <w:b/>
          <w:bCs/>
          <w:color w:val="0A1628"/>
          <w:sz w:val="32"/>
          <w:szCs w:val="32"/>
        </w:rPr>
        <w:t xml:space="preserve">8. Implementation Checklist</w:t>
      </w:r>
    </w:p>
    <w:p>
      <w:pPr>
        <w:spacing w:after="120"/>
      </w:pPr>
      <w:r>
        <w:rPr>
          <w:rFonts w:ascii="Calibri" w:cs="Calibri" w:eastAsia="Calibri" w:hAnsi="Calibri"/>
          <w:b w:val="false"/>
          <w:bCs w:val="false"/>
          <w:i w:val="false"/>
          <w:iCs w:val="false"/>
          <w:color w:val="1A1A1A"/>
          <w:sz w:val="22"/>
          <w:szCs w:val="22"/>
        </w:rPr>
        <w:t xml:space="preserve">To deploy this strategy for the remainder of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700"/>
        <w:gridCol w:w="2000"/>
        <w:gridCol w:w="2060"/>
      </w:tblGrid>
      <w:tr>
        <w:tc>
          <w:tcPr>
            <w:tcW w:type="dxa" w:w="600"/>
            <w:shd w:fill="0A1628" w:val="clear"/>
            <w:vAlign w:val="center"/>
          </w:tcPr>
          <w:p>
            <w:pPr>
              <w:spacing w:after="40" w:before="40"/>
              <w:jc w:val="center"/>
            </w:pPr>
            <w:r>
              <w:rPr>
                <w:rFonts w:ascii="Calibri" w:cs="Calibri" w:eastAsia="Calibri" w:hAnsi="Calibri"/>
                <w:b/>
                <w:bCs/>
                <w:color w:val="FFFFFF"/>
                <w:sz w:val="20"/>
                <w:szCs w:val="20"/>
              </w:rPr>
              <w:t xml:space="preserve">#</w:t>
            </w:r>
          </w:p>
        </w:tc>
        <w:tc>
          <w:tcPr>
            <w:tcW w:type="dxa" w:w="4700"/>
            <w:shd w:fill="0A1628" w:val="clear"/>
            <w:vAlign w:val="center"/>
          </w:tcPr>
          <w:p>
            <w:pPr>
              <w:spacing w:after="40" w:before="40"/>
              <w:jc w:val="center"/>
            </w:pPr>
            <w:r>
              <w:rPr>
                <w:rFonts w:ascii="Calibri" w:cs="Calibri" w:eastAsia="Calibri" w:hAnsi="Calibri"/>
                <w:b/>
                <w:bCs/>
                <w:color w:val="FFFFFF"/>
                <w:sz w:val="20"/>
                <w:szCs w:val="20"/>
              </w:rPr>
              <w:t xml:space="preserve">Action</w:t>
            </w:r>
          </w:p>
        </w:tc>
        <w:tc>
          <w:tcPr>
            <w:tcW w:type="dxa" w:w="2000"/>
            <w:shd w:fill="0A1628" w:val="clear"/>
            <w:vAlign w:val="center"/>
          </w:tcPr>
          <w:p>
            <w:pPr>
              <w:spacing w:after="40" w:before="40"/>
              <w:jc w:val="center"/>
            </w:pPr>
            <w:r>
              <w:rPr>
                <w:rFonts w:ascii="Calibri" w:cs="Calibri" w:eastAsia="Calibri" w:hAnsi="Calibri"/>
                <w:b/>
                <w:bCs/>
                <w:color w:val="FFFFFF"/>
                <w:sz w:val="20"/>
                <w:szCs w:val="20"/>
              </w:rPr>
              <w:t xml:space="preserve">Timeline</w:t>
            </w:r>
          </w:p>
        </w:tc>
        <w:tc>
          <w:tcPr>
            <w:tcW w:type="dxa" w:w="2060"/>
            <w:shd w:fill="0A1628" w:val="clear"/>
            <w:vAlign w:val="center"/>
          </w:tcPr>
          <w:p>
            <w:pPr>
              <w:spacing w:after="40" w:before="40"/>
              <w:jc w:val="center"/>
            </w:pPr>
            <w:r>
              <w:rPr>
                <w:rFonts w:ascii="Calibri" w:cs="Calibri" w:eastAsia="Calibri" w:hAnsi="Calibri"/>
                <w:b/>
                <w:bCs/>
                <w:color w:val="FFFFFF"/>
                <w:sz w:val="20"/>
                <w:szCs w:val="20"/>
              </w:rPr>
              <w:t xml:space="preserve">Status</w:t>
            </w:r>
          </w:p>
        </w:tc>
      </w:tr>
      <w:tr>
        <w:tc>
          <w:tcPr>
            <w:tcW w:type="dxa" w:w="600"/>
            <w:shd w:fill="F5F5F5" w:val="clear"/>
            <w:vAlign w:val="center"/>
          </w:tcPr>
          <w:p>
            <w:pPr>
              <w:spacing w:after="40" w:before="40"/>
              <w:jc w:val="center"/>
            </w:pPr>
            <w:r>
              <w:rPr>
                <w:rFonts w:ascii="Calibri" w:cs="Calibri" w:eastAsia="Calibri" w:hAnsi="Calibri"/>
                <w:b w:val="false"/>
                <w:bCs w:val="false"/>
                <w:color w:val="1A1A1A"/>
                <w:sz w:val="20"/>
                <w:szCs w:val="20"/>
              </w:rPr>
              <w:t xml:space="preserve">1</w:t>
            </w:r>
          </w:p>
        </w:tc>
        <w:tc>
          <w:tcPr>
            <w:tcW w:type="dxa" w:w="4700"/>
            <w:shd w:fill="F5F5F5" w:val="clear"/>
            <w:vAlign w:val="center"/>
          </w:tcPr>
          <w:p>
            <w:pPr>
              <w:spacing w:after="40" w:before="40"/>
              <w:jc w:val="center"/>
            </w:pPr>
            <w:r>
              <w:rPr>
                <w:rFonts w:ascii="Calibri" w:cs="Calibri" w:eastAsia="Calibri" w:hAnsi="Calibri"/>
                <w:b w:val="false"/>
                <w:bCs w:val="false"/>
                <w:color w:val="1A1A1A"/>
                <w:sz w:val="20"/>
                <w:szCs w:val="20"/>
              </w:rPr>
              <w:t xml:space="preserve">Deploy ODIN MCP v5.0.0 to production</w:t>
            </w:r>
          </w:p>
        </w:tc>
        <w:tc>
          <w:tcPr>
            <w:tcW w:type="dxa" w:w="2000"/>
            <w:shd w:fill="F5F5F5" w:val="clear"/>
            <w:vAlign w:val="center"/>
          </w:tcPr>
          <w:p>
            <w:pPr>
              <w:spacing w:after="40" w:before="40"/>
              <w:jc w:val="center"/>
            </w:pPr>
            <w:r>
              <w:rPr>
                <w:rFonts w:ascii="Calibri" w:cs="Calibri" w:eastAsia="Calibri" w:hAnsi="Calibri"/>
                <w:b w:val="false"/>
                <w:bCs w:val="false"/>
                <w:color w:val="1A1A1A"/>
                <w:sz w:val="20"/>
                <w:szCs w:val="20"/>
              </w:rPr>
              <w:t xml:space="preserve">Week 1</w:t>
            </w:r>
          </w:p>
        </w:tc>
        <w:tc>
          <w:tcPr>
            <w:tcW w:type="dxa" w:w="2060"/>
            <w:shd w:fill="F5F5F5" w:val="clear"/>
            <w:vAlign w:val="center"/>
          </w:tcPr>
          <w:p>
            <w:pPr>
              <w:spacing w:after="40" w:before="40"/>
              <w:jc w:val="center"/>
            </w:pPr>
            <w:r>
              <w:rPr>
                <w:rFonts w:ascii="Calibri" w:cs="Calibri" w:eastAsia="Calibri" w:hAnsi="Calibri"/>
                <w:b w:val="false"/>
                <w:bCs w:val="false"/>
                <w:color w:val="1A1A1A"/>
                <w:sz w:val="20"/>
                <w:szCs w:val="20"/>
              </w:rPr>
              <w:t xml:space="preserve">Ready</w:t>
            </w:r>
          </w:p>
        </w:tc>
      </w:tr>
      <w:tr>
        <w:tc>
          <w:tcPr>
            <w:tcW w:type="dxa" w:w="600"/>
            <w:shd w:fill="FFFFFF" w:val="clear"/>
            <w:vAlign w:val="center"/>
          </w:tcPr>
          <w:p>
            <w:pPr>
              <w:spacing w:after="40" w:before="40"/>
              <w:jc w:val="center"/>
            </w:pPr>
            <w:r>
              <w:rPr>
                <w:rFonts w:ascii="Calibri" w:cs="Calibri" w:eastAsia="Calibri" w:hAnsi="Calibri"/>
                <w:b w:val="false"/>
                <w:bCs w:val="false"/>
                <w:color w:val="1A1A1A"/>
                <w:sz w:val="20"/>
                <w:szCs w:val="20"/>
              </w:rPr>
              <w:t xml:space="preserve">2</w:t>
            </w:r>
          </w:p>
        </w:tc>
        <w:tc>
          <w:tcPr>
            <w:tcW w:type="dxa" w:w="4700"/>
            <w:shd w:fill="FFFFFF" w:val="clear"/>
            <w:vAlign w:val="center"/>
          </w:tcPr>
          <w:p>
            <w:pPr>
              <w:spacing w:after="40" w:before="40"/>
              <w:jc w:val="center"/>
            </w:pPr>
            <w:r>
              <w:rPr>
                <w:rFonts w:ascii="Calibri" w:cs="Calibri" w:eastAsia="Calibri" w:hAnsi="Calibri"/>
                <w:b w:val="false"/>
                <w:bCs w:val="false"/>
                <w:color w:val="1A1A1A"/>
                <w:sz w:val="20"/>
                <w:szCs w:val="20"/>
              </w:rPr>
              <w:t xml:space="preserve">Build market cap classification into pdufa.bio</w:t>
            </w:r>
          </w:p>
        </w:tc>
        <w:tc>
          <w:tcPr>
            <w:tcW w:type="dxa" w:w="2000"/>
            <w:shd w:fill="FFFFFF" w:val="clear"/>
            <w:vAlign w:val="center"/>
          </w:tcPr>
          <w:p>
            <w:pPr>
              <w:spacing w:after="40" w:before="40"/>
              <w:jc w:val="center"/>
            </w:pPr>
            <w:r>
              <w:rPr>
                <w:rFonts w:ascii="Calibri" w:cs="Calibri" w:eastAsia="Calibri" w:hAnsi="Calibri"/>
                <w:b w:val="false"/>
                <w:bCs w:val="false"/>
                <w:color w:val="1A1A1A"/>
                <w:sz w:val="20"/>
                <w:szCs w:val="20"/>
              </w:rPr>
              <w:t xml:space="preserve">Week 1-2</w:t>
            </w:r>
          </w:p>
        </w:tc>
        <w:tc>
          <w:tcPr>
            <w:tcW w:type="dxa" w:w="2060"/>
            <w:shd w:fill="FFFFFF" w:val="clear"/>
            <w:vAlign w:val="center"/>
          </w:tcPr>
          <w:p>
            <w:pPr>
              <w:spacing w:after="40" w:before="40"/>
              <w:jc w:val="center"/>
            </w:pPr>
            <w:r>
              <w:rPr>
                <w:rFonts w:ascii="Calibri" w:cs="Calibri" w:eastAsia="Calibri" w:hAnsi="Calibri"/>
                <w:b w:val="false"/>
                <w:bCs w:val="false"/>
                <w:color w:val="1A1A1A"/>
                <w:sz w:val="20"/>
                <w:szCs w:val="20"/>
              </w:rPr>
              <w:t xml:space="preserve">Data ready</w:t>
            </w:r>
          </w:p>
        </w:tc>
      </w:tr>
      <w:tr>
        <w:tc>
          <w:tcPr>
            <w:tcW w:type="dxa" w:w="600"/>
            <w:shd w:fill="F5F5F5" w:val="clear"/>
            <w:vAlign w:val="center"/>
          </w:tcPr>
          <w:p>
            <w:pPr>
              <w:spacing w:after="40" w:before="40"/>
              <w:jc w:val="center"/>
            </w:pPr>
            <w:r>
              <w:rPr>
                <w:rFonts w:ascii="Calibri" w:cs="Calibri" w:eastAsia="Calibri" w:hAnsi="Calibri"/>
                <w:b w:val="false"/>
                <w:bCs w:val="false"/>
                <w:color w:val="1A1A1A"/>
                <w:sz w:val="20"/>
                <w:szCs w:val="20"/>
              </w:rPr>
              <w:t xml:space="preserve">3</w:t>
            </w:r>
          </w:p>
        </w:tc>
        <w:tc>
          <w:tcPr>
            <w:tcW w:type="dxa" w:w="4700"/>
            <w:shd w:fill="F5F5F5" w:val="clear"/>
            <w:vAlign w:val="center"/>
          </w:tcPr>
          <w:p>
            <w:pPr>
              <w:spacing w:after="40" w:before="40"/>
              <w:jc w:val="center"/>
            </w:pPr>
            <w:r>
              <w:rPr>
                <w:rFonts w:ascii="Calibri" w:cs="Calibri" w:eastAsia="Calibri" w:hAnsi="Calibri"/>
                <w:b w:val="false"/>
                <w:bCs w:val="false"/>
                <w:color w:val="1A1A1A"/>
                <w:sz w:val="20"/>
                <w:szCs w:val="20"/>
              </w:rPr>
              <w:t xml:space="preserve">Create signal dashboard (A-F) with real-time alerts</w:t>
            </w:r>
          </w:p>
        </w:tc>
        <w:tc>
          <w:tcPr>
            <w:tcW w:type="dxa" w:w="2000"/>
            <w:shd w:fill="F5F5F5" w:val="clear"/>
            <w:vAlign w:val="center"/>
          </w:tcPr>
          <w:p>
            <w:pPr>
              <w:spacing w:after="40" w:before="40"/>
              <w:jc w:val="center"/>
            </w:pPr>
            <w:r>
              <w:rPr>
                <w:rFonts w:ascii="Calibri" w:cs="Calibri" w:eastAsia="Calibri" w:hAnsi="Calibri"/>
                <w:b w:val="false"/>
                <w:bCs w:val="false"/>
                <w:color w:val="1A1A1A"/>
                <w:sz w:val="20"/>
                <w:szCs w:val="20"/>
              </w:rPr>
              <w:t xml:space="preserve">Week 2-3</w:t>
            </w:r>
          </w:p>
        </w:tc>
        <w:tc>
          <w:tcPr>
            <w:tcW w:type="dxa" w:w="2060"/>
            <w:shd w:fill="F5F5F5" w:val="clear"/>
            <w:vAlign w:val="center"/>
          </w:tcPr>
          <w:p>
            <w:pPr>
              <w:spacing w:after="40" w:before="40"/>
              <w:jc w:val="center"/>
            </w:pPr>
            <w:r>
              <w:rPr>
                <w:rFonts w:ascii="Calibri" w:cs="Calibri" w:eastAsia="Calibri" w:hAnsi="Calibri"/>
                <w:b w:val="false"/>
                <w:bCs w:val="false"/>
                <w:color w:val="1A1A1A"/>
                <w:sz w:val="20"/>
                <w:szCs w:val="20"/>
              </w:rPr>
              <w:t xml:space="preserve">Pending</w:t>
            </w:r>
          </w:p>
        </w:tc>
      </w:tr>
      <w:tr>
        <w:tc>
          <w:tcPr>
            <w:tcW w:type="dxa" w:w="600"/>
            <w:shd w:fill="FFFFFF" w:val="clear"/>
            <w:vAlign w:val="center"/>
          </w:tcPr>
          <w:p>
            <w:pPr>
              <w:spacing w:after="40" w:before="40"/>
              <w:jc w:val="center"/>
            </w:pPr>
            <w:r>
              <w:rPr>
                <w:rFonts w:ascii="Calibri" w:cs="Calibri" w:eastAsia="Calibri" w:hAnsi="Calibri"/>
                <w:b w:val="false"/>
                <w:bCs w:val="false"/>
                <w:color w:val="1A1A1A"/>
                <w:sz w:val="20"/>
                <w:szCs w:val="20"/>
              </w:rPr>
              <w:t xml:space="preserve">4</w:t>
            </w:r>
          </w:p>
        </w:tc>
        <w:tc>
          <w:tcPr>
            <w:tcW w:type="dxa" w:w="4700"/>
            <w:shd w:fill="FFFFFF" w:val="clear"/>
            <w:vAlign w:val="center"/>
          </w:tcPr>
          <w:p>
            <w:pPr>
              <w:spacing w:after="40" w:before="40"/>
              <w:jc w:val="center"/>
            </w:pPr>
            <w:r>
              <w:rPr>
                <w:rFonts w:ascii="Calibri" w:cs="Calibri" w:eastAsia="Calibri" w:hAnsi="Calibri"/>
                <w:b w:val="false"/>
                <w:bCs w:val="false"/>
                <w:color w:val="1A1A1A"/>
                <w:sz w:val="20"/>
                <w:szCs w:val="20"/>
              </w:rPr>
              <w:t xml:space="preserve">Screen Q2 2026 PDUFA calendar through ODIN</w:t>
            </w:r>
          </w:p>
        </w:tc>
        <w:tc>
          <w:tcPr>
            <w:tcW w:type="dxa" w:w="2000"/>
            <w:shd w:fill="FFFFFF" w:val="clear"/>
            <w:vAlign w:val="center"/>
          </w:tcPr>
          <w:p>
            <w:pPr>
              <w:spacing w:after="40" w:before="40"/>
              <w:jc w:val="center"/>
            </w:pPr>
            <w:r>
              <w:rPr>
                <w:rFonts w:ascii="Calibri" w:cs="Calibri" w:eastAsia="Calibri" w:hAnsi="Calibri"/>
                <w:b w:val="false"/>
                <w:bCs w:val="false"/>
                <w:color w:val="1A1A1A"/>
                <w:sz w:val="20"/>
                <w:szCs w:val="20"/>
              </w:rPr>
              <w:t xml:space="preserve">Week 1</w:t>
            </w:r>
          </w:p>
        </w:tc>
        <w:tc>
          <w:tcPr>
            <w:tcW w:type="dxa" w:w="2060"/>
            <w:shd w:fill="FFFFFF" w:val="clear"/>
            <w:vAlign w:val="center"/>
          </w:tcPr>
          <w:p>
            <w:pPr>
              <w:spacing w:after="40" w:before="40"/>
              <w:jc w:val="center"/>
            </w:pPr>
            <w:r>
              <w:rPr>
                <w:rFonts w:ascii="Calibri" w:cs="Calibri" w:eastAsia="Calibri" w:hAnsi="Calibri"/>
                <w:b w:val="false"/>
                <w:bCs w:val="false"/>
                <w:color w:val="1A1A1A"/>
                <w:sz w:val="20"/>
                <w:szCs w:val="20"/>
              </w:rPr>
              <w:t xml:space="preserve">Pending</w:t>
            </w:r>
          </w:p>
        </w:tc>
      </w:tr>
      <w:tr>
        <w:tc>
          <w:tcPr>
            <w:tcW w:type="dxa" w:w="600"/>
            <w:shd w:fill="F5F5F5" w:val="clear"/>
            <w:vAlign w:val="center"/>
          </w:tcPr>
          <w:p>
            <w:pPr>
              <w:spacing w:after="40" w:before="40"/>
              <w:jc w:val="center"/>
            </w:pPr>
            <w:r>
              <w:rPr>
                <w:rFonts w:ascii="Calibri" w:cs="Calibri" w:eastAsia="Calibri" w:hAnsi="Calibri"/>
                <w:b w:val="false"/>
                <w:bCs w:val="false"/>
                <w:color w:val="1A1A1A"/>
                <w:sz w:val="20"/>
                <w:szCs w:val="20"/>
              </w:rPr>
              <w:t xml:space="preserve">5</w:t>
            </w:r>
          </w:p>
        </w:tc>
        <w:tc>
          <w:tcPr>
            <w:tcW w:type="dxa" w:w="4700"/>
            <w:shd w:fill="F5F5F5" w:val="clear"/>
            <w:vAlign w:val="center"/>
          </w:tcPr>
          <w:p>
            <w:pPr>
              <w:spacing w:after="40" w:before="40"/>
              <w:jc w:val="center"/>
            </w:pPr>
            <w:r>
              <w:rPr>
                <w:rFonts w:ascii="Calibri" w:cs="Calibri" w:eastAsia="Calibri" w:hAnsi="Calibri"/>
                <w:b w:val="false"/>
                <w:bCs w:val="false"/>
                <w:color w:val="1A1A1A"/>
                <w:sz w:val="20"/>
                <w:szCs w:val="20"/>
              </w:rPr>
              <w:t xml:space="preserve">Set up position tracker with risk limits</w:t>
            </w:r>
          </w:p>
        </w:tc>
        <w:tc>
          <w:tcPr>
            <w:tcW w:type="dxa" w:w="2000"/>
            <w:shd w:fill="F5F5F5" w:val="clear"/>
            <w:vAlign w:val="center"/>
          </w:tcPr>
          <w:p>
            <w:pPr>
              <w:spacing w:after="40" w:before="40"/>
              <w:jc w:val="center"/>
            </w:pPr>
            <w:r>
              <w:rPr>
                <w:rFonts w:ascii="Calibri" w:cs="Calibri" w:eastAsia="Calibri" w:hAnsi="Calibri"/>
                <w:b w:val="false"/>
                <w:bCs w:val="false"/>
                <w:color w:val="1A1A1A"/>
                <w:sz w:val="20"/>
                <w:szCs w:val="20"/>
              </w:rPr>
              <w:t xml:space="preserve">Week 1</w:t>
            </w:r>
          </w:p>
        </w:tc>
        <w:tc>
          <w:tcPr>
            <w:tcW w:type="dxa" w:w="2060"/>
            <w:shd w:fill="F5F5F5" w:val="clear"/>
            <w:vAlign w:val="center"/>
          </w:tcPr>
          <w:p>
            <w:pPr>
              <w:spacing w:after="40" w:before="40"/>
              <w:jc w:val="center"/>
            </w:pPr>
            <w:r>
              <w:rPr>
                <w:rFonts w:ascii="Calibri" w:cs="Calibri" w:eastAsia="Calibri" w:hAnsi="Calibri"/>
                <w:b w:val="false"/>
                <w:bCs w:val="false"/>
                <w:color w:val="1A1A1A"/>
                <w:sz w:val="20"/>
                <w:szCs w:val="20"/>
              </w:rPr>
              <w:t xml:space="preserve">Pending</w:t>
            </w:r>
          </w:p>
        </w:tc>
      </w:tr>
      <w:tr>
        <w:tc>
          <w:tcPr>
            <w:tcW w:type="dxa" w:w="600"/>
            <w:shd w:fill="FFFFFF" w:val="clear"/>
            <w:vAlign w:val="center"/>
          </w:tcPr>
          <w:p>
            <w:pPr>
              <w:spacing w:after="40" w:before="40"/>
              <w:jc w:val="center"/>
            </w:pPr>
            <w:r>
              <w:rPr>
                <w:rFonts w:ascii="Calibri" w:cs="Calibri" w:eastAsia="Calibri" w:hAnsi="Calibri"/>
                <w:b w:val="false"/>
                <w:bCs w:val="false"/>
                <w:color w:val="1A1A1A"/>
                <w:sz w:val="20"/>
                <w:szCs w:val="20"/>
              </w:rPr>
              <w:t xml:space="preserve">6</w:t>
            </w:r>
          </w:p>
        </w:tc>
        <w:tc>
          <w:tcPr>
            <w:tcW w:type="dxa" w:w="4700"/>
            <w:shd w:fill="FFFFFF" w:val="clear"/>
            <w:vAlign w:val="center"/>
          </w:tcPr>
          <w:p>
            <w:pPr>
              <w:spacing w:after="40" w:before="40"/>
              <w:jc w:val="center"/>
            </w:pPr>
            <w:r>
              <w:rPr>
                <w:rFonts w:ascii="Calibri" w:cs="Calibri" w:eastAsia="Calibri" w:hAnsi="Calibri"/>
                <w:b w:val="false"/>
                <w:bCs w:val="false"/>
                <w:color w:val="1A1A1A"/>
                <w:sz w:val="20"/>
                <w:szCs w:val="20"/>
              </w:rPr>
              <w:t xml:space="preserve">Begin Signal A entries for April/May events</w:t>
            </w:r>
          </w:p>
        </w:tc>
        <w:tc>
          <w:tcPr>
            <w:tcW w:type="dxa" w:w="2000"/>
            <w:shd w:fill="FFFFFF" w:val="clear"/>
            <w:vAlign w:val="center"/>
          </w:tcPr>
          <w:p>
            <w:pPr>
              <w:spacing w:after="40" w:before="40"/>
              <w:jc w:val="center"/>
            </w:pPr>
            <w:r>
              <w:rPr>
                <w:rFonts w:ascii="Calibri" w:cs="Calibri" w:eastAsia="Calibri" w:hAnsi="Calibri"/>
                <w:b w:val="false"/>
                <w:bCs w:val="false"/>
                <w:color w:val="1A1A1A"/>
                <w:sz w:val="20"/>
                <w:szCs w:val="20"/>
              </w:rPr>
              <w:t xml:space="preserve">Week 2+</w:t>
            </w:r>
          </w:p>
        </w:tc>
        <w:tc>
          <w:tcPr>
            <w:tcW w:type="dxa" w:w="2060"/>
            <w:shd w:fill="FFFFFF" w:val="clear"/>
            <w:vAlign w:val="center"/>
          </w:tcPr>
          <w:p>
            <w:pPr>
              <w:spacing w:after="40" w:before="40"/>
              <w:jc w:val="center"/>
            </w:pPr>
            <w:r>
              <w:rPr>
                <w:rFonts w:ascii="Calibri" w:cs="Calibri" w:eastAsia="Calibri" w:hAnsi="Calibri"/>
                <w:b w:val="false"/>
                <w:bCs w:val="false"/>
                <w:color w:val="1A1A1A"/>
                <w:sz w:val="20"/>
                <w:szCs w:val="20"/>
              </w:rPr>
              <w:t xml:space="preserve">Pending</w:t>
            </w:r>
          </w:p>
        </w:tc>
      </w:tr>
      <w:tr>
        <w:tc>
          <w:tcPr>
            <w:tcW w:type="dxa" w:w="600"/>
            <w:shd w:fill="F5F5F5" w:val="clear"/>
            <w:vAlign w:val="center"/>
          </w:tcPr>
          <w:p>
            <w:pPr>
              <w:spacing w:after="40" w:before="40"/>
              <w:jc w:val="center"/>
            </w:pPr>
            <w:r>
              <w:rPr>
                <w:rFonts w:ascii="Calibri" w:cs="Calibri" w:eastAsia="Calibri" w:hAnsi="Calibri"/>
                <w:b w:val="false"/>
                <w:bCs w:val="false"/>
                <w:color w:val="1A1A1A"/>
                <w:sz w:val="20"/>
                <w:szCs w:val="20"/>
              </w:rPr>
              <w:t xml:space="preserve">7</w:t>
            </w:r>
          </w:p>
        </w:tc>
        <w:tc>
          <w:tcPr>
            <w:tcW w:type="dxa" w:w="4700"/>
            <w:shd w:fill="F5F5F5" w:val="clear"/>
            <w:vAlign w:val="center"/>
          </w:tcPr>
          <w:p>
            <w:pPr>
              <w:spacing w:after="40" w:before="40"/>
              <w:jc w:val="center"/>
            </w:pPr>
            <w:r>
              <w:rPr>
                <w:rFonts w:ascii="Calibri" w:cs="Calibri" w:eastAsia="Calibri" w:hAnsi="Calibri"/>
                <w:b w:val="false"/>
                <w:bCs w:val="false"/>
                <w:color w:val="1A1A1A"/>
                <w:sz w:val="20"/>
                <w:szCs w:val="20"/>
              </w:rPr>
              <w:t xml:space="preserve">Weekly strategy review and rebalance</w:t>
            </w:r>
          </w:p>
        </w:tc>
        <w:tc>
          <w:tcPr>
            <w:tcW w:type="dxa" w:w="2000"/>
            <w:shd w:fill="F5F5F5" w:val="clear"/>
            <w:vAlign w:val="center"/>
          </w:tcPr>
          <w:p>
            <w:pPr>
              <w:spacing w:after="40" w:before="40"/>
              <w:jc w:val="center"/>
            </w:pPr>
            <w:r>
              <w:rPr>
                <w:rFonts w:ascii="Calibri" w:cs="Calibri" w:eastAsia="Calibri" w:hAnsi="Calibri"/>
                <w:b w:val="false"/>
                <w:bCs w:val="false"/>
                <w:color w:val="1A1A1A"/>
                <w:sz w:val="20"/>
                <w:szCs w:val="20"/>
              </w:rPr>
              <w:t xml:space="preserve">Ongoing</w:t>
            </w:r>
          </w:p>
        </w:tc>
        <w:tc>
          <w:tcPr>
            <w:tcW w:type="dxa" w:w="2060"/>
            <w:shd w:fill="F5F5F5" w:val="clear"/>
            <w:vAlign w:val="center"/>
          </w:tcPr>
          <w:p>
            <w:pPr>
              <w:spacing w:after="40" w:before="40"/>
              <w:jc w:val="center"/>
            </w:pPr>
            <w:r>
              <w:rPr>
                <w:rFonts w:ascii="Calibri" w:cs="Calibri" w:eastAsia="Calibri" w:hAnsi="Calibri"/>
                <w:b w:val="false"/>
                <w:bCs w:val="false"/>
                <w:color w:val="1A1A1A"/>
                <w:sz w:val="20"/>
                <w:szCs w:val="20"/>
              </w:rPr>
              <w:t xml:space="preserve">Recurring</w:t>
            </w:r>
          </w:p>
        </w:tc>
      </w:tr>
      <w:tr>
        <w:tc>
          <w:tcPr>
            <w:tcW w:type="dxa" w:w="600"/>
            <w:shd w:fill="FFFFFF" w:val="clear"/>
            <w:vAlign w:val="center"/>
          </w:tcPr>
          <w:p>
            <w:pPr>
              <w:spacing w:after="40" w:before="40"/>
              <w:jc w:val="center"/>
            </w:pPr>
            <w:r>
              <w:rPr>
                <w:rFonts w:ascii="Calibri" w:cs="Calibri" w:eastAsia="Calibri" w:hAnsi="Calibri"/>
                <w:b w:val="false"/>
                <w:bCs w:val="false"/>
                <w:color w:val="1A1A1A"/>
                <w:sz w:val="20"/>
                <w:szCs w:val="20"/>
              </w:rPr>
              <w:t xml:space="preserve">8</w:t>
            </w:r>
          </w:p>
        </w:tc>
        <w:tc>
          <w:tcPr>
            <w:tcW w:type="dxa" w:w="4700"/>
            <w:shd w:fill="FFFFFF" w:val="clear"/>
            <w:vAlign w:val="center"/>
          </w:tcPr>
          <w:p>
            <w:pPr>
              <w:spacing w:after="40" w:before="40"/>
              <w:jc w:val="center"/>
            </w:pPr>
            <w:r>
              <w:rPr>
                <w:rFonts w:ascii="Calibri" w:cs="Calibri" w:eastAsia="Calibri" w:hAnsi="Calibri"/>
                <w:b w:val="false"/>
                <w:bCs w:val="false"/>
                <w:color w:val="1A1A1A"/>
                <w:sz w:val="20"/>
                <w:szCs w:val="20"/>
              </w:rPr>
              <w:t xml:space="preserve">Monthly performance attribution by signal type</w:t>
            </w:r>
          </w:p>
        </w:tc>
        <w:tc>
          <w:tcPr>
            <w:tcW w:type="dxa" w:w="2000"/>
            <w:shd w:fill="FFFFFF" w:val="clear"/>
            <w:vAlign w:val="center"/>
          </w:tcPr>
          <w:p>
            <w:pPr>
              <w:spacing w:after="40" w:before="40"/>
              <w:jc w:val="center"/>
            </w:pPr>
            <w:r>
              <w:rPr>
                <w:rFonts w:ascii="Calibri" w:cs="Calibri" w:eastAsia="Calibri" w:hAnsi="Calibri"/>
                <w:b w:val="false"/>
                <w:bCs w:val="false"/>
                <w:color w:val="1A1A1A"/>
                <w:sz w:val="20"/>
                <w:szCs w:val="20"/>
              </w:rPr>
              <w:t xml:space="preserve">Monthly</w:t>
            </w:r>
          </w:p>
        </w:tc>
        <w:tc>
          <w:tcPr>
            <w:tcW w:type="dxa" w:w="2060"/>
            <w:shd w:fill="FFFFFF" w:val="clear"/>
            <w:vAlign w:val="center"/>
          </w:tcPr>
          <w:p>
            <w:pPr>
              <w:spacing w:after="40" w:before="40"/>
              <w:jc w:val="center"/>
            </w:pPr>
            <w:r>
              <w:rPr>
                <w:rFonts w:ascii="Calibri" w:cs="Calibri" w:eastAsia="Calibri" w:hAnsi="Calibri"/>
                <w:b w:val="false"/>
                <w:bCs w:val="false"/>
                <w:color w:val="1A1A1A"/>
                <w:sz w:val="20"/>
                <w:szCs w:val="20"/>
              </w:rPr>
              <w:t xml:space="preserve">Recurring</w:t>
            </w:r>
          </w:p>
        </w:tc>
      </w:tr>
    </w:tbl>
    <w:p>
      <w:pPr>
        <w:pStyle w:val="Heading1"/>
        <w:spacing w:after="150" w:before="300"/>
      </w:pPr>
      <w:r>
        <w:rPr>
          <w:rFonts w:ascii="Calibri" w:cs="Calibri" w:eastAsia="Calibri" w:hAnsi="Calibri"/>
          <w:b/>
          <w:bCs/>
          <w:color w:val="0A1628"/>
          <w:sz w:val="32"/>
          <w:szCs w:val="32"/>
        </w:rPr>
        <w:t xml:space="preserve">9. Legal Disclaimer</w:t>
      </w:r>
    </w:p>
    <w:p>
      <w:pPr>
        <w:spacing w:after="120"/>
      </w:pPr>
      <w:r>
        <w:rPr>
          <w:rFonts w:ascii="Calibri" w:cs="Calibri" w:eastAsia="Calibri" w:hAnsi="Calibri"/>
          <w:i/>
          <w:iCs/>
          <w:color w:val="CC0000"/>
          <w:sz w:val="20"/>
          <w:szCs w:val="20"/>
        </w:rPr>
        <w:t xml:space="preserve">DISCLAIMER: This document is for educational and informational purposes only. It does not constitute investment advice, a recommendation to buy or sell any security, or an offer to manage money. All trading involves risk, including the risk of total loss. Historical performance data does not guarantee future results. The ODIN scoring engine provides probability estimates, not certainties. PDUFA outcomes are binary events with significant downside risk. Always consult a qualified financial advisor before making investment decisions. Odin Capital and its operators accept no liability for any losses incurred from the use of this strategy.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1E3A5F"/>
        <w:sz w:val="16"/>
        <w:szCs w:val="16"/>
      </w:rPr>
      <w:t xml:space="preserve">Confidential | Page </w:t>
    </w:r>
    <w:r>
      <w:rPr>
        <w:rFonts w:ascii="Calibri" w:cs="Calibri" w:eastAsia="Calibri" w:hAnsi="Calibri"/>
        <w:color w:val="1E3A5F"/>
        <w:sz w:val="16"/>
        <w:szCs w:val="16"/>
      </w:rPr>
      <w:fldChar w:fldCharType="begin"/>
      <w:instrText xml:space="preserve">PAGE</w:instrText>
      <w:fldChar w:fldCharType="separate"/>
      <w:fldChar w:fldCharType="end"/>
    </w:r>
    <w:r>
      <w:rPr>
        <w:rFonts w:ascii="Calibri" w:cs="Calibri" w:eastAsia="Calibri" w:hAnsi="Calibri"/>
        <w:color w:val="1E3A5F"/>
        <w:sz w:val="16"/>
        <w:szCs w:val="16"/>
      </w:rPr>
      <w:t xml:space="preserve"> | Not Investment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before="0"/>
      <w:jc w:val="left"/>
    </w:pPr>
    <w:r>
      <w:rPr>
        <w:rFonts w:ascii="Calibri" w:cs="Calibri" w:eastAsia="Calibri" w:hAnsi="Calibri"/>
        <w:b/>
        <w:bCs/>
        <w:i w:val="false"/>
        <w:iCs w:val="false"/>
        <w:color w:val="0A1628"/>
        <w:sz w:val="18"/>
        <w:szCs w:val="18"/>
      </w:rPr>
      <w:t xml:space="preserve">ODIN CAPITAL </w:t>
    </w:r>
    <w:r>
      <w:rPr>
        <w:rFonts w:ascii="Calibri" w:cs="Calibri" w:eastAsia="Calibri" w:hAnsi="Calibri"/>
        <w:b w:val="false"/>
        <w:bCs w:val="false"/>
        <w:i w:val="false"/>
        <w:iCs w:val="false"/>
        <w:color w:val="1E3A5F"/>
        <w:sz w:val="18"/>
        <w:szCs w:val="18"/>
      </w:rPr>
      <w:t xml:space="preserve">| 2026 PDUFA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2026-03-13T16:39:11.823Z</dcterms:created>
  <dcterms:modified xsi:type="dcterms:W3CDTF">2026-03-13T16:39:11.824Z</dcterms:modified>
</cp:coreProperties>
</file>

<file path=docProps/custom.xml><?xml version="1.0" encoding="utf-8"?>
<Properties xmlns="http://schemas.openxmlformats.org/officeDocument/2006/custom-properties" xmlns:vt="http://schemas.openxmlformats.org/officeDocument/2006/docPropsVTypes"/>
</file>