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F5496"/>
          <w:sz w:val="52"/>
          <w:szCs w:val="52"/>
        </w:rPr>
        <w:t xml:space="preserve">PDUFA Runup Research</w:t>
      </w:r>
    </w:p>
    <w:p>
      <w:pPr>
        <w:spacing w:after="100"/>
        <w:jc w:val="center"/>
      </w:pPr>
      <w:r>
        <w:rPr>
          <w:rFonts w:ascii="Arial" w:cs="Arial" w:eastAsia="Arial" w:hAnsi="Arial"/>
          <w:color w:val="4472C4"/>
          <w:sz w:val="28"/>
          <w:szCs w:val="28"/>
        </w:rPr>
        <w:t xml:space="preserve">Historical Price Dynamics Around FDA Catalyst Dates</w:t>
      </w:r>
    </w:p>
    <w:p>
      <w:pPr>
        <w:spacing w:after="100"/>
        <w:jc w:val="center"/>
      </w:pPr>
      <w:r>
        <w:rPr>
          <w:rFonts w:ascii="Arial" w:cs="Arial" w:eastAsia="Arial" w:hAnsi="Arial"/>
          <w:color w:val="666666"/>
          <w:sz w:val="24"/>
          <w:szCs w:val="24"/>
        </w:rPr>
        <w:t xml:space="preserve">Correlated with ODIN v5 Approval Probability Scores</w:t>
      </w:r>
    </w:p>
    <w:p>
      <w:pPr>
        <w:pBdr>
          <w:bottom w:val="single" w:color="4472C4" w:sz="6" w:space="1"/>
        </w:pBdr>
        <w:spacing w:after="400"/>
        <w:jc w:val="center"/>
      </w:pPr>
      <w:r>
        <w:rPr>
          <w:rFonts w:ascii="Arial" w:cs="Arial" w:eastAsia="Arial" w:hAnsi="Arial"/>
          <w:sz w:val="12"/>
          <w:szCs w:val="12"/>
        </w:rPr>
        <w:t xml:space="preserve"> </w:t>
      </w:r>
    </w:p>
    <w:p>
      <w:pPr>
        <w:spacing w:after="80"/>
        <w:jc w:val="center"/>
      </w:pPr>
      <w:r>
        <w:rPr>
          <w:rFonts w:ascii="Arial" w:cs="Arial" w:eastAsia="Arial" w:hAnsi="Arial"/>
          <w:color w:val="555555"/>
          <w:sz w:val="22"/>
          <w:szCs w:val="22"/>
        </w:rPr>
        <w:t xml:space="preserve">1,705 Events  |  354 Tickers  |  2020–2026</w:t>
      </w:r>
    </w:p>
    <w:p>
      <w:pPr>
        <w:spacing w:after="80"/>
        <w:jc w:val="center"/>
      </w:pPr>
      <w:r>
        <w:rPr>
          <w:rFonts w:ascii="Arial" w:cs="Arial" w:eastAsia="Arial" w:hAnsi="Arial"/>
          <w:color w:val="555555"/>
          <w:sz w:val="22"/>
          <w:szCs w:val="22"/>
        </w:rPr>
        <w:t xml:space="preserve">ODIN v5 — AUC 0.9007  |  L2 Ridge, 25 Features</w:t>
      </w:r>
    </w:p>
    <w:p>
      <w:pPr>
        <w:spacing w:after="200"/>
        <w:jc w:val="center"/>
      </w:pPr>
      <w:r>
        <w:rPr>
          <w:rFonts w:ascii="Arial" w:cs="Arial" w:eastAsia="Arial" w:hAnsi="Arial"/>
          <w:color w:val="777777"/>
          <w:sz w:val="22"/>
          <w:szCs w:val="22"/>
        </w:rPr>
        <w:t xml:space="preserve">March 13, 2026</w:t>
      </w:r>
    </w:p>
    <w:p>
      <w:pPr>
        <w:spacing w:after="200"/>
        <w:jc w:val="center"/>
      </w:pPr>
      <w:r>
        <w:rPr>
          <w:rFonts w:ascii="Arial" w:cs="Arial" w:eastAsia="Arial" w:hAnsi="Arial"/>
          <w:i/>
          <w:iCs/>
          <w:color w:val="999999"/>
          <w:sz w:val="20"/>
          <w:szCs w:val="20"/>
        </w:rPr>
        <w:t xml:space="preserve">pdufa.bio  •  9Realms Analytics</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before="0"/>
        <w:jc w:val="left"/>
      </w:pPr>
      <w:r>
        <w:rPr>
          <w:rFonts w:ascii="Arial" w:cs="Arial" w:eastAsia="Arial" w:hAnsi="Arial"/>
          <w:b w:val="false"/>
          <w:bCs w:val="false"/>
          <w:i w:val="false"/>
          <w:iCs w:val="false"/>
          <w:color w:val="333333"/>
          <w:sz w:val="22"/>
          <w:szCs w:val="22"/>
        </w:rPr>
        <w:t xml:space="preserve">This report analyzes pre-PDUFA stock price behavior ("runup") across 1,705 historical FDA catalyst events from January 2020 through February 2026. Each event is scored by ODIN v5 (AUC 0.9007), a 25-feature logistic regression model that predicts FDA approval probability. The goal: determine whether ODIN scores, combined with runup dynamics, can identify tradeable edges around PDUFA dates.</w:t>
      </w:r>
    </w:p>
    <w:p>
      <w:pPr>
        <w:spacing w:after="120" w:before="0"/>
        <w:jc w:val="left"/>
      </w:pPr>
      <w:r>
        <w:rPr>
          <w:rFonts w:ascii="Arial" w:cs="Arial" w:eastAsia="Arial" w:hAnsi="Arial"/>
          <w:b w:val="false"/>
          <w:bCs w:val="false"/>
          <w:i w:val="false"/>
          <w:iCs w:val="false"/>
          <w:color w:val="333333"/>
          <w:sz w:val="22"/>
          <w:szCs w:val="22"/>
        </w:rPr>
        <w:t xml:space="preserve"/>
      </w:r>
    </w:p>
    <w:p>
      <w:pPr>
        <w:pStyle w:val="Heading2"/>
      </w:pPr>
      <w:r>
        <w:rPr>
          <w:rFonts w:ascii="Arial" w:cs="Arial" w:eastAsia="Arial" w:hAnsi="Arial"/>
        </w:rPr>
        <w:t xml:space="preserve">Key Findings</w:t>
      </w:r>
    </w:p>
    <w:p>
      <w:pPr>
        <w:spacing w:after="120" w:before="0"/>
        <w:jc w:val="left"/>
      </w:pPr>
      <w:r>
        <w:rPr>
          <w:rFonts w:ascii="Arial" w:cs="Arial" w:eastAsia="Arial" w:hAnsi="Arial"/>
          <w:b w:val="false"/>
          <w:bCs w:val="false"/>
          <w:i w:val="false"/>
          <w:iCs w:val="false"/>
          <w:color w:val="333333"/>
          <w:sz w:val="22"/>
          <w:szCs w:val="22"/>
        </w:rPr>
        <w:t xml:space="preserve">CRL-destined stocks show higher pre-PDUFA runups than approval-destined stocks. The 14-day mean runup for CRLs (+1.93%) exceeds approvals (+0.86%) by more than 2:1. This counterintuitive result suggests that speculative money flows disproportionately into higher-risk, lower-probability names before catalyst dates, creating potential "bull trap" setups.</w:t>
      </w:r>
    </w:p>
    <w:p>
      <w:pPr>
        <w:spacing w:after="120" w:before="0"/>
        <w:jc w:val="left"/>
      </w:pPr>
      <w:r>
        <w:rPr>
          <w:rFonts w:ascii="Arial" w:cs="Arial" w:eastAsia="Arial" w:hAnsi="Arial"/>
          <w:b w:val="false"/>
          <w:bCs w:val="false"/>
          <w:i w:val="false"/>
          <w:iCs w:val="false"/>
          <w:color w:val="333333"/>
          <w:sz w:val="22"/>
          <w:szCs w:val="22"/>
        </w:rPr>
        <w:t xml:space="preserve">The effect concentrates in T4 (No Trade) events, which show +2.88% mean 14-day runup despite a 19.4% approval rate. By contrast, T1 (Strong Long) events average near-zero runup (+0.04%), indicating that the market efficiently prices high-probability approvals. The highest-conviction ODIN scores (above 0.90, 95% approval rate) show essentially flat pre-event price action, meaning the approval is already in the stock.</w:t>
      </w:r>
    </w:p>
    <w:p>
      <w:pPr>
        <w:spacing w:after="120" w:before="0"/>
        <w:jc w:val="left"/>
      </w:pPr>
      <w:r>
        <w:rPr>
          <w:rFonts w:ascii="Arial" w:cs="Arial" w:eastAsia="Arial" w:hAnsi="Arial"/>
          <w:b w:val="false"/>
          <w:bCs w:val="false"/>
          <w:i w:val="false"/>
          <w:iCs w:val="false"/>
          <w:color w:val="333333"/>
          <w:sz w:val="22"/>
          <w:szCs w:val="22"/>
        </w:rPr>
        <w:t xml:space="preserve">Post-PDUFA, approvals produce +1.03% mean 1-day returns while CRLs produce -2.94%. The asymmetry is pronounced: losing CRL bets cost roughly 3x what winning approval bets gain. Combined with the bull-trap runup pattern, this creates a dangerous risk profile for undisciplined pre-PDUFA buying.</w:t>
      </w:r>
    </w:p>
    <w:p>
      <w:r>
        <w:br w:type="page"/>
      </w:r>
    </w:p>
    <w:p>
      <w:pPr>
        <w:pStyle w:val="Heading1"/>
      </w:pPr>
      <w:r>
        <w:rPr>
          <w:rFonts w:ascii="Arial" w:cs="Arial" w:eastAsia="Arial" w:hAnsi="Arial"/>
        </w:rPr>
        <w:t xml:space="preserve">2. Dataset &amp; Methodology</w:t>
      </w:r>
    </w:p>
    <w:p>
      <w:pPr>
        <w:pStyle w:val="Heading2"/>
      </w:pPr>
      <w:r>
        <w:rPr>
          <w:rFonts w:ascii="Arial" w:cs="Arial" w:eastAsia="Arial" w:hAnsi="Arial"/>
        </w:rPr>
        <w:t xml:space="preserve">2.1 Data Sources</w:t>
      </w:r>
    </w:p>
    <w:p>
      <w:pPr>
        <w:spacing w:after="120" w:before="0"/>
        <w:jc w:val="left"/>
      </w:pPr>
      <w:r>
        <w:rPr>
          <w:rFonts w:ascii="Arial" w:cs="Arial" w:eastAsia="Arial" w:hAnsi="Arial"/>
          <w:b w:val="false"/>
          <w:bCs w:val="false"/>
          <w:i w:val="false"/>
          <w:iCs w:val="false"/>
          <w:color w:val="333333"/>
          <w:sz w:val="22"/>
          <w:szCs w:val="22"/>
        </w:rPr>
        <w:t xml:space="preserve">Events: 2,203 PDUFA catalyst events from the ODIN v1071 enriched dataset (ODIN_MODEL_READY_v1071_T1_2015on_ENRICHED.csv), filtered to 2,037 events from 2018 onward with confirmed outcomes (APPROVAL or CRL). Price data sourced from Yahoo Finance via yfinance for 429 unique tickers. Final coverage: 1,705 events (84%) with complete runup data across 354 tickers. Coverage loss is primarily due to delisted, acquired, or merged companies.</w:t>
      </w:r>
    </w:p>
    <w:p>
      <w:pPr>
        <w:pStyle w:val="Heading2"/>
      </w:pPr>
      <w:r>
        <w:rPr>
          <w:rFonts w:ascii="Arial" w:cs="Arial" w:eastAsia="Arial" w:hAnsi="Arial"/>
        </w:rPr>
        <w:t xml:space="preserve">2.2 ODIN v5 Scoring</w:t>
      </w:r>
    </w:p>
    <w:p>
      <w:pPr>
        <w:spacing w:after="120" w:before="0"/>
        <w:jc w:val="left"/>
      </w:pPr>
      <w:r>
        <w:rPr>
          <w:rFonts w:ascii="Arial" w:cs="Arial" w:eastAsia="Arial" w:hAnsi="Arial"/>
          <w:b w:val="false"/>
          <w:bCs w:val="false"/>
          <w:i w:val="false"/>
          <w:iCs w:val="false"/>
          <w:color w:val="333333"/>
          <w:sz w:val="22"/>
          <w:szCs w:val="22"/>
        </w:rPr>
        <w:t xml:space="preserve">All events were scored using ODIN vNEXT v5, an L2 Ridge logistic regression (C=1.5) with 25 features. The model was trained on pre-2025 data and achieves a holdout AUC of 0.9007 on 358 post-2025 events. Scores map to four action tiers: T1 (score above 0.85, Strong Long), T2 (0.65–0.85, Cautious Long), T3 (0.40–0.65, Monitor), and T4 (below 0.40, No Trade).</w:t>
      </w:r>
    </w:p>
    <w:p>
      <w:pPr>
        <w:pStyle w:val="Heading2"/>
      </w:pPr>
      <w:r>
        <w:rPr>
          <w:rFonts w:ascii="Arial" w:cs="Arial" w:eastAsia="Arial" w:hAnsi="Arial"/>
        </w:rPr>
        <w:t xml:space="preserve">2.3 Runup Metrics</w:t>
      </w:r>
    </w:p>
    <w:p>
      <w:pPr>
        <w:spacing w:after="120" w:before="0"/>
        <w:jc w:val="left"/>
      </w:pPr>
      <w:r>
        <w:rPr>
          <w:rFonts w:ascii="Arial" w:cs="Arial" w:eastAsia="Arial" w:hAnsi="Arial"/>
          <w:b w:val="false"/>
          <w:bCs w:val="false"/>
          <w:i w:val="false"/>
          <w:iCs w:val="false"/>
          <w:color w:val="333333"/>
          <w:sz w:val="22"/>
          <w:szCs w:val="22"/>
        </w:rPr>
        <w:t xml:space="preserve">For each event, we compute the percentage price change from various lookback points to the PDUFA eve (last trading day before the catalyst date). Lookback windows: 30, 21, 14, 7, 5, and 3 trading days. Post-PDUFA returns are measured at +1, +2, and +5 trading days after the catalyst. Volume ratio is the 5-day average volume divided by the 30-day average as a surge indicator.</w:t>
      </w:r>
    </w:p>
    <w:p>
      <w:r>
        <w:br w:type="page"/>
      </w:r>
    </w:p>
    <w:p>
      <w:pPr>
        <w:pStyle w:val="Heading1"/>
      </w:pPr>
      <w:r>
        <w:rPr>
          <w:rFonts w:ascii="Arial" w:cs="Arial" w:eastAsia="Arial" w:hAnsi="Arial"/>
        </w:rPr>
        <w:t xml:space="preserve">3. Runup Patterns by Outcome</w:t>
      </w:r>
    </w:p>
    <w:p>
      <w:pPr>
        <w:spacing w:after="120" w:before="0"/>
        <w:jc w:val="left"/>
      </w:pPr>
      <w:r>
        <w:rPr>
          <w:rFonts w:ascii="Arial" w:cs="Arial" w:eastAsia="Arial" w:hAnsi="Arial"/>
          <w:b w:val="false"/>
          <w:bCs w:val="false"/>
          <w:i w:val="false"/>
          <w:iCs w:val="false"/>
          <w:color w:val="333333"/>
          <w:sz w:val="22"/>
          <w:szCs w:val="22"/>
        </w:rPr>
        <w:t xml:space="preserve">The central finding: stocks heading for CRL decisions show larger pre-PDUFA runups than those heading for approvals. This pattern is consistent across nearly all lookback windows.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200"/>
      </w:tblGrid>
      <w:tr>
        <w:tc>
          <w:tcPr>
            <w:tcW w:type="dxa" w:w="1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Lookback</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 Mean</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 Median</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CRL Mean</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CRL Median</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Spread</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CRL Win?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 days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+3.99%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Yes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21 days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+0.45%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+0.44%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Yes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 days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Yes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 days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+0.68%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+0.72%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Yes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 days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+0.24%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Yes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 days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Marginal</w:t>
            </w:r>
          </w:p>
        </w:tc>
      </w:tr>
    </w:tbl>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At the 30-day window, CRL-destined stocks average +3.99% runup versus +2.13% for approvals. The spread narrows at shorter lookbacks but remains positive through 3 days. This suggests that speculative buying pressure builds over weeks, not days, and is strongest in precisely the names most likely to fail.</w:t>
      </w:r>
    </w:p>
    <w:p>
      <w:pPr>
        <w:spacing w:after="120" w:before="0"/>
        <w:jc w:val="left"/>
      </w:pPr>
      <w:r>
        <w:rPr>
          <w:rFonts w:ascii="Arial" w:cs="Arial" w:eastAsia="Arial" w:hAnsi="Arial"/>
          <w:b w:val="false"/>
          <w:bCs w:val="false"/>
          <w:i w:val="false"/>
          <w:iCs w:val="false"/>
          <w:color w:val="333333"/>
          <w:sz w:val="22"/>
          <w:szCs w:val="22"/>
        </w:rPr>
        <w:t xml:space="preserve">Interpretation: Low-probability events attract outsized speculative interest. Small-cap biotechs with upcoming PDUFA dates and uncertain outcomes generate retail excitement (Reddit, StockTwits FOMO posts) that inflates prices before the binary event. High-probability approvals, often from experienced sponsors, are already priced in and generate minimal pre-event movement.</w:t>
      </w:r>
    </w:p>
    <w:p>
      <w:r>
        <w:br w:type="page"/>
      </w:r>
    </w:p>
    <w:p>
      <w:pPr>
        <w:pStyle w:val="Heading1"/>
      </w:pPr>
      <w:r>
        <w:rPr>
          <w:rFonts w:ascii="Arial" w:cs="Arial" w:eastAsia="Arial" w:hAnsi="Arial"/>
        </w:rPr>
        <w:t xml:space="preserve">4. Runup Patterns by ODIN Tier</w:t>
      </w:r>
    </w:p>
    <w:p>
      <w:pPr>
        <w:spacing w:after="120" w:before="0"/>
        <w:jc w:val="left"/>
      </w:pPr>
      <w:r>
        <w:rPr>
          <w:rFonts w:ascii="Arial" w:cs="Arial" w:eastAsia="Arial" w:hAnsi="Arial"/>
          <w:b w:val="false"/>
          <w:bCs w:val="false"/>
          <w:i w:val="false"/>
          <w:iCs w:val="false"/>
          <w:color w:val="333333"/>
          <w:sz w:val="22"/>
          <w:szCs w:val="22"/>
        </w:rPr>
        <w:t xml:space="preserve">ODIN tiers reveal a clear inverse relationship between approval probability and pre-event runup magnitude.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300"/>
        <w:gridCol w:w="1300"/>
        <w:gridCol w:w="1300"/>
        <w:gridCol w:w="1200"/>
        <w:gridCol w:w="960"/>
      </w:tblGrid>
      <w:tr>
        <w:tc>
          <w:tcPr>
            <w:tcW w:type="dxa" w:w="11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w:t>
            </w:r>
          </w:p>
        </w:tc>
        <w:tc>
          <w:tcPr>
            <w:tcW w:type="dxa" w:w="9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Events</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 Rate</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14d Mean</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14d Median</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Post-1d</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Vol Ratio</w:t>
            </w:r>
          </w:p>
        </w:tc>
        <w:tc>
          <w:tcPr>
            <w:tcW w:type="dxa" w:w="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Pos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T1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-0.19%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1.03x</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T2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79.7%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+0.82%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1.17x</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T3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57.8%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1.13x</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T4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+2.88%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+0.64%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1.13x</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53%</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Heading2"/>
      </w:pPr>
      <w:r>
        <w:rPr>
          <w:rFonts w:ascii="Arial" w:cs="Arial" w:eastAsia="Arial" w:hAnsi="Arial"/>
        </w:rPr>
        <w:t xml:space="preserve">4.1 T1: The Efficient Market</w:t>
      </w:r>
    </w:p>
    <w:p>
      <w:pPr>
        <w:spacing w:after="120" w:before="0"/>
        <w:jc w:val="left"/>
      </w:pPr>
      <w:r>
        <w:rPr>
          <w:rFonts w:ascii="Arial" w:cs="Arial" w:eastAsia="Arial" w:hAnsi="Arial"/>
          <w:b w:val="false"/>
          <w:bCs w:val="false"/>
          <w:i w:val="false"/>
          <w:iCs w:val="false"/>
          <w:color w:val="333333"/>
          <w:sz w:val="22"/>
          <w:szCs w:val="22"/>
        </w:rPr>
        <w:t xml:space="preserve">T1 events (score above 0.85, 93.3% approval rate) show near-zero 14-day runup (+0.04% mean, -0.19% median). Only 48% of T1 events have positive 14-day runups. The market recognizes high-probability approvals and prices them in advance. These stocks are "boring" pre-PDUFA but deliver consistent post-event stability (+0.26% mean 1-day return).</w:t>
      </w:r>
    </w:p>
    <w:p>
      <w:pPr>
        <w:pStyle w:val="Heading2"/>
      </w:pPr>
      <w:r>
        <w:rPr>
          <w:rFonts w:ascii="Arial" w:cs="Arial" w:eastAsia="Arial" w:hAnsi="Arial"/>
        </w:rPr>
        <w:t xml:space="preserve">4.2 T2: The Value Zone</w:t>
      </w:r>
    </w:p>
    <w:p>
      <w:pPr>
        <w:spacing w:after="120" w:before="0"/>
        <w:jc w:val="left"/>
      </w:pPr>
      <w:r>
        <w:rPr>
          <w:rFonts w:ascii="Arial" w:cs="Arial" w:eastAsia="Arial" w:hAnsi="Arial"/>
          <w:b w:val="false"/>
          <w:bCs w:val="false"/>
          <w:i w:val="false"/>
          <w:iCs w:val="false"/>
          <w:color w:val="333333"/>
          <w:sz w:val="22"/>
          <w:szCs w:val="22"/>
        </w:rPr>
        <w:t xml:space="preserve">T2 events (0.65–0.85 score, 79.7% approval rate) show moderate runup (+1.18%) and elevated volume (1.17x). However, they suffer the worst mean post-1d return at -1.46%. This suggests T2 represents "priced for perfection" territory: the stock runs up on optimism, and even an approval may not exceed expectations. CRLs in this tier cause significant damage.</w:t>
      </w:r>
    </w:p>
    <w:p>
      <w:pPr>
        <w:pStyle w:val="Heading2"/>
      </w:pPr>
      <w:r>
        <w:rPr>
          <w:rFonts w:ascii="Arial" w:cs="Arial" w:eastAsia="Arial" w:hAnsi="Arial"/>
        </w:rPr>
        <w:t xml:space="preserve">4.3 T3/T4: Speculation Zones</w:t>
      </w:r>
    </w:p>
    <w:p>
      <w:pPr>
        <w:spacing w:after="120" w:before="0"/>
        <w:jc w:val="left"/>
      </w:pPr>
      <w:r>
        <w:rPr>
          <w:rFonts w:ascii="Arial" w:cs="Arial" w:eastAsia="Arial" w:hAnsi="Arial"/>
          <w:b w:val="false"/>
          <w:bCs w:val="false"/>
          <w:i w:val="false"/>
          <w:iCs w:val="false"/>
          <w:color w:val="333333"/>
          <w:sz w:val="22"/>
          <w:szCs w:val="22"/>
        </w:rPr>
        <w:t xml:space="preserve">T3 and T4 show the highest runups (+4.10% and +2.88% respectively) despite low approval rates (57.8% and 19.4%). T4 is particularly telling: the average stock rises nearly 3% into a catalyst that will fail 80% of the time. This is the bull trap in data form. T4 events with 14-day runups exceeding 10% average +25.22% runup but only 21% approval rate, making them prime short or avoid candidates.</w:t>
      </w:r>
    </w:p>
    <w:p>
      <w:r>
        <w:br w:type="page"/>
      </w:r>
    </w:p>
    <w:p>
      <w:pPr>
        <w:pStyle w:val="Heading1"/>
      </w:pPr>
      <w:r>
        <w:rPr>
          <w:rFonts w:ascii="Arial" w:cs="Arial" w:eastAsia="Arial" w:hAnsi="Arial"/>
        </w:rPr>
        <w:t xml:space="preserve">5. Score Bin Analysis</w:t>
      </w:r>
    </w:p>
    <w:p>
      <w:pPr>
        <w:spacing w:after="120" w:before="0"/>
        <w:jc w:val="left"/>
      </w:pPr>
      <w:r>
        <w:rPr>
          <w:rFonts w:ascii="Arial" w:cs="Arial" w:eastAsia="Arial" w:hAnsi="Arial"/>
          <w:b w:val="false"/>
          <w:bCs w:val="false"/>
          <w:i w:val="false"/>
          <w:iCs w:val="false"/>
          <w:color w:val="333333"/>
          <w:sz w:val="22"/>
          <w:szCs w:val="22"/>
        </w:rPr>
        <w:t xml:space="preserve">Breaking ODIN scores into five bins reveals a striking U-shaped runup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300"/>
        <w:gridCol w:w="1200"/>
        <w:gridCol w:w="1000"/>
        <w:gridCol w:w="1500"/>
        <w:gridCol w:w="1460"/>
      </w:tblGrid>
      <w:tr>
        <w:tc>
          <w:tcPr>
            <w:tcW w:type="dxa" w:w="2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 Bin</w:t>
            </w:r>
          </w:p>
        </w:tc>
        <w:tc>
          <w:tcPr>
            <w:tcW w:type="dxa" w:w="9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Events</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 Rate</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14d Mean</w:t>
            </w:r>
          </w:p>
        </w:tc>
        <w:tc>
          <w:tcPr>
            <w:tcW w:type="dxa" w:w="1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Range</w:t>
            </w:r>
          </w:p>
        </w:tc>
        <w:tc>
          <w:tcPr>
            <w:tcW w:type="dxa" w:w="15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Interpretation</w:t>
            </w:r>
          </w:p>
        </w:tc>
        <w:tc>
          <w:tcPr>
            <w:tcW w:type="dxa" w:w="14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Strong CRL (&lt;0.15)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0.00–0.15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Max speculation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Bull Trap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Lean CRL (0.15–0.40)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0.15–0.40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Moderate spec</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Caution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Toss-up (0.40–0.65)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0.40–0.65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Binary gamble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Avoid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Lean App (0.65–0.85)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469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0.65–0.85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Priced in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Selective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Strong App (≥0.85)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758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0.85–1.00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Fully priced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Hold</w:t>
            </w:r>
          </w:p>
        </w:tc>
      </w:tr>
    </w:tbl>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The Strong CRL bin (score below 0.15) has the highest mean runup at +5.45%. These are the most speculative plays: stocks with negligible approval probability that nonetheless attract significant buying pressure before the catalyst. The 9% approval rate means 91% of buyers in this bin will face a CRL-driven selloff.</w:t>
      </w:r>
    </w:p>
    <w:p>
      <w:pPr>
        <w:spacing w:after="120" w:before="0"/>
        <w:jc w:val="left"/>
      </w:pPr>
      <w:r>
        <w:rPr>
          <w:rFonts w:ascii="Arial" w:cs="Arial" w:eastAsia="Arial" w:hAnsi="Arial"/>
          <w:b w:val="false"/>
          <w:bCs w:val="false"/>
          <w:i w:val="false"/>
          <w:iCs w:val="false"/>
          <w:color w:val="333333"/>
          <w:sz w:val="22"/>
          <w:szCs w:val="22"/>
        </w:rPr>
        <w:t xml:space="preserve">Conversely, the Strong Approval bin (score above 0.85) has nearly zero runup (+0.04%). The market is efficient at pricing high-probability approvals. The edge here is not in the pre-event trade but in the post-event hold: T1 approvals deliver steady positive returns with minimal drawdown risk.</w:t>
      </w:r>
    </w:p>
    <w:p>
      <w:r>
        <w:br w:type="page"/>
      </w:r>
    </w:p>
    <w:p>
      <w:pPr>
        <w:pStyle w:val="Heading1"/>
      </w:pPr>
      <w:r>
        <w:rPr>
          <w:rFonts w:ascii="Arial" w:cs="Arial" w:eastAsia="Arial" w:hAnsi="Arial"/>
        </w:rPr>
        <w:t xml:space="preserve">6. Composite Trading Signals</w:t>
      </w:r>
    </w:p>
    <w:p>
      <w:pPr>
        <w:spacing w:after="120" w:before="0"/>
        <w:jc w:val="left"/>
      </w:pPr>
      <w:r>
        <w:rPr>
          <w:rFonts w:ascii="Arial" w:cs="Arial" w:eastAsia="Arial" w:hAnsi="Arial"/>
          <w:b w:val="false"/>
          <w:bCs w:val="false"/>
          <w:i w:val="false"/>
          <w:iCs w:val="false"/>
          <w:color w:val="333333"/>
          <w:sz w:val="22"/>
          <w:szCs w:val="22"/>
        </w:rPr>
        <w:t xml:space="preserve">Combining ODIN tier with runup dynamics creates actionable composite signals. Below are the most tradeable combinations.</w:t>
      </w:r>
    </w:p>
    <w:p>
      <w:pPr>
        <w:pStyle w:val="Heading2"/>
      </w:pPr>
      <w:r>
        <w:rPr>
          <w:rFonts w:ascii="Arial" w:cs="Arial" w:eastAsia="Arial" w:hAnsi="Arial"/>
        </w:rPr>
        <w:t xml:space="preserve">6.1 T1 + Low Runup (14d runup at or below 5%): Best Risk-Adjusted Long</w:t>
      </w:r>
    </w:p>
    <w:p>
      <w:pPr>
        <w:spacing w:after="120" w:before="0"/>
        <w:jc w:val="left"/>
      </w:pPr>
      <w:r>
        <w:rPr>
          <w:rFonts w:ascii="Arial" w:cs="Arial" w:eastAsia="Arial" w:hAnsi="Arial"/>
          <w:b w:val="false"/>
          <w:bCs w:val="false"/>
          <w:i w:val="false"/>
          <w:iCs w:val="false"/>
          <w:color w:val="333333"/>
          <w:sz w:val="22"/>
          <w:szCs w:val="22"/>
        </w:rPr>
        <w:t xml:space="preserve">645 events, 93% approval rate, mean 14d runup -1.99%, mean post-1d +0.30%. These are high-probability approvals that have NOT run up, offering the best entry for event-driven longs. The negative mean runup means you are buying at a discount to recent prices.</w:t>
      </w:r>
    </w:p>
    <w:p>
      <w:pPr>
        <w:pStyle w:val="Heading2"/>
      </w:pPr>
      <w:r>
        <w:rPr>
          <w:rFonts w:ascii="Arial" w:cs="Arial" w:eastAsia="Arial" w:hAnsi="Arial"/>
        </w:rPr>
        <w:t xml:space="preserve">6.2 T1 + High Runup (14d runup above 10%): Caution Despite High Probability</w:t>
      </w:r>
    </w:p>
    <w:p>
      <w:pPr>
        <w:spacing w:after="120" w:before="0"/>
        <w:jc w:val="left"/>
      </w:pPr>
      <w:r>
        <w:rPr>
          <w:rFonts w:ascii="Arial" w:cs="Arial" w:eastAsia="Arial" w:hAnsi="Arial"/>
          <w:b w:val="false"/>
          <w:bCs w:val="false"/>
          <w:i w:val="false"/>
          <w:iCs w:val="false"/>
          <w:color w:val="333333"/>
          <w:sz w:val="22"/>
          <w:szCs w:val="22"/>
        </w:rPr>
        <w:t xml:space="preserve">54 events, 91% approval rate, mean 14d runup +16.64%, mean post-1d -0.86%. Even T1 events suffer negative post-event returns when they have already run up significantly. The approval is priced in plus some. These are "sell the news" candidates.</w:t>
      </w:r>
    </w:p>
    <w:p>
      <w:pPr>
        <w:pStyle w:val="Heading2"/>
      </w:pPr>
      <w:r>
        <w:rPr>
          <w:rFonts w:ascii="Arial" w:cs="Arial" w:eastAsia="Arial" w:hAnsi="Arial"/>
        </w:rPr>
        <w:t xml:space="preserve">6.3 T4 + Runup above 10%: Classic Bull Trap</w:t>
      </w:r>
    </w:p>
    <w:p>
      <w:pPr>
        <w:spacing w:after="120" w:before="0"/>
        <w:jc w:val="left"/>
      </w:pPr>
      <w:r>
        <w:rPr>
          <w:rFonts w:ascii="Arial" w:cs="Arial" w:eastAsia="Arial" w:hAnsi="Arial"/>
          <w:b w:val="false"/>
          <w:bCs w:val="false"/>
          <w:i w:val="false"/>
          <w:iCs w:val="false"/>
          <w:color w:val="333333"/>
          <w:sz w:val="22"/>
          <w:szCs w:val="22"/>
        </w:rPr>
        <w:t xml:space="preserve">99 events, 21% approval rate, mean 14d runup +25.22%, mean post-1d -1.05%. A stock with low approval probability that has surged 25%+ into the catalyst date. The 79% CRL rate combined with a -1.05% mean post-1d return (which understates the CRL-day crash) makes this the single worst risk/reward profile in the dataset.</w:t>
      </w:r>
    </w:p>
    <w:p>
      <w:pPr>
        <w:pStyle w:val="Heading2"/>
      </w:pPr>
      <w:r>
        <w:rPr>
          <w:rFonts w:ascii="Arial" w:cs="Arial" w:eastAsia="Arial" w:hAnsi="Arial"/>
        </w:rPr>
        <w:t xml:space="preserve">6.4 Score above 0.90: Conviction Holds</w:t>
      </w:r>
    </w:p>
    <w:p>
      <w:pPr>
        <w:spacing w:after="120" w:before="0"/>
        <w:jc w:val="left"/>
      </w:pPr>
      <w:r>
        <w:rPr>
          <w:rFonts w:ascii="Arial" w:cs="Arial" w:eastAsia="Arial" w:hAnsi="Arial"/>
          <w:b w:val="false"/>
          <w:bCs w:val="false"/>
          <w:i w:val="false"/>
          <w:iCs w:val="false"/>
          <w:color w:val="333333"/>
          <w:sz w:val="22"/>
          <w:szCs w:val="22"/>
        </w:rPr>
        <w:t xml:space="preserve">614 events, 95% approval rate, mean 14d runup -0.02%, mean post-1d +0.48%. The highest-conviction ODIN scores show flat price action and positive post-event returns. These are not momentum trades; they are conviction holds where the thesis is "the FDA will approve this, and the market has not yet fully priced it in."</w:t>
      </w:r>
    </w:p>
    <w:p>
      <w:r>
        <w:br w:type="page"/>
      </w:r>
    </w:p>
    <w:p>
      <w:pPr>
        <w:pStyle w:val="Heading1"/>
      </w:pPr>
      <w:r>
        <w:rPr>
          <w:rFonts w:ascii="Arial" w:cs="Arial" w:eastAsia="Arial" w:hAnsi="Arial"/>
        </w:rPr>
        <w:t xml:space="preserve">7. Volume Dynamics</w:t>
      </w:r>
    </w:p>
    <w:p>
      <w:pPr>
        <w:spacing w:after="120" w:before="0"/>
        <w:jc w:val="left"/>
      </w:pPr>
      <w:r>
        <w:rPr>
          <w:rFonts w:ascii="Arial" w:cs="Arial" w:eastAsia="Arial" w:hAnsi="Arial"/>
          <w:b w:val="false"/>
          <w:bCs w:val="false"/>
          <w:i w:val="false"/>
          <w:iCs w:val="false"/>
          <w:color w:val="333333"/>
          <w:sz w:val="22"/>
          <w:szCs w:val="22"/>
        </w:rPr>
        <w:t xml:space="preserve">Volume ratios (5-day average divided by 30-day average) are surprisingly modest across all tiers, ranging from 1.03x (T1) to 1.17x (T2). This suggests that pre-PDUFA volume surges are not a strong differentiator in the aggregate.</w:t>
      </w:r>
    </w:p>
    <w:p>
      <w:pPr>
        <w:spacing w:after="120" w:before="0"/>
        <w:jc w:val="left"/>
      </w:pPr>
      <w:r>
        <w:rPr>
          <w:rFonts w:ascii="Arial" w:cs="Arial" w:eastAsia="Arial" w:hAnsi="Arial"/>
          <w:b w:val="false"/>
          <w:bCs w:val="false"/>
          <w:i w:val="false"/>
          <w:iCs w:val="false"/>
          <w:color w:val="333333"/>
          <w:sz w:val="22"/>
          <w:szCs w:val="22"/>
        </w:rPr>
        <w:t xml:space="preserve">T2 shows the highest volume anticipation (1.17x), consistent with its profile as the "priced for perfection" tier where active traders position aggressively. T1 shows the lowest volume ratio (1.03x), reinforcing the efficient-market hypothesis for high-probability events.</w:t>
      </w:r>
    </w:p>
    <w:p>
      <w:pPr>
        <w:spacing w:after="120" w:before="0"/>
        <w:jc w:val="left"/>
      </w:pPr>
      <w:r>
        <w:rPr>
          <w:rFonts w:ascii="Arial" w:cs="Arial" w:eastAsia="Arial" w:hAnsi="Arial"/>
          <w:b w:val="false"/>
          <w:bCs w:val="false"/>
          <w:i w:val="false"/>
          <w:iCs w:val="false"/>
          <w:color w:val="333333"/>
          <w:sz w:val="22"/>
          <w:szCs w:val="22"/>
        </w:rPr>
        <w:t xml:space="preserve">Volume spikes are more informative at the individual event level than in aggregate. A T2 event with a 2x+ volume surge may signal unusual conviction or insider positioning, while a T4 event with high volume likely reflects retail speculation.</w:t>
      </w:r>
    </w:p>
    <w:p>
      <w:pPr>
        <w:pStyle w:val="Heading1"/>
      </w:pPr>
      <w:r>
        <w:rPr>
          <w:rFonts w:ascii="Arial" w:cs="Arial" w:eastAsia="Arial" w:hAnsi="Arial"/>
        </w:rPr>
        <w:t xml:space="preserve">8. Temporal Trends</w:t>
      </w:r>
    </w:p>
    <w:p>
      <w:pPr>
        <w:spacing w:after="120" w:before="0"/>
        <w:jc w:val="left"/>
      </w:pPr>
      <w:r>
        <w:rPr>
          <w:rFonts w:ascii="Arial" w:cs="Arial" w:eastAsia="Arial" w:hAnsi="Arial"/>
          <w:b w:val="false"/>
          <w:bCs w:val="false"/>
          <w:i w:val="false"/>
          <w:iCs w:val="false"/>
          <w:color w:val="333333"/>
          <w:sz w:val="22"/>
          <w:szCs w:val="22"/>
        </w:rPr>
        <w:t xml:space="preserve">Runup patterns have evolved modestly from 2020 to 2025. The post-COVID era (2022–2025) saw slightly lower average runups compared to the 2020–2021 retail trading boom, consistent with reduced retail participation in biotech catalysts. However, the core finding (CRL events having higher runups) persists across all years, confirming it is a structural market phenomenon, not a temporal artifact.</w:t>
      </w:r>
    </w:p>
    <w:p>
      <w:r>
        <w:br w:type="page"/>
      </w:r>
    </w:p>
    <w:p>
      <w:pPr>
        <w:pStyle w:val="Heading1"/>
      </w:pPr>
      <w:r>
        <w:rPr>
          <w:rFonts w:ascii="Arial" w:cs="Arial" w:eastAsia="Arial" w:hAnsi="Arial"/>
        </w:rPr>
        <w:t xml:space="preserve">9. Trading Implications</w:t>
      </w:r>
    </w:p>
    <w:p>
      <w:pPr>
        <w:pStyle w:val="Heading2"/>
      </w:pPr>
      <w:r>
        <w:rPr>
          <w:rFonts w:ascii="Arial" w:cs="Arial" w:eastAsia="Arial" w:hAnsi="Arial"/>
        </w:rPr>
        <w:t xml:space="preserve">9.1 For Long Strategies</w:t>
      </w:r>
    </w:p>
    <w:p>
      <w:pPr>
        <w:spacing w:after="120" w:before="0"/>
        <w:jc w:val="left"/>
      </w:pPr>
      <w:r>
        <w:rPr>
          <w:rFonts w:ascii="Arial" w:cs="Arial" w:eastAsia="Arial" w:hAnsi="Arial"/>
          <w:b w:val="false"/>
          <w:bCs w:val="false"/>
          <w:i w:val="false"/>
          <w:iCs w:val="false"/>
          <w:color w:val="333333"/>
          <w:sz w:val="22"/>
          <w:szCs w:val="22"/>
        </w:rPr>
        <w:t xml:space="preserve">Focus on T1 events with below-average runups. The combination of 93%+ approval probability and negative-to-flat pre-event price action offers the best risk-adjusted entry. Avoid buying T1 names that have already run up 10%+ into the catalyst; these are "sell the news" setups regardless of approval outcome.</w:t>
      </w:r>
    </w:p>
    <w:p>
      <w:pPr>
        <w:pStyle w:val="Heading2"/>
      </w:pPr>
      <w:r>
        <w:rPr>
          <w:rFonts w:ascii="Arial" w:cs="Arial" w:eastAsia="Arial" w:hAnsi="Arial"/>
        </w:rPr>
        <w:t xml:space="preserve">9.2 For Short/Hedge Strategies</w:t>
      </w:r>
    </w:p>
    <w:p>
      <w:pPr>
        <w:spacing w:after="120" w:before="0"/>
        <w:jc w:val="left"/>
      </w:pPr>
      <w:r>
        <w:rPr>
          <w:rFonts w:ascii="Arial" w:cs="Arial" w:eastAsia="Arial" w:hAnsi="Arial"/>
          <w:b w:val="false"/>
          <w:bCs w:val="false"/>
          <w:i w:val="false"/>
          <w:iCs w:val="false"/>
          <w:color w:val="333333"/>
          <w:sz w:val="22"/>
          <w:szCs w:val="22"/>
        </w:rPr>
        <w:t xml:space="preserve">T4 events with 14-day runups exceeding 10% represent the highest-conviction bear setup. These are speculative names with 79% CRL probability that have surged on retail FOMO. The post-event crash (not fully captured by 1-day returns, which often include halts) is typically severe. Risk: the 21% approval rate means 1-in-5 trades will face a massive short squeeze.</w:t>
      </w:r>
    </w:p>
    <w:p>
      <w:pPr>
        <w:pStyle w:val="Heading2"/>
      </w:pPr>
      <w:r>
        <w:rPr>
          <w:rFonts w:ascii="Arial" w:cs="Arial" w:eastAsia="Arial" w:hAnsi="Arial"/>
        </w:rPr>
        <w:t xml:space="preserve">9.3 For Market-Neutral Strategies</w:t>
      </w:r>
    </w:p>
    <w:p>
      <w:pPr>
        <w:spacing w:after="120" w:before="0"/>
        <w:jc w:val="left"/>
      </w:pPr>
      <w:r>
        <w:rPr>
          <w:rFonts w:ascii="Arial" w:cs="Arial" w:eastAsia="Arial" w:hAnsi="Arial"/>
          <w:b w:val="false"/>
          <w:bCs w:val="false"/>
          <w:i w:val="false"/>
          <w:iCs w:val="false"/>
          <w:color w:val="333333"/>
          <w:sz w:val="22"/>
          <w:szCs w:val="22"/>
        </w:rPr>
        <w:t xml:space="preserve">Pair T1-low-runup longs against T4-high-runup shorts. The differential in approval probability (93% vs. 19%) and the opposing runup profiles create a natural spread trade. Back-of-envelope: if the long gains +0.30% post-event and the short gains +1.05% (on the CRL crash), the blended return is attractive even accounting for the occasional T4 approval.</w:t>
      </w:r>
    </w:p>
    <w:p>
      <w:r>
        <w:br w:type="page"/>
      </w:r>
    </w:p>
    <w:p>
      <w:pPr>
        <w:pStyle w:val="Heading1"/>
      </w:pPr>
      <w:r>
        <w:rPr>
          <w:rFonts w:ascii="Arial" w:cs="Arial" w:eastAsia="Arial" w:hAnsi="Arial"/>
        </w:rPr>
        <w:t xml:space="preserve">10. Disclaimer</w:t>
      </w:r>
    </w:p>
    <w:p>
      <w:pPr>
        <w:spacing w:after="120" w:before="0"/>
        <w:jc w:val="left"/>
      </w:pPr>
      <w:r>
        <w:rPr>
          <w:rFonts w:ascii="Arial" w:cs="Arial" w:eastAsia="Arial" w:hAnsi="Arial"/>
          <w:b w:val="false"/>
          <w:bCs w:val="false"/>
          <w:i/>
          <w:iCs/>
          <w:color w:val="666666"/>
          <w:sz w:val="22"/>
          <w:szCs w:val="22"/>
        </w:rPr>
        <w:t xml:space="preserve">This report is for informational and educational purposes only. It does not constitute investment advice, a recommendation, or a solicitation to buy or sell any securities. Past performance is not indicative of future results. PDUFA catalyst events are inherently binary and unpredictable. ODIN model scores are probabilistic estimates, not guarantees. All trading involves risk of loss. Consult a qualified financial advisor before making investment decisions.</w:t>
      </w:r>
    </w:p>
    <w:p>
      <w:pPr>
        <w:spacing w:after="120" w:before="0"/>
        <w:jc w:val="left"/>
      </w:pPr>
      <w:r>
        <w:rPr>
          <w:rFonts w:ascii="Arial" w:cs="Arial" w:eastAsia="Arial" w:hAnsi="Arial"/>
          <w:b w:val="false"/>
          <w:bCs w:val="false"/>
          <w:i/>
          <w:iCs/>
          <w:color w:val="666666"/>
          <w:sz w:val="22"/>
          <w:szCs w:val="22"/>
        </w:rPr>
        <w:t xml:space="preserve">Data sources: FDA PDUFA calendar, Yahoo Finance (yfinance), ODIN vNEXT v5 model. Analysis period: January 2020 through February 2026. All price data is adjusted for splits and dividends.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2" w:space="1"/>
      </w:pBdr>
      <w:jc w:val="right"/>
    </w:pPr>
    <w:r>
      <w:rPr>
        <w:rFonts w:ascii="Arial" w:cs="Arial" w:eastAsia="Arial" w:hAnsi="Arial"/>
        <w:i/>
        <w:iCs/>
        <w:color w:val="999999"/>
        <w:sz w:val="16"/>
        <w:szCs w:val="16"/>
      </w:rPr>
      <w:t xml:space="preserve">PDUFA Runup Research  |  ODIN v5  |  pdufa.bio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549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2026-03-13T16:11:48.670Z</dcterms:created>
  <dcterms:modified xsi:type="dcterms:W3CDTF">2026-03-13T16:11:48.671Z</dcterms:modified>
</cp:coreProperties>
</file>

<file path=docProps/custom.xml><?xml version="1.0" encoding="utf-8"?>
<Properties xmlns="http://schemas.openxmlformats.org/officeDocument/2006/custom-properties" xmlns:vt="http://schemas.openxmlformats.org/officeDocument/2006/docPropsVTypes"/>
</file>