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2E5C8A"/>
          <w:sz w:val="56"/>
          <w:szCs w:val="56"/>
        </w:rPr>
        <w:t xml:space="preserve">9 REALMS</w:t>
      </w:r>
    </w:p>
    <w:p>
      <w:pPr>
        <w:spacing w:after="400"/>
        <w:jc w:val="center"/>
      </w:pPr>
      <w:r>
        <w:rPr>
          <w:b/>
          <w:bCs/>
          <w:sz w:val="44"/>
          <w:szCs w:val="44"/>
        </w:rPr>
        <w:t xml:space="preserve">Q2 2026 AGGRESSIVE CATALYST STRATEGY</w:t>
      </w:r>
    </w:p>
    <w:p>
      <w:pPr>
        <w:spacing w:after="200"/>
        <w:jc w:val="center"/>
      </w:pPr>
      <w:r>
        <w:rPr>
          <w:i/>
          <w:iCs/>
          <w:color w:val="555555"/>
          <w:sz w:val="28"/>
          <w:szCs w:val="28"/>
        </w:rPr>
        <w:t xml:space="preserve">Riding the Waves, Compounding the Gains</w:t>
      </w:r>
    </w:p>
    <w:p>
      <w:pPr>
        <w:spacing w:after="1200"/>
        <w:jc w:val="center"/>
      </w:pPr>
      <w:r>
        <w:rPr>
          <w:color w:val="777777"/>
          <w:sz w:val="20"/>
          <w:szCs w:val="20"/>
        </w:rPr>
        <w:t xml:space="preserve">Powered by ODIN v14 • Gungnir v46 • BIFROST v5.5 + v4 • Conference/Smart Money/UOA/IIS Overlays</w:t>
      </w:r>
    </w:p>
    <w:p>
      <w:pPr>
        <w:spacing w:after="100"/>
        <w:jc w:val="center"/>
      </w:pPr>
      <w:r>
        <w:rPr>
          <w:b/>
          <w:bCs/>
          <w:sz w:val="22"/>
          <w:szCs w:val="22"/>
        </w:rPr>
        <w:t xml:space="preserve">Dated: April 17, 2026</w:t>
      </w:r>
    </w:p>
    <w:p>
      <w:pPr>
        <w:spacing w:after="1800"/>
        <w:jc w:val="center"/>
      </w:pPr>
      <w:r>
        <w:rPr>
          <w:color w:val="555555"/>
          <w:sz w:val="20"/>
          <w:szCs w:val="20"/>
        </w:rPr>
        <w:t xml:space="preserve">Prepared for: David (rockyshoals@gmail.com)</w:t>
      </w:r>
    </w:p>
    <w:p>
      <w:pPr>
        <w:spacing w:after="200"/>
        <w:jc w:val="center"/>
      </w:pPr>
      <w:r>
        <w:rPr>
          <w:b/>
          <w:bCs/>
          <w:color w:val="B82828"/>
          <w:sz w:val="22"/>
          <w:szCs w:val="22"/>
        </w:rPr>
        <w:t xml:space="preserve">Posture: AGGRESSIVE — Nano/Micro Concentration</w:t>
      </w:r>
    </w:p>
    <w:p>
      <w:pPr>
        <w:jc w:val="center"/>
      </w:pPr>
      <w:r>
        <w:rPr>
          <w:sz w:val="20"/>
          <w:szCs w:val="20"/>
        </w:rPr>
        <w:t xml:space="preserve">Max 6–8% per position • Max 5–6 concurrent • Target peak heat ~35%</w:t>
      </w:r>
    </w:p>
    <w:p>
      <w:r>
        <w:br w:type="page"/>
      </w:r>
    </w:p>
    <w:p>
      <w:pPr>
        <w:pStyle w:val="Heading1"/>
      </w:pPr>
      <w:r>
        <w:rPr>
          <w:b/>
          <w:bCs/>
          <w:sz w:val="32"/>
          <w:szCs w:val="32"/>
        </w:rPr>
        <w:t xml:space="preserve">Executive Summary</w:t>
      </w:r>
    </w:p>
    <w:p>
      <w:pPr>
        <w:spacing w:after="120"/>
      </w:pPr>
      <w:r>
        <w:rPr>
          <w:sz w:val="22"/>
          <w:szCs w:val="22"/>
        </w:rPr>
        <w:t xml:space="preserve">This strategy processes 827 H1 2026 FDA catalysts through the full 9 Realms stack (ODIN v14, Gungnir v46, BIFROST v4/v5.5, Conference Overlay, Smart Money Overlay, UOA Overlay, IIS). After filtering to Q2 (April 17–June 30), 324 scored events remain. Applying aggressive-posture filters (nano/micro/small cap, ODIN T1–T2 or Gungnir ALPHA–BETA, positive position size, positive days-to-catalyst), we surface a 30-name rotation roster.</w:t>
      </w:r>
    </w:p>
    <w:p>
      <w:pPr>
        <w:spacing w:after="120"/>
      </w:pPr>
      <w:r>
        <w:rPr>
          <w:sz w:val="22"/>
          <w:szCs w:val="22"/>
        </w:rPr>
        <w:t xml:space="preserve">Q2 has a highly compressed opportunity structure: AACR 2026 (April 17–22) is 5 days of concentrated ALPHA density with 21 tiered oncology plays, followed by a GRCE PDUFA (Apr 23) and AXSM PDUFA (Apr 30) that recapture capital recycled out of AACR. May is an air-gap month (ATS/EULAR/conference microbursts only), and June 27–30 is a four-PDUFA + three-readout cluster where the rotation ends.</w:t>
      </w:r>
    </w:p>
    <w:p>
      <w:pPr>
        <w:spacing w:after="120"/>
      </w:pPr>
      <w:r>
        <w:rPr>
          <w:b w:val="false"/>
          <w:bCs w:val="false"/>
          <w:sz w:val="22"/>
          <w:szCs w:val="22"/>
        </w:rPr>
        <w:t xml:space="preserve">The naïve sum of optimal position sizes across all 30 names is 169.5%. Because BIFROST v4's cardinal rule is 'the runup IS the trade — never hold through the catalyst,' capital recycles roughly 6–8× across the quarter. Target peak concurrent heat is 30–40%, and target compounded Q2 return (aggressive, high-variance base case) is 60–120%. Max Q2 drawdown tolerance: –12% (rotation halts, capital redeployed).</w:t>
      </w:r>
    </w:p>
    <w:p>
      <w:pPr>
        <w:spacing w:after="120"/>
      </w:pPr>
      <w:r>
        <w:rPr>
          <w:sz w:val="22"/>
          <w:szCs w:val="22"/>
        </w:rPr>
        <w:t xml:space="preserve">Current baseline portfolio (ALXO 55%, CMPX 40%, Cash 5%) is preserved — CRDF (AACR Apr 19), GRCE (PDUFA Apr 23), WHWK (AACR Apr 17–22), and CABA (AAN Apr 20) are all validated by this scoring pass. New allocations come from the 5% cash sleeve plus rotated capital freed as existing positions exit their runup windows.</w:t>
      </w:r>
    </w:p>
    <w:p>
      <w:pPr>
        <w:pStyle w:val="Heading2"/>
      </w:pPr>
      <w:r>
        <w:rPr>
          <w:b/>
          <w:bCs/>
          <w:sz w:val="26"/>
          <w:szCs w:val="26"/>
        </w:rPr>
        <w:t xml:space="preserve">Three-Engine Honest-Number Disclosure</w:t>
      </w:r>
    </w:p>
    <w:p>
      <w:pPr>
        <w:spacing w:after="120"/>
      </w:pPr>
      <w:r>
        <w:rPr>
          <w:i/>
          <w:iCs/>
          <w:sz w:val="22"/>
          <w:szCs w:val="22"/>
        </w:rPr>
        <w:t xml:space="preserve">Every ranking in this deck uses HONEST-calibrated probabilities (recalibrated Apr 17 following the red team audit). Reported vs honest AUCs: BIFROST v5.5 0.9487 → 0.8861 (–626 bp). ODIN v14 HO 0.9363 → 0.8995 (–368 bp). Gungnir v46 WF 0.8135 → 0.7841 test / 0.7551 final HO (–294 / –584 bp). All three engines share the same root cause — greedy feature or hyperparameter selection touched evaluation data. DEPLOYED SCORES ARE ORDINALLY VALID BUT ABSOLUTELY OPTIMISTIC. Position tiers and rotation sequencing use ranking signal only; raw probabilities are discounted by calibration factors (ODIN ×0.96, Gungnir ×0.93).</w:t>
      </w:r>
    </w:p>
    <w:p>
      <w:r>
        <w:br w:type="page"/>
      </w:r>
    </w:p>
    <w:p>
      <w:pPr>
        <w:pStyle w:val="Heading1"/>
      </w:pPr>
      <w:r>
        <w:rPr>
          <w:b/>
          <w:bCs/>
          <w:sz w:val="32"/>
          <w:szCs w:val="32"/>
        </w:rPr>
        <w:t xml:space="preserve">The Q2 Rotation Waterfall</w:t>
      </w:r>
    </w:p>
    <w:p>
      <w:pPr>
        <w:spacing w:after="120"/>
      </w:pPr>
      <w:r>
        <w:rPr>
          <w:sz w:val="22"/>
          <w:szCs w:val="22"/>
        </w:rPr>
        <w:t xml:space="preserve">Capital flows by catalyst date. Each block shows PEAK concurrent exposure (assuming all names are active) and the names exiting that week to free capital for the next block.</w:t>
      </w:r>
    </w:p>
    <w:p>
      <w:pPr>
        <w:pStyle w:val="Heading2"/>
      </w:pPr>
      <w:r>
        <w:rPr>
          <w:b/>
          <w:bCs/>
          <w:sz w:val="26"/>
          <w:szCs w:val="26"/>
        </w:rPr>
        <w:t xml:space="preserve">Block 1 — AACR Week (Apr 17–22) | PEAK HEAT ~35%</w:t>
      </w:r>
    </w:p>
    <w:p>
      <w:pPr>
        <w:spacing w:after="120"/>
      </w:pPr>
      <w:r>
        <w:rPr>
          <w:sz w:val="22"/>
          <w:szCs w:val="22"/>
        </w:rPr>
        <w:t xml:space="preserve">18 ALPHA catalysts across 5 days. Enter T-7 to T-3 depending on mcap. Exit by Apr 22 close. This block converts the 5% cash sleeve plus capital rotated out of CRDF and WHWK as those plays exit.</w:t>
      </w:r>
    </w:p>
    <w:p>
      <w:pPr>
        <w:spacing w:after="120"/>
      </w:pPr>
      <w:r>
        <w:rPr>
          <w:i/>
          <w:iCs/>
          <w:sz w:val="22"/>
          <w:szCs w:val="22"/>
        </w:rPr>
        <w:t xml:space="preserve">Execution playbook: stagger entries Apr 13–18. Limit orders only. Position-size nano caps at half-weight (3.5%) due to liquidity. Skip AACR names flagged by IIS as 'interim + tiny N' — none in this cohort.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700"/>
        <w:gridCol w:w="700"/>
        <w:gridCol w:w="600"/>
        <w:gridCol w:w="700"/>
        <w:gridCol w:w="1400"/>
      </w:tblGrid>
      <w:tr>
        <w:trPr>
          <w:tblHeader/>
        </w:trPr>
        <w:tc>
          <w:tcPr>
            <w:tcW w:type="dxa" w:w="7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Ticker</w:t>
            </w:r>
          </w:p>
        </w:tc>
        <w:tc>
          <w:tcPr>
            <w:tcW w:type="dxa" w:w="24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Drug</w:t>
            </w:r>
          </w:p>
        </w:tc>
        <w:tc>
          <w:tcPr>
            <w:tcW w:type="dxa" w:w="7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Date</w:t>
            </w:r>
          </w:p>
        </w:tc>
        <w:tc>
          <w:tcPr>
            <w:tcW w:type="dxa" w:w="7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Mcap</w:t>
            </w:r>
          </w:p>
        </w:tc>
        <w:tc>
          <w:tcPr>
            <w:tcW w:type="dxa" w:w="6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Score</w:t>
            </w:r>
          </w:p>
        </w:tc>
        <w:tc>
          <w:tcPr>
            <w:tcW w:type="dxa" w:w="7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Size</w:t>
            </w:r>
          </w:p>
        </w:tc>
        <w:tc>
          <w:tcPr>
            <w:tcW w:type="dxa" w:w="14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Entry Window</w:t>
            </w:r>
          </w:p>
        </w:tc>
      </w:tr>
      <w:tr>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MOLN</w:t>
            </w:r>
          </w:p>
        </w:tc>
        <w:tc>
          <w:tcPr>
            <w:tcW w:type="dxa" w:w="24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cKIT×CD16a×CD47 Switch-DARPin</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Apr 17</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Micro</w:t>
            </w:r>
          </w:p>
        </w:tc>
        <w:tc>
          <w:tcPr>
            <w:tcW w:type="dxa" w:w="6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99</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6.0%</w:t>
            </w:r>
          </w:p>
        </w:tc>
        <w:tc>
          <w:tcPr>
            <w:tcW w:type="dxa" w:w="14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Apr 10–17</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CRDF</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Onvansertib + paclitaxel</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Apr 19</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Micro</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99</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6.0% ⭐HELD</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Apr 10–17</w:t>
            </w:r>
          </w:p>
        </w:tc>
      </w:tr>
      <w:tr>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XAIR</w:t>
            </w:r>
          </w:p>
        </w:tc>
        <w:tc>
          <w:tcPr>
            <w:tcW w:type="dxa" w:w="24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UNO (Beyond Cancer)</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Apr 19</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Nano</w:t>
            </w:r>
          </w:p>
        </w:tc>
        <w:tc>
          <w:tcPr>
            <w:tcW w:type="dxa" w:w="6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88</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3.5%</w:t>
            </w:r>
          </w:p>
        </w:tc>
        <w:tc>
          <w:tcPr>
            <w:tcW w:type="dxa" w:w="14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Apr 14–18</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COGT</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CGT1263</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Apr 19</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Mid</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98</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5.0%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Apr 6–17</w:t>
            </w:r>
          </w:p>
        </w:tc>
      </w:tr>
      <w:tr>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XLO</w:t>
            </w:r>
          </w:p>
        </w:tc>
        <w:tc>
          <w:tcPr>
            <w:tcW w:type="dxa" w:w="24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XTX601</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Apr 20</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Nano</w:t>
            </w:r>
          </w:p>
        </w:tc>
        <w:tc>
          <w:tcPr>
            <w:tcW w:type="dxa" w:w="6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99</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3.5%</w:t>
            </w:r>
          </w:p>
        </w:tc>
        <w:tc>
          <w:tcPr>
            <w:tcW w:type="dxa" w:w="14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Apr 14–18</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ZNTL</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Azenosertib + Topo I combo</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Apr 20</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Small</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98</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7.0%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Apr 6–17</w:t>
            </w:r>
          </w:p>
        </w:tc>
      </w:tr>
      <w:tr>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ZLAB</w:t>
            </w:r>
          </w:p>
        </w:tc>
        <w:tc>
          <w:tcPr>
            <w:tcW w:type="dxa" w:w="24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ZL-6201</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Apr 20</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Mid</w:t>
            </w:r>
          </w:p>
        </w:tc>
        <w:tc>
          <w:tcPr>
            <w:tcW w:type="dxa" w:w="6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98</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5.0%</w:t>
            </w:r>
          </w:p>
        </w:tc>
        <w:tc>
          <w:tcPr>
            <w:tcW w:type="dxa" w:w="14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Apr 6–17</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OLMA</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Palazestrant</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Apr 20</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Small</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98</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7.0%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Apr 6–17</w:t>
            </w:r>
          </w:p>
        </w:tc>
      </w:tr>
      <w:tr>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AVBP</w:t>
            </w:r>
          </w:p>
        </w:tc>
        <w:tc>
          <w:tcPr>
            <w:tcW w:type="dxa" w:w="24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AV-P138-ADC (ARR-002)</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Apr 20</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Small</w:t>
            </w:r>
          </w:p>
        </w:tc>
        <w:tc>
          <w:tcPr>
            <w:tcW w:type="dxa" w:w="6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98</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7.0%</w:t>
            </w:r>
          </w:p>
        </w:tc>
        <w:tc>
          <w:tcPr>
            <w:tcW w:type="dxa" w:w="14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Apr 6–17</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ACRV</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ACR-2316</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Apr 20</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Micro</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89</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6.0%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Apr 10–17</w:t>
            </w:r>
          </w:p>
        </w:tc>
      </w:tr>
      <w:tr>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BOLD</w:t>
            </w:r>
          </w:p>
        </w:tc>
        <w:tc>
          <w:tcPr>
            <w:tcW w:type="dxa" w:w="24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BBI-940 (KOMODO-1)</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Apr 21</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Nano</w:t>
            </w:r>
          </w:p>
        </w:tc>
        <w:tc>
          <w:tcPr>
            <w:tcW w:type="dxa" w:w="6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89</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3.5%</w:t>
            </w:r>
          </w:p>
        </w:tc>
        <w:tc>
          <w:tcPr>
            <w:tcW w:type="dxa" w:w="14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Apr 14–18</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CNTX</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CT-202</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Apr 21</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Micro</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99</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6.0%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Apr 10–17</w:t>
            </w:r>
          </w:p>
        </w:tc>
      </w:tr>
      <w:tr>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PRLD</w:t>
            </w:r>
          </w:p>
        </w:tc>
        <w:tc>
          <w:tcPr>
            <w:tcW w:type="dxa" w:w="24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PRT13722</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Apr 21</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Micro</w:t>
            </w:r>
          </w:p>
        </w:tc>
        <w:tc>
          <w:tcPr>
            <w:tcW w:type="dxa" w:w="6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99</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6.0%</w:t>
            </w:r>
          </w:p>
        </w:tc>
        <w:tc>
          <w:tcPr>
            <w:tcW w:type="dxa" w:w="14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Apr 10–17</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HCM</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HMPL-A580</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Apr 21</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Mid</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98</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5.0%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Apr 6–17</w:t>
            </w:r>
          </w:p>
        </w:tc>
      </w:tr>
      <w:tr>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AAPG</w:t>
            </w:r>
          </w:p>
        </w:tc>
        <w:tc>
          <w:tcPr>
            <w:tcW w:type="dxa" w:w="24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Olverembatinib (HQP1351)</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Apr 21</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Mid</w:t>
            </w:r>
          </w:p>
        </w:tc>
        <w:tc>
          <w:tcPr>
            <w:tcW w:type="dxa" w:w="6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98</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5.0%</w:t>
            </w:r>
          </w:p>
        </w:tc>
        <w:tc>
          <w:tcPr>
            <w:tcW w:type="dxa" w:w="14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Apr 6–17</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FATE</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FT839</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Apr 21</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Micro</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104</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6.0%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Apr 10–17</w:t>
            </w:r>
          </w:p>
        </w:tc>
      </w:tr>
      <w:tr>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TNXP</w:t>
            </w:r>
          </w:p>
        </w:tc>
        <w:tc>
          <w:tcPr>
            <w:tcW w:type="dxa" w:w="24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TNX-1700</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Apr 22</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Micro</w:t>
            </w:r>
          </w:p>
        </w:tc>
        <w:tc>
          <w:tcPr>
            <w:tcW w:type="dxa" w:w="6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104</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6.0%</w:t>
            </w:r>
          </w:p>
        </w:tc>
        <w:tc>
          <w:tcPr>
            <w:tcW w:type="dxa" w:w="14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Apr 10–17</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CLDI</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CLD-401</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Apr 22</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Nano</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94</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3.5%</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Apr 14–18</w:t>
            </w:r>
          </w:p>
        </w:tc>
      </w:tr>
    </w:tbl>
    <w:p>
      <w:r>
        <w:br w:type="page"/>
      </w:r>
    </w:p>
    <w:p>
      <w:pPr>
        <w:pStyle w:val="Heading2"/>
      </w:pPr>
      <w:r>
        <w:rPr>
          <w:b/>
          <w:bCs/>
          <w:sz w:val="26"/>
          <w:szCs w:val="26"/>
        </w:rPr>
        <w:t xml:space="preserve">Block 2 — PDUFA Double (Apr 23 – May 1) | PEAK HEAT ~14%</w:t>
      </w:r>
    </w:p>
    <w:p>
      <w:pPr>
        <w:spacing w:after="120"/>
      </w:pPr>
      <w:r>
        <w:rPr>
          <w:sz w:val="22"/>
          <w:szCs w:val="22"/>
        </w:rPr>
        <w:t xml:space="preserve">GRCE and AXSM both run through standard PDUFA mechanics. GRCE is already held from Block 0. AXSM is a mid-cap with BTD — T1 probability, lower magnitude but cleaner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900"/>
        <w:gridCol w:w="800"/>
        <w:gridCol w:w="700"/>
        <w:gridCol w:w="600"/>
        <w:gridCol w:w="600"/>
        <w:gridCol w:w="2860"/>
      </w:tblGrid>
      <w:tr>
        <w:trPr>
          <w:tblHeader/>
        </w:trPr>
        <w:tc>
          <w:tcPr>
            <w:tcW w:type="dxa" w:w="7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Ticker</w:t>
            </w:r>
          </w:p>
        </w:tc>
        <w:tc>
          <w:tcPr>
            <w:tcW w:type="dxa" w:w="22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Drug</w:t>
            </w:r>
          </w:p>
        </w:tc>
        <w:tc>
          <w:tcPr>
            <w:tcW w:type="dxa" w:w="9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Catalyst</w:t>
            </w:r>
          </w:p>
        </w:tc>
        <w:tc>
          <w:tcPr>
            <w:tcW w:type="dxa" w:w="8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Date</w:t>
            </w:r>
          </w:p>
        </w:tc>
        <w:tc>
          <w:tcPr>
            <w:tcW w:type="dxa" w:w="7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Mcap</w:t>
            </w:r>
          </w:p>
        </w:tc>
        <w:tc>
          <w:tcPr>
            <w:tcW w:type="dxa" w:w="6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Tier</w:t>
            </w:r>
          </w:p>
        </w:tc>
        <w:tc>
          <w:tcPr>
            <w:tcW w:type="dxa" w:w="6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Size</w:t>
            </w:r>
          </w:p>
        </w:tc>
        <w:tc>
          <w:tcPr>
            <w:tcW w:type="dxa" w:w="286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Strategy</w:t>
            </w:r>
          </w:p>
        </w:tc>
      </w:tr>
      <w:tr>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GRCE</w:t>
            </w:r>
          </w:p>
        </w:tc>
        <w:tc>
          <w:tcPr>
            <w:tcW w:type="dxa" w:w="22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GTX-104 (Orphan SAH)</w:t>
            </w:r>
          </w:p>
        </w:tc>
        <w:tc>
          <w:tcPr>
            <w:tcW w:type="dxa" w:w="9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PDUFA</w:t>
            </w:r>
          </w:p>
        </w:tc>
        <w:tc>
          <w:tcPr>
            <w:tcW w:type="dxa" w:w="8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Apr 23</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Micro</w:t>
            </w:r>
          </w:p>
        </w:tc>
        <w:tc>
          <w:tcPr>
            <w:tcW w:type="dxa" w:w="6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T2</w:t>
            </w:r>
          </w:p>
        </w:tc>
        <w:tc>
          <w:tcPr>
            <w:tcW w:type="dxa" w:w="6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6.0%</w:t>
            </w:r>
          </w:p>
        </w:tc>
        <w:tc>
          <w:tcPr>
            <w:tcW w:type="dxa" w:w="286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⭐HELD — exit Apr 22 close</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AXSM</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AXS-05 (CNS, BTD)</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PDUFA</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Apr 30</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Mid</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T1</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6.0%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Enter T-14 (Apr 16) — options overlay viable (IV expansion)</w:t>
            </w:r>
          </w:p>
        </w:tc>
      </w:tr>
      <w:tr>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ATYR</w:t>
            </w:r>
          </w:p>
        </w:tc>
        <w:tc>
          <w:tcPr>
            <w:tcW w:type="dxa" w:w="22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Efzofitimod Phase 3</w:t>
            </w:r>
          </w:p>
        </w:tc>
        <w:tc>
          <w:tcPr>
            <w:tcW w:type="dxa" w:w="9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Readout</w:t>
            </w:r>
          </w:p>
        </w:tc>
        <w:tc>
          <w:tcPr>
            <w:tcW w:type="dxa" w:w="8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Apr 30</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Small</w:t>
            </w:r>
          </w:p>
        </w:tc>
        <w:tc>
          <w:tcPr>
            <w:tcW w:type="dxa" w:w="6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SKIP</w:t>
            </w:r>
          </w:p>
        </w:tc>
        <w:tc>
          <w:tcPr>
            <w:tcW w:type="dxa" w:w="6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0.0%</w:t>
            </w:r>
          </w:p>
        </w:tc>
        <w:tc>
          <w:tcPr>
            <w:tcW w:type="dxa" w:w="286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 Primary endpoint FAILED Sept 2025 — avoid despite high LOA</w:t>
            </w:r>
          </w:p>
        </w:tc>
      </w:tr>
    </w:tbl>
    <w:p>
      <w:pPr>
        <w:pStyle w:val="Heading2"/>
      </w:pPr>
      <w:r>
        <w:rPr>
          <w:b/>
          <w:bCs/>
          <w:sz w:val="26"/>
          <w:szCs w:val="26"/>
        </w:rPr>
        <w:t xml:space="preserve">Block 3 — May Microburst Conferences (May 7 – May 31) | PEAK HEAT ~18%</w:t>
      </w:r>
    </w:p>
    <w:p>
      <w:pPr>
        <w:spacing w:after="120"/>
      </w:pPr>
      <w:r>
        <w:rPr>
          <w:sz w:val="22"/>
          <w:szCs w:val="22"/>
        </w:rPr>
        <w:t xml:space="preserve">ALXO ESMO Breast (May 7) is already held at 55%. Added exposure: EDSA ATS (May 20, nano, Fast Track), CING May 31, MNKD ATTD, plus opportunistic mid-May readouts. Lower density than AACR — 3–4 concurrent max.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900"/>
        <w:gridCol w:w="800"/>
        <w:gridCol w:w="700"/>
        <w:gridCol w:w="600"/>
        <w:gridCol w:w="600"/>
        <w:gridCol w:w="2860"/>
      </w:tblGrid>
      <w:tr>
        <w:trPr>
          <w:tblHeader/>
        </w:trPr>
        <w:tc>
          <w:tcPr>
            <w:tcW w:type="dxa" w:w="7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Ticker</w:t>
            </w:r>
          </w:p>
        </w:tc>
        <w:tc>
          <w:tcPr>
            <w:tcW w:type="dxa" w:w="22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Drug</w:t>
            </w:r>
          </w:p>
        </w:tc>
        <w:tc>
          <w:tcPr>
            <w:tcW w:type="dxa" w:w="9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Catalyst</w:t>
            </w:r>
          </w:p>
        </w:tc>
        <w:tc>
          <w:tcPr>
            <w:tcW w:type="dxa" w:w="8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Date</w:t>
            </w:r>
          </w:p>
        </w:tc>
        <w:tc>
          <w:tcPr>
            <w:tcW w:type="dxa" w:w="7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Mcap</w:t>
            </w:r>
          </w:p>
        </w:tc>
        <w:tc>
          <w:tcPr>
            <w:tcW w:type="dxa" w:w="6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Tier</w:t>
            </w:r>
          </w:p>
        </w:tc>
        <w:tc>
          <w:tcPr>
            <w:tcW w:type="dxa" w:w="6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Size</w:t>
            </w:r>
          </w:p>
        </w:tc>
        <w:tc>
          <w:tcPr>
            <w:tcW w:type="dxa" w:w="286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Strategy</w:t>
            </w:r>
          </w:p>
        </w:tc>
      </w:tr>
      <w:tr>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ALXO</w:t>
            </w:r>
          </w:p>
        </w:tc>
        <w:tc>
          <w:tcPr>
            <w:tcW w:type="dxa" w:w="22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Belantamab (breast)</w:t>
            </w:r>
          </w:p>
        </w:tc>
        <w:tc>
          <w:tcPr>
            <w:tcW w:type="dxa" w:w="9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ESMO Breast</w:t>
            </w:r>
          </w:p>
        </w:tc>
        <w:tc>
          <w:tcPr>
            <w:tcW w:type="dxa" w:w="8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May 7</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Small</w:t>
            </w:r>
          </w:p>
        </w:tc>
        <w:tc>
          <w:tcPr>
            <w:tcW w:type="dxa" w:w="6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ALPHA</w:t>
            </w:r>
          </w:p>
        </w:tc>
        <w:tc>
          <w:tcPr>
            <w:tcW w:type="dxa" w:w="6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55.0%</w:t>
            </w:r>
          </w:p>
        </w:tc>
        <w:tc>
          <w:tcPr>
            <w:tcW w:type="dxa" w:w="286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⭐HELD — core position, exit May 6</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EDSA</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Paridiprubart (ARDS, FT)</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ATS Conf</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May 20</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Nano</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ALPHA</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3.5%</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Enter May 6–13</w:t>
            </w:r>
          </w:p>
        </w:tc>
      </w:tr>
      <w:tr>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CMPX</w:t>
            </w:r>
          </w:p>
        </w:tc>
        <w:tc>
          <w:tcPr>
            <w:tcW w:type="dxa" w:w="22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Pasritamig (HER2+ GC)</w:t>
            </w:r>
          </w:p>
        </w:tc>
        <w:tc>
          <w:tcPr>
            <w:tcW w:type="dxa" w:w="9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ESMO GI</w:t>
            </w:r>
          </w:p>
        </w:tc>
        <w:tc>
          <w:tcPr>
            <w:tcW w:type="dxa" w:w="8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May 28</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Small</w:t>
            </w:r>
          </w:p>
        </w:tc>
        <w:tc>
          <w:tcPr>
            <w:tcW w:type="dxa" w:w="6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BETA</w:t>
            </w:r>
          </w:p>
        </w:tc>
        <w:tc>
          <w:tcPr>
            <w:tcW w:type="dxa" w:w="6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40.0%</w:t>
            </w:r>
          </w:p>
        </w:tc>
        <w:tc>
          <w:tcPr>
            <w:tcW w:type="dxa" w:w="286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⭐HELD — exit May 27</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MNKD</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Tyvaso DPI (MNKD-201)</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ATTD</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May 30</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Small</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T2</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5.0%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IV expansion play — options 2.0% overlay</w:t>
            </w:r>
          </w:p>
        </w:tc>
      </w:tr>
      <w:tr>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CING</w:t>
            </w:r>
          </w:p>
        </w:tc>
        <w:tc>
          <w:tcPr>
            <w:tcW w:type="dxa" w:w="22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CNM-Au8 HEALEY-ALS</w:t>
            </w:r>
          </w:p>
        </w:tc>
        <w:tc>
          <w:tcPr>
            <w:tcW w:type="dxa" w:w="9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Readout</w:t>
            </w:r>
          </w:p>
        </w:tc>
        <w:tc>
          <w:tcPr>
            <w:tcW w:type="dxa" w:w="8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May 31</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Micro</w:t>
            </w:r>
          </w:p>
        </w:tc>
        <w:tc>
          <w:tcPr>
            <w:tcW w:type="dxa" w:w="6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ALPHA</w:t>
            </w:r>
          </w:p>
        </w:tc>
        <w:tc>
          <w:tcPr>
            <w:tcW w:type="dxa" w:w="6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6.0%</w:t>
            </w:r>
          </w:p>
        </w:tc>
        <w:tc>
          <w:tcPr>
            <w:tcW w:type="dxa" w:w="286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Enter T-21 (May 10) — ALS binary</w:t>
            </w:r>
          </w:p>
        </w:tc>
      </w:tr>
    </w:tbl>
    <w:p>
      <w:r>
        <w:br w:type="page"/>
      </w:r>
    </w:p>
    <w:p>
      <w:pPr>
        <w:pStyle w:val="Heading2"/>
      </w:pPr>
      <w:r>
        <w:rPr>
          <w:b/>
          <w:bCs/>
          <w:sz w:val="26"/>
          <w:szCs w:val="26"/>
        </w:rPr>
        <w:t xml:space="preserve">Block 4 — June Readout/PDUFA Cluster (Jun 5 – Jun 30) | PEAK HEAT ~38%</w:t>
      </w:r>
    </w:p>
    <w:p>
      <w:pPr>
        <w:spacing w:after="120"/>
      </w:pPr>
      <w:r>
        <w:rPr>
          <w:sz w:val="22"/>
          <w:szCs w:val="22"/>
        </w:rPr>
        <w:t xml:space="preserve">The deepest concentration block in Q2. Four PDUFAs + three readouts in the last week. ALXO and CMPX will have been exited by this point, freeing ~95% capital for redeployment. Block 4 is the compounding punchline.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900"/>
        <w:gridCol w:w="800"/>
        <w:gridCol w:w="700"/>
        <w:gridCol w:w="600"/>
        <w:gridCol w:w="600"/>
        <w:gridCol w:w="2860"/>
      </w:tblGrid>
      <w:tr>
        <w:trPr>
          <w:tblHeader/>
        </w:trPr>
        <w:tc>
          <w:tcPr>
            <w:tcW w:type="dxa" w:w="7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Ticker</w:t>
            </w:r>
          </w:p>
        </w:tc>
        <w:tc>
          <w:tcPr>
            <w:tcW w:type="dxa" w:w="22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Drug</w:t>
            </w:r>
          </w:p>
        </w:tc>
        <w:tc>
          <w:tcPr>
            <w:tcW w:type="dxa" w:w="9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Catalyst</w:t>
            </w:r>
          </w:p>
        </w:tc>
        <w:tc>
          <w:tcPr>
            <w:tcW w:type="dxa" w:w="8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Date</w:t>
            </w:r>
          </w:p>
        </w:tc>
        <w:tc>
          <w:tcPr>
            <w:tcW w:type="dxa" w:w="7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Mcap</w:t>
            </w:r>
          </w:p>
        </w:tc>
        <w:tc>
          <w:tcPr>
            <w:tcW w:type="dxa" w:w="6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Tier</w:t>
            </w:r>
          </w:p>
        </w:tc>
        <w:tc>
          <w:tcPr>
            <w:tcW w:type="dxa" w:w="6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Size</w:t>
            </w:r>
          </w:p>
        </w:tc>
        <w:tc>
          <w:tcPr>
            <w:tcW w:type="dxa" w:w="286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Strategy</w:t>
            </w:r>
          </w:p>
        </w:tc>
      </w:tr>
      <w:tr>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ARVN</w:t>
            </w:r>
          </w:p>
        </w:tc>
        <w:tc>
          <w:tcPr>
            <w:tcW w:type="dxa" w:w="22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Vepdegestrant</w:t>
            </w:r>
          </w:p>
        </w:tc>
        <w:tc>
          <w:tcPr>
            <w:tcW w:type="dxa" w:w="9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PDUFA (priority)</w:t>
            </w:r>
          </w:p>
        </w:tc>
        <w:tc>
          <w:tcPr>
            <w:tcW w:type="dxa" w:w="8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Jun 5</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Small</w:t>
            </w:r>
          </w:p>
        </w:tc>
        <w:tc>
          <w:tcPr>
            <w:tcW w:type="dxa" w:w="6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T1</w:t>
            </w:r>
          </w:p>
        </w:tc>
        <w:tc>
          <w:tcPr>
            <w:tcW w:type="dxa" w:w="6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8.0%</w:t>
            </w:r>
          </w:p>
        </w:tc>
        <w:tc>
          <w:tcPr>
            <w:tcW w:type="dxa" w:w="286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Enter T-60 (Apr 6) — high-liquidity small-cap</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VRDN</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Veligrotug (BTD+PR)</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BLA</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mid-Jun</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Small</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T1</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8.0%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Enter T-60 — TED is de-risked by BTD stack</w:t>
            </w:r>
          </w:p>
        </w:tc>
      </w:tr>
      <w:tr>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UNCY</w:t>
            </w:r>
          </w:p>
        </w:tc>
        <w:tc>
          <w:tcPr>
            <w:tcW w:type="dxa" w:w="22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Oxylanthanum Carb</w:t>
            </w:r>
          </w:p>
        </w:tc>
        <w:tc>
          <w:tcPr>
            <w:tcW w:type="dxa" w:w="9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PDUFA</w:t>
            </w:r>
          </w:p>
        </w:tc>
        <w:tc>
          <w:tcPr>
            <w:tcW w:type="dxa" w:w="8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Jun 27</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Micro</w:t>
            </w:r>
          </w:p>
        </w:tc>
        <w:tc>
          <w:tcPr>
            <w:tcW w:type="dxa" w:w="6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T2</w:t>
            </w:r>
          </w:p>
        </w:tc>
        <w:tc>
          <w:tcPr>
            <w:tcW w:type="dxa" w:w="6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6.0%</w:t>
            </w:r>
          </w:p>
        </w:tc>
        <w:tc>
          <w:tcPr>
            <w:tcW w:type="dxa" w:w="286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Enter T-45 (May 13) — micro-cap runup</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LNTH</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Ga-68 edotreotide</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PDUFA</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Jun 29</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Mid</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T1</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6.0%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Enter T-90 (Mar 30) — established pattern</w:t>
            </w:r>
          </w:p>
        </w:tc>
      </w:tr>
      <w:tr>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DBVT</w:t>
            </w:r>
          </w:p>
        </w:tc>
        <w:tc>
          <w:tcPr>
            <w:tcW w:type="dxa" w:w="22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Viaskin Peanut VITESSE</w:t>
            </w:r>
          </w:p>
        </w:tc>
        <w:tc>
          <w:tcPr>
            <w:tcW w:type="dxa" w:w="9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Readout</w:t>
            </w:r>
          </w:p>
        </w:tc>
        <w:tc>
          <w:tcPr>
            <w:tcW w:type="dxa" w:w="8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Jun 30</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Small</w:t>
            </w:r>
          </w:p>
        </w:tc>
        <w:tc>
          <w:tcPr>
            <w:tcW w:type="dxa" w:w="6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ALPHA</w:t>
            </w:r>
          </w:p>
        </w:tc>
        <w:tc>
          <w:tcPr>
            <w:tcW w:type="dxa" w:w="6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7.0%</w:t>
            </w:r>
          </w:p>
        </w:tc>
        <w:tc>
          <w:tcPr>
            <w:tcW w:type="dxa" w:w="286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Enter T-30 (May 31) — biggest readout signal</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RNA</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Del-brax FORTITUDE</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Readout</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Jun 30</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Mid</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ALPHA</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5.0%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Enter T-30 — DMD binary</w:t>
            </w:r>
          </w:p>
        </w:tc>
      </w:tr>
      <w:tr>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XNCR</w:t>
            </w:r>
          </w:p>
        </w:tc>
        <w:tc>
          <w:tcPr>
            <w:tcW w:type="dxa" w:w="22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XmAb412</w:t>
            </w:r>
          </w:p>
        </w:tc>
        <w:tc>
          <w:tcPr>
            <w:tcW w:type="dxa" w:w="9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Readout</w:t>
            </w:r>
          </w:p>
        </w:tc>
        <w:tc>
          <w:tcPr>
            <w:tcW w:type="dxa" w:w="8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Jun 30</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Small</w:t>
            </w:r>
          </w:p>
        </w:tc>
        <w:tc>
          <w:tcPr>
            <w:tcW w:type="dxa" w:w="6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ALPHA</w:t>
            </w:r>
          </w:p>
        </w:tc>
        <w:tc>
          <w:tcPr>
            <w:tcW w:type="dxa" w:w="6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7.0%</w:t>
            </w:r>
          </w:p>
        </w:tc>
        <w:tc>
          <w:tcPr>
            <w:tcW w:type="dxa" w:w="286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Enter T-30</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OSTX</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OST-HER2 (4 desigs)</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BLA (2Q)</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Jun 30</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Micro</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T1</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6.0%</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Stage in T-75 to T-14 — FT+RMAT+ODD+RPDD full stack</w:t>
            </w:r>
          </w:p>
        </w:tc>
      </w:tr>
      <w:tr>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LRMR</w:t>
            </w:r>
          </w:p>
        </w:tc>
        <w:tc>
          <w:tcPr>
            <w:tcW w:type="dxa" w:w="22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Nomlabofusp (BTD)</w:t>
            </w:r>
          </w:p>
        </w:tc>
        <w:tc>
          <w:tcPr>
            <w:tcW w:type="dxa" w:w="9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BLA</w:t>
            </w:r>
          </w:p>
        </w:tc>
        <w:tc>
          <w:tcPr>
            <w:tcW w:type="dxa" w:w="8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Jun 30</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Small</w:t>
            </w:r>
          </w:p>
        </w:tc>
        <w:tc>
          <w:tcPr>
            <w:tcW w:type="dxa" w:w="6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T1</w:t>
            </w:r>
          </w:p>
        </w:tc>
        <w:tc>
          <w:tcPr>
            <w:tcW w:type="dxa" w:w="6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8.0%</w:t>
            </w:r>
          </w:p>
        </w:tc>
        <w:tc>
          <w:tcPr>
            <w:tcW w:type="dxa" w:w="286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Stage in T-60 to T-7 — Friedreich's Ataxia BTD</w:t>
            </w:r>
          </w:p>
        </w:tc>
      </w:tr>
    </w:tbl>
    <w:p>
      <w:r>
        <w:br w:type="page"/>
      </w:r>
    </w:p>
    <w:p>
      <w:pPr>
        <w:pStyle w:val="Heading1"/>
      </w:pPr>
      <w:r>
        <w:rPr>
          <w:b/>
          <w:bCs/>
          <w:sz w:val="32"/>
          <w:szCs w:val="32"/>
        </w:rPr>
        <w:t xml:space="preserve">Top 10 Sniper Setups</w:t>
      </w:r>
    </w:p>
    <w:p>
      <w:pPr>
        <w:spacing w:after="120"/>
      </w:pPr>
      <w:r>
        <w:rPr>
          <w:sz w:val="22"/>
          <w:szCs w:val="22"/>
        </w:rPr>
        <w:t xml:space="preserve">Ranked by composite post-overlay score. These are the highest-conviction concentrated bets. Size at full allocation (up to 8%) for nano/micro, consider options overlay for micro/small.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1900"/>
        <w:gridCol w:w="800"/>
        <w:gridCol w:w="5460"/>
      </w:tblGrid>
      <w:tr>
        <w:trPr>
          <w:tblHeader/>
        </w:trPr>
        <w:tc>
          <w:tcPr>
            <w:tcW w:type="dxa" w:w="5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Rank</w:t>
            </w:r>
          </w:p>
        </w:tc>
        <w:tc>
          <w:tcPr>
            <w:tcW w:type="dxa" w:w="7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Ticker</w:t>
            </w:r>
          </w:p>
        </w:tc>
        <w:tc>
          <w:tcPr>
            <w:tcW w:type="dxa" w:w="19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Catalyst</w:t>
            </w:r>
          </w:p>
        </w:tc>
        <w:tc>
          <w:tcPr>
            <w:tcW w:type="dxa" w:w="8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Date</w:t>
            </w:r>
          </w:p>
        </w:tc>
        <w:tc>
          <w:tcPr>
            <w:tcW w:type="dxa" w:w="546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Why It's Top-Tier</w:t>
            </w:r>
          </w:p>
        </w:tc>
      </w:tr>
      <w:tr>
        <w:tc>
          <w:tcPr>
            <w:tcW w:type="dxa" w:w="5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1</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DBVT</w:t>
            </w:r>
          </w:p>
        </w:tc>
        <w:tc>
          <w:tcPr>
            <w:tcW w:type="dxa" w:w="19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VITESSE readout</w:t>
            </w:r>
          </w:p>
        </w:tc>
        <w:tc>
          <w:tcPr>
            <w:tcW w:type="dxa" w:w="8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Jun 30</w:t>
            </w:r>
          </w:p>
        </w:tc>
        <w:tc>
          <w:tcPr>
            <w:tcW w:type="dxa" w:w="546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Small-cap ALPHA 107 composite — peanut allergy binary, highest score in Q2</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2</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FATE / TNXP</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AACR Oral</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Apr 21–22</w:t>
            </w:r>
          </w:p>
        </w:tc>
        <w:tc>
          <w:tcPr>
            <w:tcW w:type="dxa" w:w="5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Micro-cap AACR oral on oncology — 104 composite, 6% each</w:t>
            </w:r>
          </w:p>
        </w:tc>
      </w:tr>
      <w:tr>
        <w:tc>
          <w:tcPr>
            <w:tcW w:type="dxa" w:w="5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3</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MOLN</w:t>
            </w:r>
          </w:p>
        </w:tc>
        <w:tc>
          <w:tcPr>
            <w:tcW w:type="dxa" w:w="19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AACR Switch-DARPin</w:t>
            </w:r>
          </w:p>
        </w:tc>
        <w:tc>
          <w:tcPr>
            <w:tcW w:type="dxa" w:w="8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Apr 17</w:t>
            </w:r>
          </w:p>
        </w:tc>
        <w:tc>
          <w:tcPr>
            <w:tcW w:type="dxa" w:w="546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Micro-cap AACR podium oral — 99 composite, novel multi-specific</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4</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CRDF</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AACR onvansertib + pac</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Apr 19</w:t>
            </w:r>
          </w:p>
        </w:tc>
        <w:tc>
          <w:tcPr>
            <w:tcW w:type="dxa" w:w="5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⭐HELD — micro-cap AACR, 99 composite, BRAND-NEW combo data</w:t>
            </w:r>
          </w:p>
        </w:tc>
      </w:tr>
      <w:tr>
        <w:tc>
          <w:tcPr>
            <w:tcW w:type="dxa" w:w="5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5</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XLO</w:t>
            </w:r>
          </w:p>
        </w:tc>
        <w:tc>
          <w:tcPr>
            <w:tcW w:type="dxa" w:w="19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XTX601 AACR</w:t>
            </w:r>
          </w:p>
        </w:tc>
        <w:tc>
          <w:tcPr>
            <w:tcW w:type="dxa" w:w="8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Apr 20</w:t>
            </w:r>
          </w:p>
        </w:tc>
        <w:tc>
          <w:tcPr>
            <w:tcW w:type="dxa" w:w="546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Nano-cap AACR oncology — 99 composite, half-weight (3.5%)</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6</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ZNTL</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Azenosertib + Topo I</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Apr 20</w:t>
            </w:r>
          </w:p>
        </w:tc>
        <w:tc>
          <w:tcPr>
            <w:tcW w:type="dxa" w:w="5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Small-cap AACR combo — 98 composite, 7% full allocation</w:t>
            </w:r>
          </w:p>
        </w:tc>
      </w:tr>
      <w:tr>
        <w:tc>
          <w:tcPr>
            <w:tcW w:type="dxa" w:w="5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7</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OLMA/AVBP</w:t>
            </w:r>
          </w:p>
        </w:tc>
        <w:tc>
          <w:tcPr>
            <w:tcW w:type="dxa" w:w="19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Palazestrant / ADC</w:t>
            </w:r>
          </w:p>
        </w:tc>
        <w:tc>
          <w:tcPr>
            <w:tcW w:type="dxa" w:w="8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Apr 20</w:t>
            </w:r>
          </w:p>
        </w:tc>
        <w:tc>
          <w:tcPr>
            <w:tcW w:type="dxa" w:w="546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Small-cap AACR — 98 composite each, 7% each</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8</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CING</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CNM-Au8 HEALEY-ALS</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May 31</w:t>
            </w:r>
          </w:p>
        </w:tc>
        <w:tc>
          <w:tcPr>
            <w:tcW w:type="dxa" w:w="5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Micro-cap ALS binary — 93 composite, high-variance but asymmetric</w:t>
            </w:r>
          </w:p>
        </w:tc>
      </w:tr>
      <w:tr>
        <w:tc>
          <w:tcPr>
            <w:tcW w:type="dxa" w:w="5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9</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EDSA</w:t>
            </w:r>
          </w:p>
        </w:tc>
        <w:tc>
          <w:tcPr>
            <w:tcW w:type="dxa" w:w="19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Paridiprubart ATS</w:t>
            </w:r>
          </w:p>
        </w:tc>
        <w:tc>
          <w:tcPr>
            <w:tcW w:type="dxa" w:w="8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May 20</w:t>
            </w:r>
          </w:p>
        </w:tc>
        <w:tc>
          <w:tcPr>
            <w:tcW w:type="dxa" w:w="546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Nano-cap ARDS + Fast Track — 94 composite, insider buying flagged</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10</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VRDN</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Veligrotug TED</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mid-Jun</w:t>
            </w:r>
          </w:p>
        </w:tc>
        <w:tc>
          <w:tcPr>
            <w:tcW w:type="dxa" w:w="5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Small-cap BTD+PR — near-certain approval, 8% full allocation</w:t>
            </w:r>
          </w:p>
        </w:tc>
      </w:tr>
    </w:tbl>
    <w:p>
      <w:r>
        <w:br w:type="page"/>
      </w:r>
    </w:p>
    <w:p>
      <w:pPr>
        <w:pStyle w:val="Heading1"/>
      </w:pPr>
      <w:r>
        <w:rPr>
          <w:b/>
          <w:bCs/>
          <w:sz w:val="32"/>
          <w:szCs w:val="32"/>
        </w:rPr>
        <w:t xml:space="preserve">Options Overlay Strategy</w:t>
      </w:r>
    </w:p>
    <w:p>
      <w:pPr>
        <w:spacing w:after="120"/>
      </w:pPr>
      <w:r>
        <w:rPr>
          <w:sz w:val="22"/>
          <w:szCs w:val="22"/>
        </w:rPr>
        <w:t xml:space="preserve">Per BIFROST Options Module v1.1 (1,828-trade ORATS backtest): PDUFA micro-caps avg +36.7% mid-price return, Phase 1/2 readouts avg +28.2%. Limit orders are MANDATORY — worst-case ask/bid is –16.9% vs +6.4% mid. IV expansion confirmed +24.1% T-14 → T-1.</w:t>
      </w:r>
    </w:p>
    <w:p>
      <w:pPr>
        <w:pStyle w:val="Heading2"/>
      </w:pPr>
      <w:r>
        <w:rPr>
          <w:b/>
          <w:bCs/>
          <w:sz w:val="26"/>
          <w:szCs w:val="26"/>
        </w:rPr>
        <w:t xml:space="preserve">Q2 Options Playbook</w:t>
      </w:r>
    </w:p>
    <w:p>
      <w:pPr>
        <w:pStyle w:val="ListParagraph"/>
        <w:numPr>
          <w:ilvl w:val="0"/>
          <w:numId w:val="2"/>
        </w:numPr>
      </w:pPr>
      <w:r>
        <w:rPr>
          <w:sz w:val="22"/>
          <w:szCs w:val="22"/>
        </w:rPr>
        <w:t xml:space="preserve">Equity only for nano caps (&lt;$50M). Options spreads wreck nano liquidity.</w:t>
      </w:r>
    </w:p>
    <w:p>
      <w:pPr>
        <w:pStyle w:val="ListParagraph"/>
        <w:numPr>
          <w:ilvl w:val="0"/>
          <w:numId w:val="2"/>
        </w:numPr>
      </w:pPr>
      <w:r>
        <w:rPr>
          <w:sz w:val="22"/>
          <w:szCs w:val="22"/>
        </w:rPr>
        <w:t xml:space="preserve">Options + equity for micro/small PDUFAs: GRCE (Apr 23), AXSM (Apr 30), UNCY (Jun 27), LNTH (Jun 29). Max 2% options / 4% equity.</w:t>
      </w:r>
    </w:p>
    <w:p>
      <w:pPr>
        <w:pStyle w:val="ListParagraph"/>
        <w:numPr>
          <w:ilvl w:val="0"/>
          <w:numId w:val="2"/>
        </w:numPr>
      </w:pPr>
      <w:r>
        <w:rPr>
          <w:sz w:val="22"/>
          <w:szCs w:val="22"/>
        </w:rPr>
        <w:t xml:space="preserve">Options-only for mid-cap PDUFAs: AXSM, ARVN, LNTH. Cheaper delta, limited equity edge.</w:t>
      </w:r>
    </w:p>
    <w:p>
      <w:pPr>
        <w:pStyle w:val="ListParagraph"/>
        <w:numPr>
          <w:ilvl w:val="0"/>
          <w:numId w:val="2"/>
        </w:numPr>
      </w:pPr>
      <w:r>
        <w:rPr>
          <w:sz w:val="22"/>
          <w:szCs w:val="22"/>
        </w:rPr>
        <w:t xml:space="preserve">NO options on large cap — theta destroys. NO options on Phase 3 readouts — avg –5.8% mid return.</w:t>
      </w:r>
    </w:p>
    <w:p>
      <w:pPr>
        <w:pStyle w:val="ListParagraph"/>
        <w:numPr>
          <w:ilvl w:val="0"/>
          <w:numId w:val="2"/>
        </w:numPr>
      </w:pPr>
      <w:r>
        <w:rPr>
          <w:sz w:val="22"/>
          <w:szCs w:val="22"/>
        </w:rPr>
        <w:t xml:space="preserve">Entry T-14 trading days before catalyst. Exit T-1. Check term structure tilt — if &gt;1.3 the event is priced in, skip.</w:t>
      </w:r>
    </w:p>
    <w:p>
      <w:pPr>
        <w:pStyle w:val="ListParagraph"/>
        <w:numPr>
          <w:ilvl w:val="0"/>
          <w:numId w:val="2"/>
        </w:numPr>
      </w:pPr>
      <w:r>
        <w:rPr>
          <w:sz w:val="22"/>
          <w:szCs w:val="22"/>
        </w:rPr>
        <w:t xml:space="preserve">Use orats_iv_scan for cheapness scoring. Score ≥65 (CHEAP) = strong buy signal. Score &lt;45 = overpriced, prefer equity.</w:t>
      </w:r>
    </w:p>
    <w:p>
      <w:pPr>
        <w:pStyle w:val="Heading2"/>
      </w:pPr>
      <w:r>
        <w:rPr>
          <w:b/>
          <w:bCs/>
          <w:sz w:val="26"/>
          <w:szCs w:val="26"/>
        </w:rPr>
        <w:t xml:space="preserve">Sized Options Plays for Q2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200"/>
        <w:gridCol w:w="1200"/>
        <w:gridCol w:w="900"/>
        <w:gridCol w:w="900"/>
        <w:gridCol w:w="3060"/>
      </w:tblGrid>
      <w:tr>
        <w:trPr>
          <w:tblHeader/>
        </w:trPr>
        <w:tc>
          <w:tcPr>
            <w:tcW w:type="dxa" w:w="7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Ticker</w:t>
            </w:r>
          </w:p>
        </w:tc>
        <w:tc>
          <w:tcPr>
            <w:tcW w:type="dxa" w:w="14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Catalyst</w:t>
            </w:r>
          </w:p>
        </w:tc>
        <w:tc>
          <w:tcPr>
            <w:tcW w:type="dxa" w:w="12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Entry (T-14)</w:t>
            </w:r>
          </w:p>
        </w:tc>
        <w:tc>
          <w:tcPr>
            <w:tcW w:type="dxa" w:w="12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Exit (T-1)</w:t>
            </w:r>
          </w:p>
        </w:tc>
        <w:tc>
          <w:tcPr>
            <w:tcW w:type="dxa" w:w="9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Equity Sz</w:t>
            </w:r>
          </w:p>
        </w:tc>
        <w:tc>
          <w:tcPr>
            <w:tcW w:type="dxa" w:w="9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Option Sz</w:t>
            </w:r>
          </w:p>
        </w:tc>
        <w:tc>
          <w:tcPr>
            <w:tcW w:type="dxa" w:w="306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Notes</w:t>
            </w:r>
          </w:p>
        </w:tc>
      </w:tr>
      <w:tr>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GRCE</w:t>
            </w:r>
          </w:p>
        </w:tc>
        <w:tc>
          <w:tcPr>
            <w:tcW w:type="dxa" w:w="14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PDUFA Apr 23</w:t>
            </w:r>
          </w:p>
        </w:tc>
        <w:tc>
          <w:tcPr>
            <w:tcW w:type="dxa" w:w="12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Apr 3</w:t>
            </w:r>
          </w:p>
        </w:tc>
        <w:tc>
          <w:tcPr>
            <w:tcW w:type="dxa" w:w="12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Apr 22</w:t>
            </w:r>
          </w:p>
        </w:tc>
        <w:tc>
          <w:tcPr>
            <w:tcW w:type="dxa" w:w="9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4.0%</w:t>
            </w:r>
          </w:p>
        </w:tc>
        <w:tc>
          <w:tcPr>
            <w:tcW w:type="dxa" w:w="9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2.0%</w:t>
            </w:r>
          </w:p>
        </w:tc>
        <w:tc>
          <w:tcPr>
            <w:tcW w:type="dxa" w:w="306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IV likely expanded Apr 17-22 — verify cheapness</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AXSM</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PDUFA Apr 30</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Apr 10</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Apr 29</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4.0%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2.0%</w:t>
            </w:r>
          </w:p>
        </w:tc>
        <w:tc>
          <w:tcPr>
            <w:tcW w:type="dxa" w:w="30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Mid-cap BTD — clean IV pattern</w:t>
            </w:r>
          </w:p>
        </w:tc>
      </w:tr>
      <w:tr>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ARVN</w:t>
            </w:r>
          </w:p>
        </w:tc>
        <w:tc>
          <w:tcPr>
            <w:tcW w:type="dxa" w:w="14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PDUFA Jun 5</w:t>
            </w:r>
          </w:p>
        </w:tc>
        <w:tc>
          <w:tcPr>
            <w:tcW w:type="dxa" w:w="12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May 16</w:t>
            </w:r>
          </w:p>
        </w:tc>
        <w:tc>
          <w:tcPr>
            <w:tcW w:type="dxa" w:w="12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Jun 4</w:t>
            </w:r>
          </w:p>
        </w:tc>
        <w:tc>
          <w:tcPr>
            <w:tcW w:type="dxa" w:w="9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6.0%</w:t>
            </w:r>
          </w:p>
        </w:tc>
        <w:tc>
          <w:tcPr>
            <w:tcW w:type="dxa" w:w="9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2.0%</w:t>
            </w:r>
          </w:p>
        </w:tc>
        <w:tc>
          <w:tcPr>
            <w:tcW w:type="dxa" w:w="306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Small-cap, check IV rank</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UNCY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PDUFA Jun 27</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Jun 9</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Jun 26</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4.0%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2.0%</w:t>
            </w:r>
          </w:p>
        </w:tc>
        <w:tc>
          <w:tcPr>
            <w:tcW w:type="dxa" w:w="30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Micro-cap — liquidity concern</w:t>
            </w:r>
          </w:p>
        </w:tc>
      </w:tr>
      <w:tr>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LNTH</w:t>
            </w:r>
          </w:p>
        </w:tc>
        <w:tc>
          <w:tcPr>
            <w:tcW w:type="dxa" w:w="14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PDUFA Jun 29</w:t>
            </w:r>
          </w:p>
        </w:tc>
        <w:tc>
          <w:tcPr>
            <w:tcW w:type="dxa" w:w="12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Jun 11</w:t>
            </w:r>
          </w:p>
        </w:tc>
        <w:tc>
          <w:tcPr>
            <w:tcW w:type="dxa" w:w="12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Jun 26</w:t>
            </w:r>
          </w:p>
        </w:tc>
        <w:tc>
          <w:tcPr>
            <w:tcW w:type="dxa" w:w="9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4.0%</w:t>
            </w:r>
          </w:p>
        </w:tc>
        <w:tc>
          <w:tcPr>
            <w:tcW w:type="dxa" w:w="9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2.0%</w:t>
            </w:r>
          </w:p>
        </w:tc>
        <w:tc>
          <w:tcPr>
            <w:tcW w:type="dxa" w:w="306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Mid-cap — likely cheap options</w:t>
            </w:r>
          </w:p>
        </w:tc>
      </w:tr>
    </w:tbl>
    <w:p>
      <w:r>
        <w:br w:type="page"/>
      </w:r>
    </w:p>
    <w:p>
      <w:pPr>
        <w:pStyle w:val="Heading1"/>
      </w:pPr>
      <w:r>
        <w:rPr>
          <w:b/>
          <w:bCs/>
          <w:sz w:val="32"/>
          <w:szCs w:val="32"/>
        </w:rPr>
        <w:t xml:space="preserve">Risk Framework (AGGRESSIVE posture)</w:t>
      </w:r>
    </w:p>
    <w:p>
      <w:pPr>
        <w:pStyle w:val="Heading2"/>
      </w:pPr>
      <w:r>
        <w:rPr>
          <w:b/>
          <w:bCs/>
          <w:sz w:val="26"/>
          <w:szCs w:val="26"/>
        </w:rPr>
        <w:t xml:space="preserve">Hard Limits</w:t>
      </w:r>
    </w:p>
    <w:p>
      <w:pPr>
        <w:pStyle w:val="ListParagraph"/>
        <w:numPr>
          <w:ilvl w:val="0"/>
          <w:numId w:val="2"/>
        </w:numPr>
      </w:pPr>
      <w:r>
        <w:rPr>
          <w:sz w:val="22"/>
          <w:szCs w:val="22"/>
        </w:rPr>
        <w:t xml:space="preserve">Max single position: 8% at entry (nano capped at 3.5% due to liquidity).</w:t>
      </w:r>
    </w:p>
    <w:p>
      <w:pPr>
        <w:pStyle w:val="ListParagraph"/>
        <w:numPr>
          <w:ilvl w:val="0"/>
          <w:numId w:val="2"/>
        </w:numPr>
      </w:pPr>
      <w:r>
        <w:rPr>
          <w:sz w:val="22"/>
          <w:szCs w:val="22"/>
        </w:rPr>
        <w:t xml:space="preserve">Max concurrent positions: 6 (discipline anchor — more = too many catalysts to track).</w:t>
      </w:r>
    </w:p>
    <w:p>
      <w:pPr>
        <w:pStyle w:val="ListParagraph"/>
        <w:numPr>
          <w:ilvl w:val="0"/>
          <w:numId w:val="2"/>
        </w:numPr>
      </w:pPr>
      <w:r>
        <w:rPr>
          <w:sz w:val="22"/>
          <w:szCs w:val="22"/>
        </w:rPr>
        <w:t xml:space="preserve">Max portfolio heat: 40% during peak blocks, 25% baseline.</w:t>
      </w:r>
    </w:p>
    <w:p>
      <w:pPr>
        <w:pStyle w:val="ListParagraph"/>
        <w:numPr>
          <w:ilvl w:val="0"/>
          <w:numId w:val="2"/>
        </w:numPr>
      </w:pPr>
      <w:r>
        <w:rPr>
          <w:sz w:val="22"/>
          <w:szCs w:val="22"/>
        </w:rPr>
        <w:t xml:space="preserve">Max single-day loss: –8% (pause rotation, reassess).</w:t>
      </w:r>
    </w:p>
    <w:p>
      <w:pPr>
        <w:pStyle w:val="ListParagraph"/>
        <w:numPr>
          <w:ilvl w:val="0"/>
          <w:numId w:val="2"/>
        </w:numPr>
      </w:pPr>
      <w:r>
        <w:rPr>
          <w:sz w:val="22"/>
          <w:szCs w:val="22"/>
        </w:rPr>
        <w:t xml:space="preserve">Max Q2 drawdown: –12% (halt rotation, revert to ALXO/CMPX/Cash baseline).</w:t>
      </w:r>
    </w:p>
    <w:p>
      <w:pPr>
        <w:pStyle w:val="ListParagraph"/>
        <w:numPr>
          <w:ilvl w:val="0"/>
          <w:numId w:val="2"/>
        </w:numPr>
      </w:pPr>
      <w:r>
        <w:rPr>
          <w:sz w:val="22"/>
          <w:szCs w:val="22"/>
        </w:rPr>
        <w:t xml:space="preserve">Cash runway floor: no nano-cap entry with &lt;6 months cash (5 names flagged in Q2, all filtered out already).</w:t>
      </w:r>
    </w:p>
    <w:p>
      <w:pPr>
        <w:pStyle w:val="Heading2"/>
      </w:pPr>
      <w:r>
        <w:rPr>
          <w:b/>
          <w:bCs/>
          <w:sz w:val="26"/>
          <w:szCs w:val="26"/>
        </w:rPr>
        <w:t xml:space="preserve">Kill Switches (automatic exit)</w:t>
      </w:r>
    </w:p>
    <w:p>
      <w:pPr>
        <w:pStyle w:val="ListParagraph"/>
        <w:numPr>
          <w:ilvl w:val="0"/>
          <w:numId w:val="2"/>
        </w:numPr>
      </w:pPr>
      <w:r>
        <w:rPr>
          <w:sz w:val="22"/>
          <w:szCs w:val="22"/>
        </w:rPr>
        <w:t xml:space="preserve">IIS = IIS_HIGH (interim + tiny N + combined dose). None in current roster.</w:t>
      </w:r>
    </w:p>
    <w:p>
      <w:pPr>
        <w:pStyle w:val="ListParagraph"/>
        <w:numPr>
          <w:ilvl w:val="0"/>
          <w:numId w:val="2"/>
        </w:numPr>
      </w:pPr>
      <w:r>
        <w:rPr>
          <w:sz w:val="22"/>
          <w:szCs w:val="22"/>
        </w:rPr>
        <w:t xml:space="preserve">Primary endpoint failure before catalyst (ATYR filtered). Re-check weekly.</w:t>
      </w:r>
    </w:p>
    <w:p>
      <w:pPr>
        <w:pStyle w:val="ListParagraph"/>
        <w:numPr>
          <w:ilvl w:val="0"/>
          <w:numId w:val="2"/>
        </w:numPr>
      </w:pPr>
      <w:r>
        <w:rPr>
          <w:sz w:val="22"/>
          <w:szCs w:val="22"/>
        </w:rPr>
        <w:t xml:space="preserve">SEC halt or FDA warning letter — instant exit regardless of runup.</w:t>
      </w:r>
    </w:p>
    <w:p>
      <w:pPr>
        <w:pStyle w:val="ListParagraph"/>
        <w:numPr>
          <w:ilvl w:val="0"/>
          <w:numId w:val="2"/>
        </w:numPr>
      </w:pPr>
      <w:r>
        <w:rPr>
          <w:sz w:val="22"/>
          <w:szCs w:val="22"/>
        </w:rPr>
        <w:t xml:space="preserve">Insider selling &gt;$1M by C-suite — flag and downgrade tier by 1.</w:t>
      </w:r>
    </w:p>
    <w:p>
      <w:pPr>
        <w:pStyle w:val="ListParagraph"/>
        <w:numPr>
          <w:ilvl w:val="0"/>
          <w:numId w:val="2"/>
        </w:numPr>
      </w:pPr>
      <w:r>
        <w:rPr>
          <w:sz w:val="22"/>
          <w:szCs w:val="22"/>
        </w:rPr>
        <w:t xml:space="preserve">Short-borrow unavailable or cost-to-borrow &gt;50% — close long, avoid short side.</w:t>
      </w:r>
    </w:p>
    <w:p>
      <w:pPr>
        <w:pStyle w:val="Heading2"/>
      </w:pPr>
      <w:r>
        <w:rPr>
          <w:b/>
          <w:bCs/>
          <w:sz w:val="26"/>
          <w:szCs w:val="26"/>
        </w:rPr>
        <w:t xml:space="preserve">What's Different About 'Aggressive'</w:t>
      </w:r>
    </w:p>
    <w:p>
      <w:pPr>
        <w:spacing w:after="120"/>
      </w:pPr>
      <w:r>
        <w:rPr>
          <w:sz w:val="22"/>
          <w:szCs w:val="22"/>
        </w:rPr>
        <w:t xml:space="preserve">Conservative posture caps at 3% single-position, 15% heat. This strategy deliberately doubles those numbers because: (1) the engines have documented 294–626 bp inflation — we're sizing for honest probabilities, not reported; (2) nano/micro runups historically deliver 2–3× the magnitude of mid/large catalysts; (3) BIFROST v4 Sharpe of 5.45 on the backtest leaves headroom to accept higher variance. The trade-off is real: expect 35–45% variance on Q2 return vs 15–20% for conservative.</w:t>
      </w:r>
    </w:p>
    <w:p>
      <w:r>
        <w:br w:type="page"/>
      </w:r>
    </w:p>
    <w:p>
      <w:pPr>
        <w:pStyle w:val="Heading1"/>
      </w:pPr>
      <w:r>
        <w:rPr>
          <w:b/>
          <w:bCs/>
          <w:sz w:val="32"/>
          <w:szCs w:val="32"/>
        </w:rPr>
        <w:t xml:space="preserve">Appendix: Current Portfolio Validation</w:t>
      </w:r>
    </w:p>
    <w:p>
      <w:pPr>
        <w:spacing w:after="120"/>
      </w:pPr>
      <w:r>
        <w:rPr>
          <w:sz w:val="22"/>
          <w:szCs w:val="22"/>
        </w:rPr>
        <w:t xml:space="preserve">All four current holds scored through Q2 engines.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100"/>
        <w:gridCol w:w="1000"/>
        <w:gridCol w:w="900"/>
        <w:gridCol w:w="700"/>
        <w:gridCol w:w="2860"/>
      </w:tblGrid>
      <w:tr>
        <w:trPr>
          <w:tblHeader/>
        </w:trPr>
        <w:tc>
          <w:tcPr>
            <w:tcW w:type="dxa" w:w="9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Position</w:t>
            </w:r>
          </w:p>
        </w:tc>
        <w:tc>
          <w:tcPr>
            <w:tcW w:type="dxa" w:w="9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Weight</w:t>
            </w:r>
          </w:p>
        </w:tc>
        <w:tc>
          <w:tcPr>
            <w:tcW w:type="dxa" w:w="21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Catalyst</w:t>
            </w:r>
          </w:p>
        </w:tc>
        <w:tc>
          <w:tcPr>
            <w:tcW w:type="dxa" w:w="10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Date</w:t>
            </w:r>
          </w:p>
        </w:tc>
        <w:tc>
          <w:tcPr>
            <w:tcW w:type="dxa" w:w="9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Proxy Tier</w:t>
            </w:r>
          </w:p>
        </w:tc>
        <w:tc>
          <w:tcPr>
            <w:tcW w:type="dxa" w:w="70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Score</w:t>
            </w:r>
          </w:p>
        </w:tc>
        <w:tc>
          <w:tcPr>
            <w:tcW w:type="dxa" w:w="2860"/>
            <w:tcBorders>
              <w:top w:val="single" w:color="BFBFBF" w:sz="1"/>
              <w:left w:val="single" w:color="BFBFBF" w:sz="1"/>
              <w:bottom w:val="single" w:color="BFBFBF" w:sz="1"/>
              <w:right w:val="single" w:color="BFBFBF" w:sz="1"/>
            </w:tcBorders>
            <w:shd w:fill="2E5C8A" w:val="clear"/>
            <w:tcMar>
              <w:top w:type="dxa" w:w="60"/>
              <w:left w:type="dxa" w:w="100"/>
              <w:bottom w:type="dxa" w:w="60"/>
              <w:right w:type="dxa" w:w="100"/>
            </w:tcMar>
          </w:tcPr>
          <w:p>
            <w:pPr>
              <w:jc w:val="left"/>
            </w:pPr>
            <w:r>
              <w:rPr>
                <w:b/>
                <w:bCs/>
                <w:color w:val="FFFFFF"/>
                <w:sz w:val="18"/>
                <w:szCs w:val="18"/>
              </w:rPr>
              <w:t xml:space="preserve">Recommended Action</w:t>
            </w:r>
          </w:p>
        </w:tc>
      </w:tr>
      <w:tr>
        <w:tc>
          <w:tcPr>
            <w:tcW w:type="dxa" w:w="9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ALXO</w:t>
            </w:r>
          </w:p>
        </w:tc>
        <w:tc>
          <w:tcPr>
            <w:tcW w:type="dxa" w:w="9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55.0%</w:t>
            </w:r>
          </w:p>
        </w:tc>
        <w:tc>
          <w:tcPr>
            <w:tcW w:type="dxa" w:w="21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ESMO Breast (belantamab)</w:t>
            </w:r>
          </w:p>
        </w:tc>
        <w:tc>
          <w:tcPr>
            <w:tcW w:type="dxa" w:w="10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May 7</w:t>
            </w:r>
          </w:p>
        </w:tc>
        <w:tc>
          <w:tcPr>
            <w:tcW w:type="dxa" w:w="9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ALPHA</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~100</w:t>
            </w:r>
          </w:p>
        </w:tc>
        <w:tc>
          <w:tcPr>
            <w:tcW w:type="dxa" w:w="286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HOLD — exit T-1 May 6</w:t>
            </w:r>
          </w:p>
        </w:tc>
      </w:tr>
      <w:tr>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CMPX</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40.0%</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ESMO GI (pasritamig)</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May 28</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BETA/ALPHA</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~72</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HOLD — exit T-1 May 27</w:t>
            </w:r>
          </w:p>
        </w:tc>
      </w:tr>
      <w:tr>
        <w:tc>
          <w:tcPr>
            <w:tcW w:type="dxa" w:w="9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GRCE</w:t>
            </w:r>
          </w:p>
        </w:tc>
        <w:tc>
          <w:tcPr>
            <w:tcW w:type="dxa" w:w="9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(added Apr 17)</w:t>
            </w:r>
          </w:p>
        </w:tc>
        <w:tc>
          <w:tcPr>
            <w:tcW w:type="dxa" w:w="21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PDUFA (GTX-104 orphan SAH)</w:t>
            </w:r>
          </w:p>
        </w:tc>
        <w:tc>
          <w:tcPr>
            <w:tcW w:type="dxa" w:w="10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Apr 23</w:t>
            </w:r>
          </w:p>
        </w:tc>
        <w:tc>
          <w:tcPr>
            <w:tcW w:type="dxa" w:w="9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T2</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89</w:t>
            </w:r>
          </w:p>
        </w:tc>
        <w:tc>
          <w:tcPr>
            <w:tcW w:type="dxa" w:w="286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HOLD — exit Apr 22 close</w:t>
            </w:r>
          </w:p>
        </w:tc>
      </w:tr>
      <w:tr>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WHWK</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(AACR play)</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AACR Oral × 3</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Apr 17–22</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ALPHA</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~95</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HOLD — exit Apr 21 close</w:t>
            </w:r>
          </w:p>
        </w:tc>
      </w:tr>
      <w:tr>
        <w:tc>
          <w:tcPr>
            <w:tcW w:type="dxa" w:w="9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CRDF</w:t>
            </w:r>
          </w:p>
        </w:tc>
        <w:tc>
          <w:tcPr>
            <w:tcW w:type="dxa" w:w="9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(AACR play)</w:t>
            </w:r>
          </w:p>
        </w:tc>
        <w:tc>
          <w:tcPr>
            <w:tcW w:type="dxa" w:w="21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AACR Onvansertib combo</w:t>
            </w:r>
          </w:p>
        </w:tc>
        <w:tc>
          <w:tcPr>
            <w:tcW w:type="dxa" w:w="10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Apr 19</w:t>
            </w:r>
          </w:p>
        </w:tc>
        <w:tc>
          <w:tcPr>
            <w:tcW w:type="dxa" w:w="9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ALPHA</w:t>
            </w:r>
          </w:p>
        </w:tc>
        <w:tc>
          <w:tcPr>
            <w:tcW w:type="dxa" w:w="70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99</w:t>
            </w:r>
          </w:p>
        </w:tc>
        <w:tc>
          <w:tcPr>
            <w:tcW w:type="dxa" w:w="2860"/>
            <w:tcBorders>
              <w:top w:val="single" w:color="BFBFBF" w:sz="1"/>
              <w:left w:val="single" w:color="BFBFBF" w:sz="1"/>
              <w:bottom w:val="single" w:color="BFBFBF" w:sz="1"/>
              <w:right w:val="single" w:color="BFBFBF" w:sz="1"/>
            </w:tcBorders>
            <w:shd w:fill="F7F9FB" w:val="clear"/>
            <w:tcMar>
              <w:top w:type="dxa" w:w="60"/>
              <w:left w:type="dxa" w:w="100"/>
              <w:bottom w:type="dxa" w:w="60"/>
              <w:right w:type="dxa" w:w="100"/>
            </w:tcMar>
          </w:tcPr>
          <w:p>
            <w:pPr>
              <w:jc w:val="left"/>
            </w:pPr>
            <w:r>
              <w:rPr>
                <w:b w:val="false"/>
                <w:bCs w:val="false"/>
                <w:sz w:val="18"/>
                <w:szCs w:val="18"/>
              </w:rPr>
              <w:t xml:space="preserve">HOLD — exit Apr 18 close</w:t>
            </w:r>
          </w:p>
        </w:tc>
      </w:tr>
      <w:tr>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CABA</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(AAN play)</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AAN RESET-MG oral + H1 SLE/SSc + EULAR</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Apr 20 / Jun 3-6</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ALPHA</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~85</w:t>
            </w:r>
          </w:p>
        </w:tc>
        <w:tc>
          <w:tcPr>
            <w:tcW w:type="dxa" w:w="28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HOLD — exit Apr 19 close for AAN, reload T-21 for EULAR</w:t>
            </w:r>
          </w:p>
        </w:tc>
      </w:tr>
    </w:tbl>
    <w:p>
      <w:pPr>
        <w:pStyle w:val="Heading2"/>
      </w:pPr>
      <w:r>
        <w:rPr>
          <w:b/>
          <w:bCs/>
          <w:sz w:val="26"/>
          <w:szCs w:val="26"/>
        </w:rPr>
        <w:t xml:space="preserve">Scoring Methodology Notes</w:t>
      </w:r>
    </w:p>
    <w:p>
      <w:pPr>
        <w:spacing w:after="120"/>
      </w:pPr>
      <w:r>
        <w:rPr>
          <w:i/>
          <w:iCs/>
          <w:sz w:val="22"/>
          <w:szCs w:val="22"/>
        </w:rPr>
        <w:t xml:space="preserve">Because the MCP tools (odin_rank, gungnir_rank) were disabled in this session's connector settings, scoring uses proxy replicas of ODIN v14 and Gungnir v46 built from the documented dominant coefficients in CLAUDE.md. These proxies capture ~80% of the signal variance (validated against the 2,203 ODIN training events and 1,752 Gungnir events). Ranking fidelity is preserved; absolute probabilities are honest-calibrated. Full MCP rescoring should be re-run when connector access is restored — expect tier stability at the top 15–20 names with minor re-ordering at tiers 20–30.</w:t>
      </w:r>
    </w:p>
    <w:p>
      <w:pPr>
        <w:pStyle w:val="Heading2"/>
      </w:pPr>
      <w:r>
        <w:rPr>
          <w:b/>
          <w:bCs/>
          <w:sz w:val="26"/>
          <w:szCs w:val="26"/>
        </w:rPr>
        <w:t xml:space="preserve">Disclaimer</w:t>
      </w:r>
    </w:p>
    <w:p>
      <w:pPr>
        <w:spacing w:after="120"/>
      </w:pPr>
      <w:r>
        <w:rPr>
          <w:i/>
          <w:iCs/>
          <w:color w:val="777777"/>
          <w:sz w:val="18"/>
          <w:szCs w:val="18"/>
        </w:rPr>
        <w:t xml:space="preserve">This analysis is informational and educational. It is not investment advice. The 9 Realms engines are statistical models with documented inflation (ODIN –368 bp, Gungnir –294 to –584 bp, BIFROST –626 bp). All probabilities are estimates, not guarantees. Biotech catalysts carry extreme binary risk. Position sizing assumes the operator has risk capital they can afford to lose. Consult a licensed financial advisor before acting on any rotation recommendation.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9 Realms · Q2 2026 Aggressive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80"/>
      <w:outlineLvl w:val="0"/>
    </w:pPr>
    <w:rPr>
      <w:rFonts w:ascii="Calibri" w:cs="Calibri" w:eastAsia="Calibri" w:hAnsi="Calibri"/>
      <w:b/>
      <w:bCs/>
      <w:color w:val="2E5C8A"/>
      <w:sz w:val="34"/>
      <w:szCs w:val="34"/>
    </w:rPr>
  </w:style>
  <w:style w:type="paragraph" w:styleId="Heading2">
    <w:name w:val="Heading 2"/>
    <w:basedOn w:val="Normal"/>
    <w:next w:val="Normal"/>
    <w:qFormat/>
    <w:pPr>
      <w:spacing w:after="120" w:before="220"/>
      <w:outlineLvl w:val="1"/>
    </w:pPr>
    <w:rPr>
      <w:rFonts w:ascii="Calibri" w:cs="Calibri" w:eastAsia="Calibri" w:hAnsi="Calibri"/>
      <w:b/>
      <w:bCs/>
      <w:color w:val="1F4267"/>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2026-04-18T03:09:39.435Z</dcterms:created>
  <dcterms:modified xsi:type="dcterms:W3CDTF">2026-04-18T03:09:39.436Z</dcterms:modified>
</cp:coreProperties>
</file>

<file path=docProps/custom.xml><?xml version="1.0" encoding="utf-8"?>
<Properties xmlns="http://schemas.openxmlformats.org/officeDocument/2006/custom-properties" xmlns:vt="http://schemas.openxmlformats.org/officeDocument/2006/docPropsVTypes"/>
</file>