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i w:val="false"/>
          <w:iCs w:val="false"/>
          <w:color w:val="2E5C8A"/>
          <w:sz w:val="24"/>
          <w:szCs w:val="24"/>
        </w:rPr>
        <w:t xml:space="preserve">9 REALMS / PDUFA.BIO</w:t>
      </w:r>
    </w:p>
    <w:p>
      <w:pPr>
        <w:spacing w:after="240" w:before="480"/>
        <w:jc w:val="center"/>
      </w:pPr>
      <w:r>
        <w:rPr>
          <w:b/>
          <w:bCs/>
          <w:i w:val="false"/>
          <w:iCs w:val="false"/>
          <w:color w:val="2E5C8A"/>
          <w:sz w:val="48"/>
          <w:szCs w:val="48"/>
        </w:rPr>
        <w:t xml:space="preserve">Q2 2026 OPTIONS PLAYBOOK</w:t>
      </w:r>
    </w:p>
    <w:p>
      <w:pPr>
        <w:spacing w:after="480"/>
        <w:jc w:val="center"/>
      </w:pPr>
      <w:r>
        <w:rPr>
          <w:b w:val="false"/>
          <w:bCs w:val="false"/>
          <w:i/>
          <w:iCs/>
          <w:color w:val="6B7280"/>
          <w:sz w:val="26"/>
          <w:szCs w:val="26"/>
        </w:rPr>
        <w:t xml:space="preserve">Forward-Looking Options Plan for the Aggressive 30-Name Q2 Roster</w:t>
      </w:r>
    </w:p>
    <w:p>
      <w:pPr>
        <w:spacing w:after="120"/>
        <w:jc w:val="center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As of April 17, 2026</w:t>
      </w:r>
    </w:p>
    <w:p>
      <w:pPr>
        <w:spacing w:after="120"/>
        <w:jc w:val="center"/>
      </w:pPr>
      <w:r>
        <w:rPr>
          <w:b w:val="false"/>
          <w:bCs w:val="false"/>
          <w:i/>
          <w:iCs/>
          <w:color w:val="6B7280"/>
          <w:sz w:val="20"/>
          <w:szCs w:val="20"/>
        </w:rPr>
        <w:t xml:space="preserve">Companion to Q2_2026_Aggressive_Strategy.docx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2E5C8A"/>
          <w:sz w:val="32"/>
          <w:szCs w:val="32"/>
        </w:rPr>
        <w:t xml:space="preserve">Executive Summary</w:t>
      </w:r>
    </w:p>
    <w:p>
      <w:pPr>
        <w:spacing w:after="12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Bottom line: 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29 of the 30 aggressive Q2 roster names are AACR conference plays happening this week (Apr 17–22). The T-14 options entry window for AACR already closed on April 1. Those 29 names are </w:t>
      </w:r>
      <w:r>
        <w:rPr>
          <w:b/>
          <w:bCs/>
          <w:i w:val="false"/>
          <w:iCs w:val="false"/>
          <w:sz w:val="22"/>
          <w:szCs w:val="22"/>
        </w:rPr>
        <w:t xml:space="preserve">equity-only 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from here — exit per the rotation waterfall and book gains before each presentation.</w:t>
      </w:r>
    </w:p>
    <w:p>
      <w:pPr>
        <w:spacing w:after="12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The actual Q2 options opportunity is forward-looking: 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three high-priority setups totaling a 5.5% capital budget — UNCY PDUFA Jun 27 (2.0%), OSTX PDUFA Jun 30 (2.0%), and CABA EULAR Jun 3 (1.5%). All three ride the GOLD / ASYMMETRIC segments of the BIFROST Options v1.1 backtest (PDUFA Micro +36.7% avg, Phase 2 Readout Small +29.8% avg). Staggered entries May 14 → Jun 11.</w:t>
      </w:r>
    </w:p>
    <w:p>
      <w:pPr>
        <w:spacing w:after="12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Near-term: 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ALXO ESMO May 7 (D-20) is the only currently-open options window worth considering, and even there IV is elevated at 252% / ivPct1Y 79%. Hold off until IV pulls back at least 15%, then size ≤1.5% as an options overlay on top of the 55% equity core. </w:t>
      </w:r>
      <w:r>
        <w:rPr>
          <w:b/>
          <w:bCs/>
          <w:i w:val="false"/>
          <w:iCs w:val="false"/>
          <w:sz w:val="22"/>
          <w:szCs w:val="22"/>
        </w:rPr>
        <w:t xml:space="preserve">AXSM Apr 30 PDUFA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is T-14 active but falls in the MARGINAL mid-cap PDUFA segment (+1.8% avg, 36.2% win) — skip options, play via BIFROST v4 equity timing.</w:t>
      </w:r>
    </w:p>
    <w:p>
      <w:pPr>
        <w:pStyle w:val="Heading2"/>
        <w:spacing w:after="120" w:before="240"/>
      </w:pPr>
      <w:r>
        <w:rPr>
          <w:b/>
          <w:bCs/>
          <w:color w:val="2E5C8A"/>
          <w:sz w:val="26"/>
          <w:szCs w:val="26"/>
        </w:rPr>
        <w:t xml:space="preserve">Honest Data Disclosure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ORATS cache coverage: </w:t>
      </w:r>
      <w:r>
        <w:rPr>
          <w:b w:val="false"/>
          <w:bCs w:val="false"/>
          <w:sz w:val="22"/>
          <w:szCs w:val="22"/>
        </w:rPr>
        <w:t xml:space="preserve">only 9 tickers have complete Apr 2 snapshots (ABSI, ALXO, BHC, BHVN, CABA, GRCE, MNKD, NUVB, WHWK). Overlap with the 30-name roster: GRCE. Plus ALXO (broad scan per your direction).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28 of 30 roster names: </w:t>
      </w:r>
      <w:r>
        <w:rPr>
          <w:b w:val="false"/>
          <w:bCs w:val="false"/>
          <w:sz w:val="22"/>
          <w:szCs w:val="22"/>
        </w:rPr>
        <w:t xml:space="preserve">require a live ORATS fetch before fresh cheapness scoring. Current recommendations use (a) BIFROST v1.1 segment backtest, (b) BIFROST v1.0 deploy-scan data from Apr 4, (c) live IV observations from operational notes.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BIFROST v1.1 backtest fills: </w:t>
      </w:r>
      <w:r>
        <w:rPr>
          <w:b w:val="false"/>
          <w:bCs w:val="false"/>
          <w:sz w:val="22"/>
          <w:szCs w:val="22"/>
        </w:rPr>
        <w:t xml:space="preserve">mid-price. Ask-price fills flip many segments negative. LIMIT ORDERS at mid or better are not optional.</w:t>
      </w:r>
    </w:p>
    <w:p>
      <w:pPr>
        <w:pStyle w:val="Heading2"/>
        <w:spacing w:after="120" w:before="240"/>
      </w:pPr>
      <w:r>
        <w:rPr>
          <w:b/>
          <w:bCs/>
          <w:color w:val="2E5C8A"/>
          <w:sz w:val="26"/>
          <w:szCs w:val="26"/>
        </w:rPr>
        <w:t xml:space="preserve">Active Options Window Now (Apr 17)</w:t>
      </w:r>
    </w:p>
    <w:p>
      <w:pPr>
        <w:pStyle w:val="Heading3"/>
        <w:spacing w:after="120" w:before="240"/>
      </w:pPr>
      <w:r>
        <w:rPr>
          <w:b/>
          <w:bCs/>
          <w:color w:val="2E5C8A"/>
          <w:sz w:val="22"/>
          <w:szCs w:val="22"/>
        </w:rPr>
        <w:t xml:space="preserve">ALXO — ESMO Breast May 7 (D-20)</w:t>
      </w:r>
    </w:p>
    <w:p>
      <w:pPr>
        <w:spacing w:after="12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Stock now $1.65. 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ORATS Apr 2 snapshot: IV=252%, ivPct1Y=79%, ivRank1Y=54. That is elevated — expect IV to hold at these levels into May 7 with potential further expansion in the final week. ALXO is a core 55% equity held position, so stacking options increases thesis concentration.</w:t>
      </w:r>
    </w:p>
    <w:p>
      <w:pPr>
        <w:spacing w:after="12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Recommendation: 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DO NOT CHASE at current IV. Watch for ≥15% IV pullback before entry. If entered: max 1.5% of capital in ATM calls, strike $2.00 or $2.50, May 15 monthly (spans the May 7 event). Combined ALXO equity + options exposure ceiling = 60%.</w:t>
      </w:r>
    </w:p>
    <w:p>
      <w:pPr>
        <w:pStyle w:val="Heading3"/>
        <w:spacing w:after="120" w:before="240"/>
      </w:pPr>
      <w:r>
        <w:rPr>
          <w:b/>
          <w:bCs/>
          <w:color w:val="2E5C8A"/>
          <w:sz w:val="22"/>
          <w:szCs w:val="22"/>
        </w:rPr>
        <w:t xml:space="preserve">AXSM — AXS-05 sNDA Apr 30 (D-13)</w:t>
      </w:r>
    </w:p>
    <w:p>
      <w:pPr>
        <w:spacing w:after="12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T-14 options window is OPEN this week. 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However, mid-cap PDUFA segment has +1.8% avg return and 36.2% win rate per the 1,828-trade BIFROST v1.1 backtest — roughly flat EV with full theta exposure.</w:t>
      </w:r>
    </w:p>
    <w:p>
      <w:pPr>
        <w:spacing w:after="12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Recommendation: 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SKIP options. If strong conviction, cap at 0.5% capital, ATM $60 May 15, limit orders only. Equity play via BIFROST v4 timing is superior.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2E5C8A"/>
          <w:sz w:val="32"/>
          <w:szCs w:val="32"/>
        </w:rPr>
        <w:t xml:space="preserve">Top 3 High-Priority Q2 Options Plays</w:t>
      </w:r>
    </w:p>
    <w:p>
      <w:pPr>
        <w:spacing w:after="120"/>
        <w:jc w:val="left"/>
      </w:pPr>
      <w:r>
        <w:rPr>
          <w:b w:val="false"/>
          <w:bCs w:val="false"/>
          <w:i/>
          <w:iCs/>
          <w:color w:val="6B7280"/>
          <w:sz w:val="22"/>
          <w:szCs w:val="22"/>
        </w:rPr>
        <w:t xml:space="preserve">Wait for T-14 — staggered entries May 14 → Jun 11.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700"/>
            <w:shd w:fill="2E5C8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W w:type="dxa" w:w="900"/>
            <w:shd w:fill="2E5C8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Ticker</w:t>
            </w:r>
          </w:p>
        </w:tc>
        <w:tc>
          <w:tcPr>
            <w:tcW w:type="dxa" w:w="3400"/>
            <w:shd w:fill="2E5C8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Catalyst</w:t>
            </w:r>
          </w:p>
        </w:tc>
        <w:tc>
          <w:tcPr>
            <w:tcW w:type="dxa" w:w="1400"/>
            <w:shd w:fill="2E5C8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 Date</w:t>
            </w:r>
          </w:p>
        </w:tc>
        <w:tc>
          <w:tcPr>
            <w:tcW w:type="dxa" w:w="900"/>
            <w:shd w:fill="2E5C8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Mcap</w:t>
            </w:r>
          </w:p>
        </w:tc>
        <w:tc>
          <w:tcPr>
            <w:tcW w:type="dxa" w:w="1400"/>
            <w:shd w:fill="2E5C8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Entry (T-14)</w:t>
            </w:r>
          </w:p>
        </w:tc>
        <w:tc>
          <w:tcPr>
            <w:tcW w:type="dxa" w:w="1000"/>
            <w:shd w:fill="2E5C8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Expiry</w:t>
            </w:r>
          </w:p>
        </w:tc>
        <w:tc>
          <w:tcPr>
            <w:tcW w:type="dxa" w:w="700"/>
            <w:shd w:fill="2E5C8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2400"/>
            <w:shd w:fill="2E5C8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Segment Edge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UNCY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Zephyr-HC oral soln PDUFA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2026-06-27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Micro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2026-06-08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Jul 17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2.0%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GOLD +36.7% 50% win</w:t>
            </w:r>
          </w:p>
        </w:tc>
      </w:tr>
      <w:tr>
        <w:tc>
          <w:tcPr>
            <w:tcW w:type="dxa" w:w="700"/>
            <w:shd w:fill="F2F4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shd w:fill="F2F4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OSTX</w:t>
            </w:r>
          </w:p>
        </w:tc>
        <w:tc>
          <w:tcPr>
            <w:tcW w:type="dxa" w:w="3400"/>
            <w:shd w:fill="F2F4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OST-HER2 PDUFA (osteosarcoma)</w:t>
            </w:r>
          </w:p>
        </w:tc>
        <w:tc>
          <w:tcPr>
            <w:tcW w:type="dxa" w:w="1400"/>
            <w:shd w:fill="F2F4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2026-06-30</w:t>
            </w:r>
          </w:p>
        </w:tc>
        <w:tc>
          <w:tcPr>
            <w:tcW w:type="dxa" w:w="900"/>
            <w:shd w:fill="F2F4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Micro</w:t>
            </w:r>
          </w:p>
        </w:tc>
        <w:tc>
          <w:tcPr>
            <w:tcW w:type="dxa" w:w="1400"/>
            <w:shd w:fill="F2F4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2026-06-11</w:t>
            </w:r>
          </w:p>
        </w:tc>
        <w:tc>
          <w:tcPr>
            <w:tcW w:type="dxa" w:w="1000"/>
            <w:shd w:fill="F2F4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Jul 17</w:t>
            </w:r>
          </w:p>
        </w:tc>
        <w:tc>
          <w:tcPr>
            <w:tcW w:type="dxa" w:w="700"/>
            <w:shd w:fill="F2F4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2.0%</w:t>
            </w:r>
          </w:p>
        </w:tc>
        <w:tc>
          <w:tcPr>
            <w:tcW w:type="dxa" w:w="2400"/>
            <w:shd w:fill="F2F4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GOLD +36.7% 50% win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CABA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EULAR RESET-SLE/SSc data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2026-06-03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Small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2026-05-14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Jun 19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1.5%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Phase 2 +29.8% 41.8%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2E5C8A"/>
          <w:sz w:val="22"/>
          <w:szCs w:val="22"/>
        </w:rPr>
        <w:t xml:space="preserve">1. UNCY — PDUFA Micro GOLD</w:t>
      </w:r>
    </w:p>
    <w:p>
      <w:pPr>
        <w:spacing w:after="12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GOLD segment 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(PDUFA Micro: +36.7% avg, 50% win, 19.3% of trades &gt;100%). Single best-edge options segment in the universe.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Entry: </w:t>
      </w:r>
      <w:r>
        <w:rPr>
          <w:b w:val="false"/>
          <w:bCs w:val="false"/>
          <w:sz w:val="22"/>
          <w:szCs w:val="22"/>
        </w:rPr>
        <w:t xml:space="preserve">June 8, 2026 (T-14 trading days before June 27)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Expiry: </w:t>
      </w:r>
      <w:r>
        <w:rPr>
          <w:b w:val="false"/>
          <w:bCs w:val="false"/>
          <w:sz w:val="22"/>
          <w:szCs w:val="22"/>
        </w:rPr>
        <w:t xml:space="preserve">July 17 monthly (spans catalyst, ~21 days to cover IV crush exit)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Size: </w:t>
      </w:r>
      <w:r>
        <w:rPr>
          <w:b w:val="false"/>
          <w:bCs w:val="false"/>
          <w:sz w:val="22"/>
          <w:szCs w:val="22"/>
        </w:rPr>
        <w:t xml:space="preserve">2.0% of capital. ATM calls.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Calendar reminder: </w:t>
      </w:r>
      <w:r>
        <w:rPr>
          <w:b w:val="false"/>
          <w:bCs w:val="false"/>
          <w:sz w:val="22"/>
          <w:szCs w:val="22"/>
        </w:rPr>
        <w:t xml:space="preserve">June 5.</w:t>
      </w:r>
    </w:p>
    <w:p>
      <w:pPr>
        <w:pStyle w:val="Heading3"/>
        <w:spacing w:after="120" w:before="240"/>
      </w:pPr>
      <w:r>
        <w:rPr>
          <w:b/>
          <w:bCs/>
          <w:color w:val="2E5C8A"/>
          <w:sz w:val="22"/>
          <w:szCs w:val="22"/>
        </w:rPr>
        <w:t xml:space="preserve">2. OSTX — PDUFA Micro GOLD (co-equal)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OST-HER2 is orphan oncology with BTD stack. ODIN v14 weights: is_oncology (+0.120), gt_x_btd (+0.140), accel_orphan_btd interactions.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Entry: </w:t>
      </w:r>
      <w:r>
        <w:rPr>
          <w:b w:val="false"/>
          <w:bCs w:val="false"/>
          <w:sz w:val="22"/>
          <w:szCs w:val="22"/>
        </w:rPr>
        <w:t xml:space="preserve">June 11, 2026 (T-14 trading days before June 30)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Expiry: </w:t>
      </w:r>
      <w:r>
        <w:rPr>
          <w:b w:val="false"/>
          <w:bCs w:val="false"/>
          <w:sz w:val="22"/>
          <w:szCs w:val="22"/>
        </w:rPr>
        <w:t xml:space="preserve">July 17 monthly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Size: </w:t>
      </w:r>
      <w:r>
        <w:rPr>
          <w:b w:val="false"/>
          <w:bCs w:val="false"/>
          <w:sz w:val="22"/>
          <w:szCs w:val="22"/>
        </w:rPr>
        <w:t xml:space="preserve">2.0% of capital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Calendar reminder: </w:t>
      </w:r>
      <w:r>
        <w:rPr>
          <w:b w:val="false"/>
          <w:bCs w:val="false"/>
          <w:sz w:val="22"/>
          <w:szCs w:val="22"/>
        </w:rPr>
        <w:t xml:space="preserve">June 9.</w:t>
      </w:r>
    </w:p>
    <w:p>
      <w:pPr>
        <w:pStyle w:val="Heading3"/>
        <w:spacing w:after="120" w:before="240"/>
      </w:pPr>
      <w:r>
        <w:rPr>
          <w:b/>
          <w:bCs/>
          <w:color w:val="2E5C8A"/>
          <w:sz w:val="22"/>
          <w:szCs w:val="22"/>
        </w:rPr>
        <w:t xml:space="preserve">3. CABA — EULAR Jun 3 Conference Readout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Small-cap Phase 2 readout at major conference. Smart Money Overlay flagged CEO buying + Cormorant ownership. 100% MG-ADL response at RESET-MG. BTD+ODD+RMAT stack. Current IV per operational notes: 73% near / 99% far — MODERATE cheapness.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Entry: </w:t>
      </w:r>
      <w:r>
        <w:rPr>
          <w:b w:val="false"/>
          <w:bCs w:val="false"/>
          <w:sz w:val="22"/>
          <w:szCs w:val="22"/>
        </w:rPr>
        <w:t xml:space="preserve">May 14, 2026 (T-14 trading days before June 3)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Expiry: </w:t>
      </w:r>
      <w:r>
        <w:rPr>
          <w:b w:val="false"/>
          <w:bCs w:val="false"/>
          <w:sz w:val="22"/>
          <w:szCs w:val="22"/>
        </w:rPr>
        <w:t xml:space="preserve">June 19 monthly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Size: </w:t>
      </w:r>
      <w:r>
        <w:rPr>
          <w:b w:val="false"/>
          <w:bCs w:val="false"/>
          <w:sz w:val="22"/>
          <w:szCs w:val="22"/>
        </w:rPr>
        <w:t xml:space="preserve">1.5% of capital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Calendar reminder: </w:t>
      </w:r>
      <w:r>
        <w:rPr>
          <w:b w:val="false"/>
          <w:bCs w:val="false"/>
          <w:sz w:val="22"/>
          <w:szCs w:val="22"/>
        </w:rPr>
        <w:t xml:space="preserve">May 12.</w:t>
      </w:r>
    </w:p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color w:val="2E5C8A"/>
          <w:sz w:val="26"/>
          <w:szCs w:val="26"/>
        </w:rPr>
        <w:t xml:space="preserve">Explicit SKIP-Options Names from Q2 Roster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600"/>
            <w:shd w:fill="2E5C8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Ticker</w:t>
            </w:r>
          </w:p>
        </w:tc>
        <w:tc>
          <w:tcPr>
            <w:tcW w:type="dxa" w:w="2400"/>
            <w:shd w:fill="2E5C8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3600"/>
            <w:shd w:fill="2E5C8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  <w:tc>
          <w:tcPr>
            <w:tcW w:type="dxa" w:w="3400"/>
            <w:shd w:fill="2E5C8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DBVT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Phase 3 Readout Small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Segment avg -5.8%, 32.3% win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Equity only (BIFROST v4)</w:t>
            </w:r>
          </w:p>
        </w:tc>
      </w:tr>
      <w:tr>
        <w:tc>
          <w:tcPr>
            <w:tcW w:type="dxa" w:w="1600"/>
            <w:shd w:fill="F2F4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RNA</w:t>
            </w:r>
          </w:p>
        </w:tc>
        <w:tc>
          <w:tcPr>
            <w:tcW w:type="dxa" w:w="2400"/>
            <w:shd w:fill="F2F4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Phase 3 Readout Mid</w:t>
            </w:r>
          </w:p>
        </w:tc>
        <w:tc>
          <w:tcPr>
            <w:tcW w:type="dxa" w:w="3600"/>
            <w:shd w:fill="F2F4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Segment avg -5.8%, negative EV</w:t>
            </w:r>
          </w:p>
        </w:tc>
        <w:tc>
          <w:tcPr>
            <w:tcW w:type="dxa" w:w="3400"/>
            <w:shd w:fill="F2F4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Equity only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LNTH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PDUFA Mid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Segment avg +1.8% — marginal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Equity only or skip</w:t>
            </w:r>
          </w:p>
        </w:tc>
      </w:tr>
      <w:tr>
        <w:tc>
          <w:tcPr>
            <w:tcW w:type="dxa" w:w="1600"/>
            <w:shd w:fill="F2F4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AXSM</w:t>
            </w:r>
          </w:p>
        </w:tc>
        <w:tc>
          <w:tcPr>
            <w:tcW w:type="dxa" w:w="2400"/>
            <w:shd w:fill="F2F4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PDUFA Mid</w:t>
            </w:r>
          </w:p>
        </w:tc>
        <w:tc>
          <w:tcPr>
            <w:tcW w:type="dxa" w:w="3600"/>
            <w:shd w:fill="F2F4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Segment avg +1.8% — marginal</w:t>
            </w:r>
          </w:p>
        </w:tc>
        <w:tc>
          <w:tcPr>
            <w:tcW w:type="dxa" w:w="3400"/>
            <w:shd w:fill="F2F4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Equity preferred via BIFROST v4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HCM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Conference Mid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Liquidity 29 (illiquid chains)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Equity only</w:t>
            </w:r>
          </w:p>
        </w:tc>
      </w:tr>
      <w:tr>
        <w:tc>
          <w:tcPr>
            <w:tcW w:type="dxa" w:w="1600"/>
            <w:shd w:fill="F2F4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All AACR names (22)</w:t>
            </w:r>
          </w:p>
        </w:tc>
        <w:tc>
          <w:tcPr>
            <w:tcW w:type="dxa" w:w="2400"/>
            <w:shd w:fill="F2F4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Conference, D-0 to D-5</w:t>
            </w:r>
          </w:p>
        </w:tc>
        <w:tc>
          <w:tcPr>
            <w:tcW w:type="dxa" w:w="3600"/>
            <w:shd w:fill="F2F4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T-14 window closed Apr 1</w:t>
            </w:r>
          </w:p>
        </w:tc>
        <w:tc>
          <w:tcPr>
            <w:tcW w:type="dxa" w:w="3400"/>
            <w:shd w:fill="F2F4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Equity only, exit pre-presentation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5C8A"/>
          <w:sz w:val="26"/>
          <w:szCs w:val="26"/>
        </w:rPr>
        <w:t xml:space="preserve">Weekly vs Monthly Expiry Comparison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900"/>
            <w:shd w:fill="2E5C8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Ticker</w:t>
            </w:r>
          </w:p>
        </w:tc>
        <w:tc>
          <w:tcPr>
            <w:tcW w:type="dxa" w:w="1600"/>
            <w:shd w:fill="2E5C8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 Date</w:t>
            </w:r>
          </w:p>
        </w:tc>
        <w:tc>
          <w:tcPr>
            <w:tcW w:type="dxa" w:w="1800"/>
            <w:shd w:fill="2E5C8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Monthly (3rd Fri)</w:t>
            </w:r>
          </w:p>
        </w:tc>
        <w:tc>
          <w:tcPr>
            <w:tcW w:type="dxa" w:w="2000"/>
            <w:shd w:fill="2E5C8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Weekly (1st Fri after)</w:t>
            </w:r>
          </w:p>
        </w:tc>
        <w:tc>
          <w:tcPr>
            <w:tcW w:type="dxa" w:w="4500"/>
            <w:shd w:fill="2E5C8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Preferred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UNCY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2026-06-27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2026-07-17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2026-07-02</w:t>
            </w:r>
          </w:p>
        </w:tc>
        <w:tc>
          <w:tcPr>
            <w:tcW w:type="dxa" w:w="4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Weekly — more leverage, 5d buffer</w:t>
            </w:r>
          </w:p>
        </w:tc>
      </w:tr>
      <w:tr>
        <w:tc>
          <w:tcPr>
            <w:tcW w:type="dxa" w:w="900"/>
            <w:shd w:fill="F2F4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OSTX</w:t>
            </w:r>
          </w:p>
        </w:tc>
        <w:tc>
          <w:tcPr>
            <w:tcW w:type="dxa" w:w="1600"/>
            <w:shd w:fill="F2F4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2026-06-30</w:t>
            </w:r>
          </w:p>
        </w:tc>
        <w:tc>
          <w:tcPr>
            <w:tcW w:type="dxa" w:w="1800"/>
            <w:shd w:fill="F2F4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2026-07-17</w:t>
            </w:r>
          </w:p>
        </w:tc>
        <w:tc>
          <w:tcPr>
            <w:tcW w:type="dxa" w:w="2000"/>
            <w:shd w:fill="F2F4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2026-07-02</w:t>
            </w:r>
          </w:p>
        </w:tc>
        <w:tc>
          <w:tcPr>
            <w:tcW w:type="dxa" w:w="4500"/>
            <w:shd w:fill="F2F4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Weekly — more leverage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CABA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2026-06-03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2026-06-19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2026-06-05</w:t>
            </w:r>
          </w:p>
        </w:tc>
        <w:tc>
          <w:tcPr>
            <w:tcW w:type="dxa" w:w="4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Monthly — weekly too tight</w:t>
            </w:r>
          </w:p>
        </w:tc>
      </w:tr>
      <w:tr>
        <w:tc>
          <w:tcPr>
            <w:tcW w:type="dxa" w:w="900"/>
            <w:shd w:fill="F2F4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ALXO</w:t>
            </w:r>
          </w:p>
        </w:tc>
        <w:tc>
          <w:tcPr>
            <w:tcW w:type="dxa" w:w="1600"/>
            <w:shd w:fill="F2F4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2026-05-07</w:t>
            </w:r>
          </w:p>
        </w:tc>
        <w:tc>
          <w:tcPr>
            <w:tcW w:type="dxa" w:w="1800"/>
            <w:shd w:fill="F2F4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  <w:tc>
          <w:tcPr>
            <w:tcW w:type="dxa" w:w="2000"/>
            <w:shd w:fill="F2F4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2026-05-08</w:t>
            </w:r>
          </w:p>
        </w:tc>
        <w:tc>
          <w:tcPr>
            <w:tcW w:type="dxa" w:w="4500"/>
            <w:shd w:fill="F2F4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Monthly — weekly 1d post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AXSM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2026-04-30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2026-05-15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2026-05-01</w:t>
            </w:r>
          </w:p>
        </w:tc>
        <w:tc>
          <w:tcPr>
            <w:tcW w:type="dxa" w:w="4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Monthly — weekly expires day-of</w:t>
            </w:r>
          </w:p>
        </w:tc>
      </w:tr>
    </w:tbl>
    <w:p>
      <w:pPr>
        <w:spacing w:after="12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Rule: 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Monthly expiry preferred when the first post-catalyst Friday is &lt;3 days after the event. Weekly preferred when there are ≥5 days between catalyst and next Friday (more leverage, exit T-1 before weekend).</w:t>
      </w:r>
    </w:p>
    <w:p>
      <w:pPr>
        <w:pStyle w:val="Heading2"/>
        <w:spacing w:after="120" w:before="240"/>
      </w:pPr>
      <w:r>
        <w:rPr>
          <w:b/>
          <w:bCs/>
          <w:color w:val="2E5C8A"/>
          <w:sz w:val="26"/>
          <w:szCs w:val="26"/>
        </w:rPr>
        <w:t xml:space="preserve">BIFROST Options v1.1 Segment Edge Reference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1,828 real ORATS-backed trades, 2022–2026, mid-price fills with LIMIT ORDER discipline.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3000"/>
            <w:shd w:fill="2E5C8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1800"/>
            <w:shd w:fill="2E5C8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Avg Return</w:t>
            </w:r>
          </w:p>
        </w:tc>
        <w:tc>
          <w:tcPr>
            <w:tcW w:type="dxa" w:w="1800"/>
            <w:shd w:fill="2E5C8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Win Rate</w:t>
            </w:r>
          </w:p>
        </w:tc>
        <w:tc>
          <w:tcPr>
            <w:tcW w:type="dxa" w:w="1500"/>
            <w:shd w:fill="2E5C8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 &gt;100%</w:t>
            </w:r>
          </w:p>
        </w:tc>
        <w:tc>
          <w:tcPr>
            <w:tcW w:type="dxa" w:w="2400"/>
            <w:shd w:fill="2E5C8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PDUFA Micro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+36.7%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50.0%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19.3%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GOLD</w:t>
            </w:r>
          </w:p>
        </w:tc>
      </w:tr>
      <w:tr>
        <w:tc>
          <w:tcPr>
            <w:tcW w:type="dxa" w:w="3000"/>
            <w:shd w:fill="F2F4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Phase 1/2 Readout</w:t>
            </w:r>
          </w:p>
        </w:tc>
        <w:tc>
          <w:tcPr>
            <w:tcW w:type="dxa" w:w="1800"/>
            <w:shd w:fill="F2F4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+28.2%</w:t>
            </w:r>
          </w:p>
        </w:tc>
        <w:tc>
          <w:tcPr>
            <w:tcW w:type="dxa" w:w="1800"/>
            <w:shd w:fill="F2F4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52.9%</w:t>
            </w:r>
          </w:p>
        </w:tc>
        <w:tc>
          <w:tcPr>
            <w:tcW w:type="dxa" w:w="1500"/>
            <w:shd w:fill="F2F4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21.4%</w:t>
            </w:r>
          </w:p>
        </w:tc>
        <w:tc>
          <w:tcPr>
            <w:tcW w:type="dxa" w:w="2400"/>
            <w:shd w:fill="F2F4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GOLD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Phase 2 Readout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+29.8%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41.8%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17.6%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ASYMMETRIC</w:t>
            </w:r>
          </w:p>
        </w:tc>
      </w:tr>
      <w:tr>
        <w:tc>
          <w:tcPr>
            <w:tcW w:type="dxa" w:w="3000"/>
            <w:shd w:fill="F2F4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PDUFA Small</w:t>
            </w:r>
          </w:p>
        </w:tc>
        <w:tc>
          <w:tcPr>
            <w:tcW w:type="dxa" w:w="1800"/>
            <w:shd w:fill="F2F4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+12.6%</w:t>
            </w:r>
          </w:p>
        </w:tc>
        <w:tc>
          <w:tcPr>
            <w:tcW w:type="dxa" w:w="1800"/>
            <w:shd w:fill="F2F4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38.4%</w:t>
            </w:r>
          </w:p>
        </w:tc>
        <w:tc>
          <w:tcPr>
            <w:tcW w:type="dxa" w:w="1500"/>
            <w:shd w:fill="F2F4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12.5%</w:t>
            </w:r>
          </w:p>
        </w:tc>
        <w:tc>
          <w:tcPr>
            <w:tcW w:type="dxa" w:w="2400"/>
            <w:shd w:fill="F2F4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DECENT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PDUFA Mid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+1.8%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36.2%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MARGINAL</w:t>
            </w:r>
          </w:p>
        </w:tc>
      </w:tr>
      <w:tr>
        <w:tc>
          <w:tcPr>
            <w:tcW w:type="dxa" w:w="3000"/>
            <w:shd w:fill="F2F4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PDUFA Large</w:t>
            </w:r>
          </w:p>
        </w:tc>
        <w:tc>
          <w:tcPr>
            <w:tcW w:type="dxa" w:w="1800"/>
            <w:shd w:fill="F2F4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-5.5%</w:t>
            </w:r>
          </w:p>
        </w:tc>
        <w:tc>
          <w:tcPr>
            <w:tcW w:type="dxa" w:w="1800"/>
            <w:shd w:fill="F2F4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31.0%</w:t>
            </w:r>
          </w:p>
        </w:tc>
        <w:tc>
          <w:tcPr>
            <w:tcW w:type="dxa" w:w="1500"/>
            <w:shd w:fill="F2F4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shd w:fill="F2F4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AVOID (theta)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Phase 3 Readout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-5.8%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32.3%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AVOID</w:t>
            </w:r>
          </w:p>
        </w:tc>
      </w:tr>
      <w:tr>
        <w:tc>
          <w:tcPr>
            <w:tcW w:type="dxa" w:w="3000"/>
            <w:shd w:fill="F2F4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Phase 2b Readout</w:t>
            </w:r>
          </w:p>
        </w:tc>
        <w:tc>
          <w:tcPr>
            <w:tcW w:type="dxa" w:w="1800"/>
            <w:shd w:fill="F2F4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-19.4%</w:t>
            </w:r>
          </w:p>
        </w:tc>
        <w:tc>
          <w:tcPr>
            <w:tcW w:type="dxa" w:w="1800"/>
            <w:shd w:fill="F2F4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29.6%</w:t>
            </w:r>
          </w:p>
        </w:tc>
        <w:tc>
          <w:tcPr>
            <w:tcW w:type="dxa" w:w="1500"/>
            <w:shd w:fill="F2F4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shd w:fill="F2F4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AVOID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5C8A"/>
          <w:sz w:val="26"/>
          <w:szCs w:val="26"/>
        </w:rPr>
        <w:t xml:space="preserve">Options Position Sizing &amp; Risk Rules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Max single options position: </w:t>
      </w:r>
      <w:r>
        <w:rPr>
          <w:b w:val="false"/>
          <w:bCs w:val="false"/>
          <w:sz w:val="22"/>
          <w:szCs w:val="22"/>
        </w:rPr>
        <w:t xml:space="preserve">2% of capital (vs 3–5% equity). Sniper multiplier up to 1.5× with explosion tier confirm → 3% cap.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Filter: </w:t>
      </w:r>
      <w:r>
        <w:rPr>
          <w:b w:val="false"/>
          <w:bCs w:val="false"/>
          <w:sz w:val="22"/>
          <w:szCs w:val="22"/>
        </w:rPr>
        <w:t xml:space="preserve">ODIN T1 (≥0.85) or T2 (0.65–0.85) only. Honest-calibrated probabilities (×0.96).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LIMIT ORDERS MANDATORY. </w:t>
      </w:r>
      <w:r>
        <w:rPr>
          <w:b w:val="false"/>
          <w:bCs w:val="false"/>
          <w:sz w:val="22"/>
          <w:szCs w:val="22"/>
        </w:rPr>
        <w:t xml:space="preserve">Bid-ask spreads cost ~23pp on average. Ask-price fills flip EV negative.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Never hold through the event. </w:t>
      </w:r>
      <w:r>
        <w:rPr>
          <w:b w:val="false"/>
          <w:bCs w:val="false"/>
          <w:sz w:val="22"/>
          <w:szCs w:val="22"/>
        </w:rPr>
        <w:t xml:space="preserve">Exit T-1 before close. No exceptions. Options amplify gains AND losses — IV crush is real.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Combined options + equity on same name ≤ 60% of portfolio. </w:t>
      </w:r>
      <w:r>
        <w:rPr>
          <w:b w:val="false"/>
          <w:bCs w:val="false"/>
          <w:sz w:val="22"/>
          <w:szCs w:val="22"/>
        </w:rPr>
        <w:t xml:space="preserve">(Applied specifically to ALXO — 55% equity + any options addition.)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Re-score cheapness at T-14. </w:t>
      </w:r>
      <w:r>
        <w:rPr>
          <w:b w:val="false"/>
          <w:bCs w:val="false"/>
          <w:sz w:val="22"/>
          <w:szCs w:val="22"/>
        </w:rPr>
        <w:t xml:space="preserve">Skip if ivPct1Y &gt; 80 or IV/RV &gt; 2.0 at entry time.</w:t>
      </w:r>
    </w:p>
    <w:p>
      <w:pPr>
        <w:pStyle w:val="Heading2"/>
        <w:spacing w:after="120" w:before="240"/>
      </w:pPr>
      <w:r>
        <w:rPr>
          <w:b/>
          <w:bCs/>
          <w:color w:val="2E5C8A"/>
          <w:sz w:val="26"/>
          <w:szCs w:val="26"/>
        </w:rPr>
        <w:t xml:space="preserve">Q2 Options Capital Budget</w:t>
      </w:r>
    </w:p>
    <w:p>
      <w:pPr>
        <w:spacing w:after="12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Total budget: 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5.5% of capital across three staggered plays (UNCY 2.0% + OSTX 2.0% + CABA 1.5%). Peak concurrent options heat ~4.5% (UNCY + OSTX overlap Jun 11–26). All three resolve by end of Q2. Fits inside the aggressive 35–40% peak concurrent heat budget without crowding the equity rotation.</w:t>
      </w:r>
    </w:p>
    <w:p>
      <w:pPr>
        <w:spacing w:after="120"/>
        <w:jc w:val="left"/>
      </w:pPr>
      <w:r>
        <w:rPr>
          <w:b w:val="false"/>
          <w:bCs w:val="false"/>
          <w:i/>
          <w:iCs/>
          <w:sz w:val="22"/>
          <w:szCs w:val="22"/>
        </w:rPr>
        <w:t xml:space="preserve">If ALXO IV pulls back and qualifies for an options overlay, add ≤1.5% May 7 play and bring total Q2 options budget to ~7%.</w:t>
      </w:r>
    </w:p>
    <w:p>
      <w:pPr>
        <w:pStyle w:val="Heading2"/>
        <w:spacing w:after="120" w:before="240"/>
      </w:pPr>
      <w:r>
        <w:rPr>
          <w:b/>
          <w:bCs/>
          <w:color w:val="2E5C8A"/>
          <w:sz w:val="26"/>
          <w:szCs w:val="26"/>
        </w:rPr>
        <w:t xml:space="preserve">Honest Caveats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ORATS cache coverage: </w:t>
      </w:r>
      <w:r>
        <w:rPr>
          <w:b w:val="false"/>
          <w:bCs w:val="false"/>
          <w:sz w:val="22"/>
          <w:szCs w:val="22"/>
        </w:rPr>
        <w:t xml:space="preserve">only 1 of 30 roster names has fresh ORATS data. All specific cheapness scores require live ORATS fetch at T-14.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Stage classification check: </w:t>
      </w:r>
      <w:r>
        <w:rPr>
          <w:b w:val="false"/>
          <w:bCs w:val="false"/>
          <w:sz w:val="22"/>
          <w:szCs w:val="22"/>
        </w:rPr>
        <w:t xml:space="preserve">DBVT and RNA appear Phase 3 (AVOID). XNCR stage needs verification before sizing — Phase 2 vs 2b flips edge from +29.8% to -19.4%.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Backtest selection bias: </w:t>
      </w:r>
      <w:r>
        <w:rPr>
          <w:b w:val="false"/>
          <w:bCs w:val="false"/>
          <w:sz w:val="22"/>
          <w:szCs w:val="22"/>
        </w:rPr>
        <w:t xml:space="preserve">The 1,828 trades are T-1 compliant, but greedy backtest period selection could inflate segment edge by 5–10pp. Treat returns as ordinal, not absolute.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Live IV will change things. </w:t>
      </w:r>
      <w:r>
        <w:rPr>
          <w:b w:val="false"/>
          <w:bCs w:val="false"/>
          <w:sz w:val="22"/>
          <w:szCs w:val="22"/>
        </w:rPr>
        <w:t xml:space="preserve">Re-run cheapness at each T-14 entry. This playbook is a plan, not a limit order.</w:t>
      </w:r>
    </w:p>
    <w:sectPr>
      <w:pgSz w:w="11906" w:h="16838" w:orient="portrait"/>
      <w:pgMar w:top="1152" w:right="1152" w:bottom="1152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Q2 2026 Options Playbook</dc:title>
  <dc:creator>9 Realms / pdufa.bio</dc:creator>
  <dc:description>Forward-looking options plan complementing Q2 aggressive strategy</dc:description>
  <cp:lastModifiedBy>Un-named</cp:lastModifiedBy>
  <cp:revision>1</cp:revision>
  <dcterms:created xsi:type="dcterms:W3CDTF">2026-04-18T05:27:41.536Z</dcterms:created>
  <dcterms:modified xsi:type="dcterms:W3CDTF">2026-04-18T05:27:41.536Z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