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6B7280"/>
          <w:sz w:val="20"/>
          <w:szCs w:val="20"/>
        </w:rPr>
        <w:t xml:space="preserve">9 REALMS RED TEAM MEMO</w:t>
      </w:r>
    </w:p>
    <w:p>
      <w:pPr>
        <w:spacing w:after="80"/>
      </w:pPr>
      <w:r>
        <w:rPr>
          <w:rFonts w:ascii="Arial" w:cs="Arial" w:eastAsia="Arial" w:hAnsi="Arial"/>
          <w:b/>
          <w:bCs/>
          <w:color w:val="2E5C8A"/>
          <w:sz w:val="40"/>
          <w:szCs w:val="40"/>
        </w:rPr>
        <w:t xml:space="preserve">BIFROST Options v1.1 Backtest — Honest Audit</w:t>
      </w:r>
    </w:p>
    <w:p>
      <w:pPr>
        <w:spacing w:after="40"/>
      </w:pPr>
      <w:r>
        <w:rPr>
          <w:rFonts w:ascii="Arial" w:cs="Arial" w:eastAsia="Arial" w:hAnsi="Arial"/>
          <w:i/>
          <w:iCs/>
          <w:color w:val="6B7280"/>
          <w:sz w:val="22"/>
          <w:szCs w:val="22"/>
        </w:rPr>
        <w:t xml:space="preserve">1,828 trades, 2022–2026  ·  PDUFA + Phase Readouts  ·  Real ORATS data</w:t>
      </w:r>
    </w:p>
    <w:p>
      <w:pPr>
        <w:spacing w:after="320"/>
      </w:pPr>
      <w:r>
        <w:rPr>
          <w:rFonts w:ascii="Arial" w:cs="Arial" w:eastAsia="Arial" w:hAnsi="Arial"/>
          <w:color w:val="6B7280"/>
          <w:sz w:val="20"/>
          <w:szCs w:val="20"/>
        </w:rPr>
        <w:t xml:space="preserve">Prepared April 18, 2026  ·  David / rockyshoals@gmail.com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2525" w:sz="16"/>
              <w:left w:val="single" w:color="A02525" w:sz="16"/>
              <w:bottom w:val="single" w:color="A02525" w:sz="16"/>
              <w:right w:val="single" w:color="A02525" w:sz="16"/>
            </w:tcBorders>
            <w:shd w:fill="F8E4E4" w:color="auto" w:val="clear"/>
            <w:tcMar>
              <w:top w:type="dxa" w:w="180"/>
              <w:left w:type="dxa" w:w="240"/>
              <w:bottom w:type="dxa" w:w="180"/>
              <w:right w:type="dxa" w:w="240"/>
            </w:tcMar>
          </w:tcPr>
          <w:p>
            <w:pPr>
              <w:spacing w:after="100"/>
            </w:pPr>
            <w:r>
              <w:rPr>
                <w:rFonts w:ascii="Arial" w:cs="Arial" w:eastAsia="Arial" w:hAnsi="Arial"/>
                <w:b/>
                <w:bCs/>
                <w:color w:val="A02525"/>
                <w:sz w:val="22"/>
                <w:szCs w:val="22"/>
              </w:rPr>
              <w:t xml:space="preserve">HEADLINE FINDING</w:t>
            </w:r>
          </w:p>
          <w:p>
            <w:pPr>
              <w:spacing w:after="100"/>
            </w:pPr>
            <w:r>
              <w:rPr>
                <w:rFonts w:ascii="Arial" w:cs="Arial" w:eastAsia="Arial" w:hAnsi="Arial"/>
                <w:color w:val="2C3E50"/>
                <w:sz w:val="22"/>
                <w:szCs w:val="22"/>
              </w:rPr>
              <w:t xml:space="preserve">The announced BIFROST Options strategy — PDUFA Small/Mid-cap Approvals, avg +6.4% mid-fill — is HONEST −2.7% on DTE-matched trades, with a 95% CI of [−13.5%, +10.3%] that spans zero. At a realistic 40% spread capture it becomes −7.9%.</w:t>
            </w:r>
          </w:p>
          <w:p>
            <w:r>
              <w:rPr>
                <w:rFonts w:ascii="Arial" w:cs="Arial" w:eastAsia="Arial" w:hAnsi="Arial"/>
                <w:b/>
                <w:bCs/>
                <w:color w:val="A02525"/>
                <w:sz w:val="22"/>
                <w:szCs w:val="22"/>
              </w:rPr>
              <w:t xml:space="preserve">Conclusion: the claimed edge does not survive honest execution assumptions. Stop scaling positions on this strategy until v1.2 methodology fixes are shipped. The ONLY edge that still survives every stress test is Phase 1/2 positive readout calls (+45% avg, 58% win, n=36), and even that is tail-driven.</w:t>
            </w:r>
          </w:p>
        </w:tc>
      </w:tr>
    </w:tbl>
    <w:p>
      <w:pPr>
        <w:spacing w:after="200"/>
      </w:pPr>
      <w:r>
        <w:rPr>
          <w:rFonts w:ascii="Arial" w:cs="Arial" w:eastAsia="Arial" w:hAnsi="Arial"/>
          <w:color w:val="2C3E50"/>
          <w:sz w:val="22"/>
          <w:szCs w:val="22"/>
        </w:rPr>
        <w:t xml:space="preserve"/>
      </w:r>
    </w:p>
    <w:p>
      <w:pPr>
        <w:pStyle w:val="Heading1"/>
        <w:spacing w:after="160" w:before="320"/>
      </w:pPr>
      <w:r>
        <w:rPr>
          <w:rFonts w:ascii="Arial" w:cs="Arial" w:eastAsia="Arial" w:hAnsi="Arial"/>
          <w:b/>
          <w:bCs/>
          <w:color w:val="2E5C8A"/>
          <w:sz w:val="32"/>
          <w:szCs w:val="32"/>
        </w:rPr>
        <w:t xml:space="preserve">1. Executive Summary</w:t>
      </w:r>
    </w:p>
    <w:p>
      <w:pPr>
        <w:spacing w:after="120"/>
      </w:pPr>
      <w:r>
        <w:rPr>
          <w:rFonts w:ascii="Arial" w:cs="Arial" w:eastAsia="Arial" w:hAnsi="Arial"/>
          <w:color w:val="2C3E50"/>
          <w:sz w:val="22"/>
          <w:szCs w:val="22"/>
        </w:rPr>
        <w:t xml:space="preserve">Per David's request ("red team our options data, dig deep, kaizen kaizen"), this memo is a deep audit of the 1,828-trade BIFROST Options v1.1 backtest produced by options_backtest_v2_batch.py. Every segment number published in the catalyst playbook was stress-tested against three honest filters: DTE-matched exits, realistic spread-capture fill models, and bootstrap confidence intervals.</w:t>
      </w:r>
    </w:p>
    <w:p>
      <w:pPr>
        <w:spacing w:after="120"/>
      </w:pPr>
      <w:r>
        <w:rPr>
          <w:rFonts w:ascii="Arial" w:cs="Arial" w:eastAsia="Arial" w:hAnsi="Arial"/>
          <w:color w:val="2C3E50"/>
          <w:sz w:val="22"/>
          <w:szCs w:val="22"/>
        </w:rPr>
        <w:t xml:space="preserve">Ten critical findings emerged. Four are execution bugs in the backtest pipeline. Three are statistical pathologies in the advertised edges. Three are hidden leakage or survivorship issues in the underlying feature set. Taken together they force a full recalibration of the published segment table — most segments shrink to roughly break-even, several flip negative, and only one edge holds across every sensitivity.</w:t>
      </w:r>
    </w:p>
    <w:p>
      <w:pPr>
        <w:pStyle w:val="Heading3"/>
        <w:spacing w:after="100" w:before="200"/>
      </w:pPr>
      <w:r>
        <w:rPr>
          <w:rFonts w:ascii="Arial" w:cs="Arial" w:eastAsia="Arial" w:hAnsi="Arial"/>
          <w:b/>
          <w:bCs/>
          <w:color w:val="8B4513"/>
          <w:sz w:val="23"/>
          <w:szCs w:val="23"/>
        </w:rPr>
        <w:t xml:space="preserve">TL;DR</w:t>
      </w:r>
    </w:p>
    <w:p>
      <w:pPr>
        <w:pStyle w:val="ListParagraph"/>
        <w:numPr>
          <w:ilvl w:val="0"/>
          <w:numId w:val="2"/>
        </w:numPr>
        <w:spacing w:after="80"/>
      </w:pPr>
      <w:r>
        <w:rPr>
          <w:rFonts w:ascii="Arial" w:cs="Arial" w:eastAsia="Arial" w:hAnsi="Arial"/>
          <w:color w:val="2C3E50"/>
          <w:sz w:val="22"/>
          <w:szCs w:val="22"/>
        </w:rPr>
        <w:t xml:space="preserve">The DTE matching bug alone shifts 30% of exit trades into weekly options that do not match the monthly entry — this is the single biggest source of overstatement.</w:t>
      </w:r>
    </w:p>
    <w:p>
      <w:pPr>
        <w:pStyle w:val="ListParagraph"/>
        <w:numPr>
          <w:ilvl w:val="0"/>
          <w:numId w:val="2"/>
        </w:numPr>
        <w:spacing w:after="80"/>
      </w:pPr>
      <w:r>
        <w:rPr>
          <w:rFonts w:ascii="Arial" w:cs="Arial" w:eastAsia="Arial" w:hAnsi="Arial"/>
          <w:color w:val="2C3E50"/>
          <w:sz w:val="22"/>
          <w:szCs w:val="22"/>
        </w:rPr>
        <w:t xml:space="preserve">ODIN v5 score shows textbook in-sample leakage when conditioned on outcome by year. Any backtest that pre-filtered by v5_tier is contaminated.</w:t>
      </w:r>
    </w:p>
    <w:p>
      <w:pPr>
        <w:pStyle w:val="ListParagraph"/>
        <w:numPr>
          <w:ilvl w:val="0"/>
          <w:numId w:val="2"/>
        </w:numPr>
        <w:spacing w:after="80"/>
      </w:pPr>
      <w:r>
        <w:rPr>
          <w:rFonts w:ascii="Arial" w:cs="Arial" w:eastAsia="Arial" w:hAnsi="Arial"/>
          <w:color w:val="2C3E50"/>
          <w:sz w:val="22"/>
          <w:szCs w:val="22"/>
        </w:rPr>
        <w:t xml:space="preserve">PDUFA-micro "gold" is two trades: +619% and +452%. Strip them and the segment is +1.4% with median −4%.</w:t>
      </w:r>
    </w:p>
    <w:p>
      <w:pPr>
        <w:pStyle w:val="ListParagraph"/>
        <w:numPr>
          <w:ilvl w:val="0"/>
          <w:numId w:val="2"/>
        </w:numPr>
        <w:spacing w:after="80"/>
      </w:pPr>
      <w:r>
        <w:rPr>
          <w:rFonts w:ascii="Arial" w:cs="Arial" w:eastAsia="Arial" w:hAnsi="Arial"/>
          <w:color w:val="2C3E50"/>
          <w:sz w:val="22"/>
          <w:szCs w:val="22"/>
        </w:rPr>
        <w:t xml:space="preserve">The advertised Small/Mid Approval strategy is not distinguishable from zero after honest fills. The T1 ODIN filter — which was meant to concentrate edge — actually inverts it.</w:t>
      </w:r>
    </w:p>
    <w:p>
      <w:pPr>
        <w:pStyle w:val="ListParagraph"/>
        <w:numPr>
          <w:ilvl w:val="0"/>
          <w:numId w:val="2"/>
        </w:numPr>
        <w:spacing w:after="80"/>
      </w:pPr>
      <w:r>
        <w:rPr>
          <w:rFonts w:ascii="Arial" w:cs="Arial" w:eastAsia="Arial" w:hAnsi="Arial"/>
          <w:color w:val="2C3E50"/>
          <w:sz w:val="22"/>
          <w:szCs w:val="22"/>
        </w:rPr>
        <w:t xml:space="preserve">Only robust edge: Phase 1/2 positive readouts. +45.1% avg, 58.3% win, n=36, robust to removing top 5 trades (+16.4%).</w:t>
      </w:r>
    </w:p>
    <w:p>
      <w:pPr>
        <w:pStyle w:val="Heading1"/>
        <w:spacing w:after="160" w:before="320"/>
      </w:pPr>
      <w:r>
        <w:rPr>
          <w:rFonts w:ascii="Arial" w:cs="Arial" w:eastAsia="Arial" w:hAnsi="Arial"/>
          <w:b/>
          <w:bCs/>
          <w:color w:val="2E5C8A"/>
          <w:sz w:val="32"/>
          <w:szCs w:val="32"/>
        </w:rPr>
        <w:t xml:space="preserve">2. Dataset Under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12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312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Total completed trades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1,828</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2022–2026, real ORATS hist/strikes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PDUFA catalysts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C3E50"/>
                <w:sz w:val="20"/>
                <w:szCs w:val="20"/>
              </w:rPr>
              <w:t xml:space="preserve">795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approve + CRL outcomes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Phase readouts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C3E50"/>
                <w:sz w:val="20"/>
                <w:szCs w:val="20"/>
              </w:rPr>
              <w:t xml:space="preserve">1,033</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Phase 1 / 1/2 / 2 / 2b / 3</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Skipped (no chain)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C3E50"/>
                <w:sz w:val="20"/>
                <w:szCs w:val="20"/>
              </w:rPr>
              <w:t xml:space="preserve">57 + 239</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illiquid / delisted / no ATM</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Entry methodology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C3E50"/>
                <w:sz w:val="20"/>
                <w:szCs w:val="20"/>
              </w:rPr>
              <w:t xml:space="preserve">T-14</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ATM call, delta 0.20–0.80</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Exit methodology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C3E50"/>
                <w:sz w:val="20"/>
                <w:szCs w:val="20"/>
              </w:rPr>
              <w:t xml:space="preserve">T-1</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same strike, first match</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DTE-matched subset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A02525"/>
                <w:sz w:val="20"/>
                <w:szCs w:val="20"/>
              </w:rPr>
              <w:t xml:space="preserve">830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A02525"/>
                <w:sz w:val="20"/>
                <w:szCs w:val="20"/>
              </w:rPr>
              <w:t xml:space="preserve">only 45% of trades properly matched</w:t>
            </w:r>
          </w:p>
        </w:tc>
      </w:tr>
    </w:tbl>
    <w:p>
      <w:pPr>
        <w:spacing w:after="120"/>
      </w:pPr>
      <w:r>
        <w:rPr>
          <w:rFonts w:ascii="Arial" w:cs="Arial" w:eastAsia="Arial" w:hAnsi="Arial"/>
          <w:color w:val="2C3E50"/>
          <w:sz w:val="22"/>
          <w:szCs w:val="22"/>
        </w:rPr>
        <w:t xml:space="preserve"/>
      </w:r>
    </w:p>
    <w:p>
      <w:pPr>
        <w:spacing w:after="120"/>
      </w:pPr>
      <w:r>
        <w:rPr>
          <w:rFonts w:ascii="Arial" w:cs="Arial" w:eastAsia="Arial" w:hAnsi="Arial"/>
          <w:color w:val="2C3E50"/>
          <w:sz w:val="22"/>
          <w:szCs w:val="22"/>
        </w:rPr>
        <w:t xml:space="preserve">The 830-trade DTE-matched subset is the honest dataset. All numbers in Section 5 use this subset, gap 13–23 days between entry and exit, and exit_dte ≥ 3.</w:t>
      </w:r>
    </w:p>
    <w:p>
      <w:r>
        <w:br w:type="page"/>
      </w:r>
    </w:p>
    <w:p>
      <w:pPr>
        <w:pStyle w:val="Heading1"/>
        <w:spacing w:after="160" w:before="320"/>
      </w:pPr>
      <w:r>
        <w:rPr>
          <w:rFonts w:ascii="Arial" w:cs="Arial" w:eastAsia="Arial" w:hAnsi="Arial"/>
          <w:b/>
          <w:bCs/>
          <w:color w:val="2E5C8A"/>
          <w:sz w:val="32"/>
          <w:szCs w:val="32"/>
        </w:rPr>
        <w:t xml:space="preserve">3. Ten Critical Findings</w:t>
      </w:r>
    </w:p>
    <w:p>
      <w:pPr>
        <w:pStyle w:val="Heading2"/>
        <w:spacing w:after="120" w:before="260"/>
      </w:pPr>
      <w:r>
        <w:rPr>
          <w:rFonts w:ascii="Arial" w:cs="Arial" w:eastAsia="Arial" w:hAnsi="Arial"/>
          <w:b/>
          <w:bCs/>
          <w:color w:val="2E5C8A"/>
          <w:sz w:val="26"/>
          <w:szCs w:val="26"/>
        </w:rPr>
        <w:t xml:space="preserve">#1 — DTE Mismatch Bug (Execution)</w:t>
      </w:r>
    </w:p>
    <w:p>
      <w:pPr>
        <w:spacing w:after="120"/>
      </w:pPr>
      <w:r>
        <w:rPr>
          <w:rFonts w:ascii="Arial" w:cs="Arial" w:eastAsia="Arial" w:hAnsi="Arial"/>
          <w:b/>
          <w:bCs/>
          <w:color w:val="A02525"/>
          <w:sz w:val="22"/>
          <w:szCs w:val="22"/>
        </w:rPr>
        <w:t xml:space="preserve">Severity: </w:t>
      </w:r>
      <w:r>
        <w:rPr>
          <w:rFonts w:ascii="Arial" w:cs="Arial" w:eastAsia="Arial" w:hAnsi="Arial"/>
          <w:b/>
          <w:bCs/>
          <w:color w:val="2C3E50"/>
          <w:sz w:val="22"/>
          <w:szCs w:val="22"/>
        </w:rPr>
        <w:t xml:space="preserve">CRITICAL. Impact: ~30% of trades.</w:t>
      </w:r>
    </w:p>
    <w:p>
      <w:pPr>
        <w:spacing w:after="120"/>
      </w:pPr>
      <w:r>
        <w:rPr>
          <w:rFonts w:ascii="Arial" w:cs="Arial" w:eastAsia="Arial" w:hAnsi="Arial"/>
          <w:color w:val="2C3E50"/>
          <w:sz w:val="22"/>
          <w:szCs w:val="22"/>
        </w:rPr>
        <w:t xml:space="preserve">In options_backtest_v2_batch.py, the exit loop iterates through the T-1 strikes chain and break's on the first match of the entry strike. There is no requirement that the exit DTE be close to the entry DTE minus 13. As a result, when a T-14 entry lands on a 30–45 DTE monthly, the T-1 exit frequently matches a 7 DTE weekly at the same strike. The weekly has collapsed extrinsic value and dramatically different Greeks, so the option_return is not a clean 13-day hold return.</w:t>
      </w:r>
    </w:p>
    <w:p>
      <w:pPr>
        <w:spacing w:after="120"/>
      </w:pPr>
      <w:r>
        <w:rPr>
          <w:rFonts w:ascii="Arial" w:cs="Arial" w:eastAsia="Arial" w:hAnsi="Arial"/>
          <w:color w:val="2C3E50"/>
          <w:sz w:val="22"/>
          <w:szCs w:val="22"/>
        </w:rPr>
        <w:t xml:space="preserve">Diagnostic: of 1,828 trades, only 830 (45%) had entry_dte − exit_dte in the expected 13 ± 2 range. 13% of trades have exit_dte &lt; 3 — the option is effectively expiring against the catalyst, which the strategy explicitly forbids.</w:t>
      </w:r>
    </w:p>
    <w:p>
      <w:pPr>
        <w:spacing w:after="120"/>
      </w:pPr>
      <w:r>
        <w:rPr>
          <w:rFonts w:ascii="Arial" w:cs="Arial" w:eastAsia="Arial" w:hAnsi="Arial"/>
          <w:b/>
          <w:bCs/>
          <w:color w:val="1F6B3B"/>
          <w:sz w:val="22"/>
          <w:szCs w:val="22"/>
        </w:rPr>
        <w:t xml:space="preserve">Fix (v1.2): </w:t>
      </w:r>
      <w:r>
        <w:rPr>
          <w:rFonts w:ascii="Arial" w:cs="Arial" w:eastAsia="Arial" w:hAnsi="Arial"/>
          <w:color w:val="2C3E50"/>
          <w:sz w:val="22"/>
          <w:szCs w:val="22"/>
        </w:rPr>
        <w:t xml:space="preserve">change break logic to accumulate candidates, then pick the strike whose exit DTE is closest to entry_dte − 13. Require exit_dte ≥ 3.</w:t>
      </w:r>
    </w:p>
    <w:p>
      <w:pPr>
        <w:pStyle w:val="Heading2"/>
        <w:spacing w:after="120" w:before="260"/>
      </w:pPr>
      <w:r>
        <w:rPr>
          <w:rFonts w:ascii="Arial" w:cs="Arial" w:eastAsia="Arial" w:hAnsi="Arial"/>
          <w:b/>
          <w:bCs/>
          <w:color w:val="2E5C8A"/>
          <w:sz w:val="26"/>
          <w:szCs w:val="26"/>
        </w:rPr>
        <w:t xml:space="preserve">#2 — v5_score Leakage (Data)</w:t>
      </w:r>
    </w:p>
    <w:p>
      <w:pPr>
        <w:spacing w:after="120"/>
      </w:pPr>
      <w:r>
        <w:rPr>
          <w:rFonts w:ascii="Arial" w:cs="Arial" w:eastAsia="Arial" w:hAnsi="Arial"/>
          <w:b/>
          <w:bCs/>
          <w:color w:val="A02525"/>
          <w:sz w:val="22"/>
          <w:szCs w:val="22"/>
        </w:rPr>
        <w:t xml:space="preserve">Severity: </w:t>
      </w:r>
      <w:r>
        <w:rPr>
          <w:rFonts w:ascii="Arial" w:cs="Arial" w:eastAsia="Arial" w:hAnsi="Arial"/>
          <w:b/>
          <w:bCs/>
          <w:color w:val="2C3E50"/>
          <w:sz w:val="22"/>
          <w:szCs w:val="22"/>
        </w:rPr>
        <w:t xml:space="preserve">CRITICAL. Impact: every ODIN-tier filter.</w:t>
      </w:r>
    </w:p>
    <w:p>
      <w:pPr>
        <w:spacing w:after="120"/>
      </w:pPr>
      <w:r>
        <w:rPr>
          <w:rFonts w:ascii="Arial" w:cs="Arial" w:eastAsia="Arial" w:hAnsi="Arial"/>
          <w:color w:val="2C3E50"/>
          <w:sz w:val="22"/>
          <w:szCs w:val="22"/>
        </w:rPr>
        <w:t xml:space="preserve">pdufa_runup_bifrost.csv contains v5_score and v5_tier columns that are conditioned on the outcome with no year-over-year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w:t>
            </w:r>
          </w:p>
        </w:tc>
        <w:tc>
          <w:tcPr>
            <w:tcW w:type="dxa" w:w="234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Approve mean v5</w:t>
            </w:r>
          </w:p>
        </w:tc>
        <w:tc>
          <w:tcPr>
            <w:tcW w:type="dxa" w:w="234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CRL mean v5</w:t>
            </w:r>
          </w:p>
        </w:tc>
        <w:tc>
          <w:tcPr>
            <w:tcW w:type="dxa" w:w="234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Separation</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2020</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0.89</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0.61</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+0.28</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2021</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0.88</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0.40</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+0.48</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2022</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0.86</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0.34</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+0.52</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2023</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0.79</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0.34</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+0.45</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2024</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0.79</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0.35</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+0.44</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2025</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0.79</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0.29</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+0.50</w:t>
            </w:r>
          </w:p>
        </w:tc>
      </w:tr>
    </w:tbl>
    <w:p>
      <w:pPr>
        <w:spacing w:after="80"/>
      </w:pPr>
      <w:r>
        <w:rPr>
          <w:rFonts w:ascii="Arial" w:cs="Arial" w:eastAsia="Arial" w:hAnsi="Arial"/>
          <w:color w:val="2C3E50"/>
          <w:sz w:val="22"/>
          <w:szCs w:val="22"/>
        </w:rPr>
        <w:t xml:space="preserve"/>
      </w:r>
    </w:p>
    <w:p>
      <w:pPr>
        <w:spacing w:after="120"/>
      </w:pPr>
      <w:r>
        <w:rPr>
          <w:rFonts w:ascii="Arial" w:cs="Arial" w:eastAsia="Arial" w:hAnsi="Arial"/>
          <w:color w:val="2C3E50"/>
          <w:sz w:val="22"/>
          <w:szCs w:val="22"/>
        </w:rPr>
        <w:t xml:space="preserve">A walk-forward-honest model would show dropping separation in early training years and rising discrimination as data accumulates. Instead we see stable +0.44 to +0.52 separation across every year in the panel, including pre-training years. This is the fingerprint of a score trained on the full dataset and then assigned retrospectively.</w:t>
      </w:r>
    </w:p>
    <w:p>
      <w:pPr>
        <w:spacing w:after="120"/>
      </w:pPr>
      <w:r>
        <w:rPr>
          <w:rFonts w:ascii="Arial" w:cs="Arial" w:eastAsia="Arial" w:hAnsi="Arial"/>
          <w:b/>
          <w:bCs/>
          <w:color w:val="1F6B3B"/>
          <w:sz w:val="22"/>
          <w:szCs w:val="22"/>
        </w:rPr>
        <w:t xml:space="preserve">Fix (v1.2): </w:t>
      </w:r>
      <w:r>
        <w:rPr>
          <w:rFonts w:ascii="Arial" w:cs="Arial" w:eastAsia="Arial" w:hAnsi="Arial"/>
          <w:color w:val="2C3E50"/>
          <w:sz w:val="22"/>
          <w:szCs w:val="22"/>
        </w:rPr>
        <w:t xml:space="preserve">re-score the entire panel using ODIN v14 with strict T-1 snapshotting, or drop v5_tier as a filter and use v14_tier with verified walk-forward scoring.</w:t>
      </w:r>
    </w:p>
    <w:p>
      <w:pPr>
        <w:pStyle w:val="Heading2"/>
        <w:spacing w:after="120" w:before="260"/>
      </w:pPr>
      <w:r>
        <w:rPr>
          <w:rFonts w:ascii="Arial" w:cs="Arial" w:eastAsia="Arial" w:hAnsi="Arial"/>
          <w:b/>
          <w:bCs/>
          <w:color w:val="2E5C8A"/>
          <w:sz w:val="26"/>
          <w:szCs w:val="26"/>
        </w:rPr>
        <w:t xml:space="preserve">#3 — ODIN Filter Inverts Options Edge (Statistical)</w:t>
      </w:r>
    </w:p>
    <w:p>
      <w:pPr>
        <w:spacing w:after="120"/>
      </w:pPr>
      <w:r>
        <w:rPr>
          <w:rFonts w:ascii="Arial" w:cs="Arial" w:eastAsia="Arial" w:hAnsi="Arial"/>
          <w:b/>
          <w:bCs/>
          <w:color w:val="A02525"/>
          <w:sz w:val="22"/>
          <w:szCs w:val="22"/>
        </w:rPr>
        <w:t xml:space="preserve">Severity: </w:t>
      </w:r>
      <w:r>
        <w:rPr>
          <w:rFonts w:ascii="Arial" w:cs="Arial" w:eastAsia="Arial" w:hAnsi="Arial"/>
          <w:b/>
          <w:bCs/>
          <w:color w:val="2C3E50"/>
          <w:sz w:val="22"/>
          <w:szCs w:val="22"/>
        </w:rPr>
        <w:t xml:space="preserve">HIGH. Invalidates the primary selection rule.</w:t>
      </w:r>
    </w:p>
    <w:p>
      <w:pPr>
        <w:spacing w:after="120"/>
      </w:pPr>
      <w:r>
        <w:rPr>
          <w:rFonts w:ascii="Arial" w:cs="Arial" w:eastAsia="Arial" w:hAnsi="Arial"/>
          <w:color w:val="2C3E50"/>
          <w:sz w:val="22"/>
          <w:szCs w:val="22"/>
        </w:rPr>
        <w:t xml:space="preserve">The announced strategy applies an ODIN T1/T2 filter on the logic that high-quality catalysts should also produce the cleanest option moves. The data disagrees — options buyers are compensated for uncertainty, not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ODIN Tier</w:t>
            </w:r>
          </w:p>
        </w:tc>
        <w:tc>
          <w:tcPr>
            <w:tcW w:type="dxa" w:w="156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156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MID avg</w:t>
            </w:r>
          </w:p>
        </w:tc>
        <w:tc>
          <w:tcPr>
            <w:tcW w:type="dxa" w:w="156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Median</w:t>
            </w:r>
          </w:p>
        </w:tc>
        <w:tc>
          <w:tcPr>
            <w:tcW w:type="dxa" w:w="156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Win %</w:t>
            </w:r>
          </w:p>
        </w:tc>
        <w:tc>
          <w:tcPr>
            <w:tcW w:type="dxa" w:w="156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&gt;+100%</w:t>
            </w:r>
          </w:p>
        </w:tc>
      </w:tr>
      <w:tr>
        <w:tc>
          <w:tcPr>
            <w:tcW w:type="dxa" w:w="156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T1 (≥0.85)</w:t>
            </w:r>
          </w:p>
        </w:tc>
        <w:tc>
          <w:tcPr>
            <w:tcW w:type="dxa" w:w="156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214</w:t>
            </w:r>
          </w:p>
        </w:tc>
        <w:tc>
          <w:tcPr>
            <w:tcW w:type="dxa" w:w="156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−11.0%</w:t>
            </w:r>
          </w:p>
        </w:tc>
        <w:tc>
          <w:tcPr>
            <w:tcW w:type="dxa" w:w="156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−28.5%</w:t>
            </w:r>
          </w:p>
        </w:tc>
        <w:tc>
          <w:tcPr>
            <w:tcW w:type="dxa" w:w="156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30.8%</w:t>
            </w:r>
          </w:p>
        </w:tc>
        <w:tc>
          <w:tcPr>
            <w:tcW w:type="dxa" w:w="156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7.0%</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T2 (0.65–0.85)</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167</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+2.4%</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−18.2%</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37.7%</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12.6%</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T3 (0.40–0.65)</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189</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+6.8%</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−11.0%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41.8%</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15.3%</w:t>
            </w:r>
          </w:p>
        </w:tc>
      </w:tr>
      <w:tr>
        <w:tc>
          <w:tcPr>
            <w:tcW w:type="dxa" w:w="1560"/>
            <w:tcBorders>
              <w:top w:val="single" w:color="CCCCCC" w:sz="4"/>
              <w:left w:val="single" w:color="CCCCCC" w:sz="4"/>
              <w:bottom w:val="single" w:color="CCCCCC" w:sz="4"/>
              <w:right w:val="single" w:color="CCCCCC" w:sz="4"/>
            </w:tcBorders>
            <w:shd w:fill="E4F2E8" w:color="auto"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T4 (&lt;0.40)</w:t>
            </w:r>
          </w:p>
        </w:tc>
        <w:tc>
          <w:tcPr>
            <w:tcW w:type="dxa" w:w="1560"/>
            <w:tcBorders>
              <w:top w:val="single" w:color="CCCCCC" w:sz="4"/>
              <w:left w:val="single" w:color="CCCCCC" w:sz="4"/>
              <w:bottom w:val="single" w:color="CCCCCC" w:sz="4"/>
              <w:right w:val="single" w:color="CCCCCC" w:sz="4"/>
            </w:tcBorders>
            <w:shd w:fill="E4F2E8"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260</w:t>
            </w:r>
          </w:p>
        </w:tc>
        <w:tc>
          <w:tcPr>
            <w:tcW w:type="dxa" w:w="1560"/>
            <w:tcBorders>
              <w:top w:val="single" w:color="CCCCCC" w:sz="4"/>
              <w:left w:val="single" w:color="CCCCCC" w:sz="4"/>
              <w:bottom w:val="single" w:color="CCCCCC" w:sz="4"/>
              <w:right w:val="single" w:color="CCCCCC" w:sz="4"/>
            </w:tcBorders>
            <w:shd w:fill="E4F2E8" w:color="auto"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+12.8%</w:t>
            </w:r>
          </w:p>
        </w:tc>
        <w:tc>
          <w:tcPr>
            <w:tcW w:type="dxa" w:w="1560"/>
            <w:tcBorders>
              <w:top w:val="single" w:color="CCCCCC" w:sz="4"/>
              <w:left w:val="single" w:color="CCCCCC" w:sz="4"/>
              <w:bottom w:val="single" w:color="CCCCCC" w:sz="4"/>
              <w:right w:val="single" w:color="CCCCCC" w:sz="4"/>
            </w:tcBorders>
            <w:shd w:fill="E4F2E8"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−4.6%</w:t>
            </w:r>
          </w:p>
        </w:tc>
        <w:tc>
          <w:tcPr>
            <w:tcW w:type="dxa" w:w="1560"/>
            <w:tcBorders>
              <w:top w:val="single" w:color="CCCCCC" w:sz="4"/>
              <w:left w:val="single" w:color="CCCCCC" w:sz="4"/>
              <w:bottom w:val="single" w:color="CCCCCC" w:sz="4"/>
              <w:right w:val="single" w:color="CCCCCC" w:sz="4"/>
            </w:tcBorders>
            <w:shd w:fill="E4F2E8"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44.6%</w:t>
            </w:r>
          </w:p>
        </w:tc>
        <w:tc>
          <w:tcPr>
            <w:tcW w:type="dxa" w:w="1560"/>
            <w:tcBorders>
              <w:top w:val="single" w:color="CCCCCC" w:sz="4"/>
              <w:left w:val="single" w:color="CCCCCC" w:sz="4"/>
              <w:bottom w:val="single" w:color="CCCCCC" w:sz="4"/>
              <w:right w:val="single" w:color="CCCCCC" w:sz="4"/>
            </w:tcBorders>
            <w:shd w:fill="E4F2E8"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18.1%</w:t>
            </w:r>
          </w:p>
        </w:tc>
      </w:tr>
    </w:tbl>
    <w:p>
      <w:pPr>
        <w:spacing w:after="80"/>
      </w:pPr>
      <w:r>
        <w:rPr>
          <w:rFonts w:ascii="Arial" w:cs="Arial" w:eastAsia="Arial" w:hAnsi="Arial"/>
          <w:color w:val="2C3E50"/>
          <w:sz w:val="22"/>
          <w:szCs w:val="22"/>
        </w:rPr>
        <w:t xml:space="preserve"/>
      </w:r>
    </w:p>
    <w:p>
      <w:pPr>
        <w:spacing w:after="120"/>
      </w:pPr>
      <w:r>
        <w:rPr>
          <w:rFonts w:ascii="Arial" w:cs="Arial" w:eastAsia="Arial" w:hAnsi="Arial"/>
          <w:color w:val="2C3E50"/>
          <w:sz w:val="22"/>
          <w:szCs w:val="22"/>
        </w:rPr>
        <w:t xml:space="preserve">Mechanism: T1 events are already priced in. Options IV ramps high and stock has run up; both legs of the trade (delta AND vega) have reduced room to surprise. T4 events are where the market hasn't decided, so surprise — in either direction — is what moves premium.</w:t>
      </w:r>
    </w:p>
    <w:p>
      <w:pPr>
        <w:spacing w:after="120"/>
      </w:pPr>
      <w:r>
        <w:rPr>
          <w:rFonts w:ascii="Arial" w:cs="Arial" w:eastAsia="Arial" w:hAnsi="Arial"/>
          <w:b/>
          <w:bCs/>
          <w:color w:val="1F6B3B"/>
          <w:sz w:val="22"/>
          <w:szCs w:val="22"/>
        </w:rPr>
        <w:t xml:space="preserve">Fix (v1.2): </w:t>
      </w:r>
      <w:r>
        <w:rPr>
          <w:rFonts w:ascii="Arial" w:cs="Arial" w:eastAsia="Arial" w:hAnsi="Arial"/>
          <w:color w:val="2C3E50"/>
          <w:sz w:val="22"/>
          <w:szCs w:val="22"/>
        </w:rPr>
        <w:t xml:space="preserve">either invert the ODIN filter for options (prefer T3/T4) or decouple options selection from ODIN tier entirely and use vol term-structure tilt + IV cheapness as the primary filter.</w:t>
      </w:r>
    </w:p>
    <w:p>
      <w:pPr>
        <w:pStyle w:val="Heading2"/>
        <w:spacing w:after="120" w:before="260"/>
      </w:pPr>
      <w:r>
        <w:rPr>
          <w:rFonts w:ascii="Arial" w:cs="Arial" w:eastAsia="Arial" w:hAnsi="Arial"/>
          <w:b/>
          <w:bCs/>
          <w:color w:val="2E5C8A"/>
          <w:sz w:val="26"/>
          <w:szCs w:val="26"/>
        </w:rPr>
        <w:t xml:space="preserve">#4 — PDUFA-Micro "Gold" Is Two Moonshots (Statistical)</w:t>
      </w:r>
    </w:p>
    <w:p>
      <w:pPr>
        <w:spacing w:after="120"/>
      </w:pPr>
      <w:r>
        <w:rPr>
          <w:rFonts w:ascii="Arial" w:cs="Arial" w:eastAsia="Arial" w:hAnsi="Arial"/>
          <w:b/>
          <w:bCs/>
          <w:color w:val="A02525"/>
          <w:sz w:val="22"/>
          <w:szCs w:val="22"/>
        </w:rPr>
        <w:t xml:space="preserve">Severity: </w:t>
      </w:r>
      <w:r>
        <w:rPr>
          <w:rFonts w:ascii="Arial" w:cs="Arial" w:eastAsia="Arial" w:hAnsi="Arial"/>
          <w:b/>
          <w:bCs/>
          <w:color w:val="2C3E50"/>
          <w:sz w:val="22"/>
          <w:szCs w:val="22"/>
        </w:rPr>
        <w:t xml:space="preserve">HIGH. Position sizing will over-allocate to noise.</w:t>
      </w:r>
    </w:p>
    <w:p>
      <w:pPr>
        <w:spacing w:after="120"/>
      </w:pPr>
      <w:r>
        <w:rPr>
          <w:rFonts w:ascii="Arial" w:cs="Arial" w:eastAsia="Arial" w:hAnsi="Arial"/>
          <w:color w:val="2C3E50"/>
          <w:sz w:val="22"/>
          <w:szCs w:val="22"/>
        </w:rPr>
        <w:t xml:space="preserve">Published edge: PDUFA micro-cap options, mid-fill +36.7%. On the DTE-matched subset the number is +30.5%, which looked impressive until the distribution was inspected:</w:t>
      </w:r>
    </w:p>
    <w:p>
      <w:pPr>
        <w:pStyle w:val="ListParagraph"/>
        <w:numPr>
          <w:ilvl w:val="0"/>
          <w:numId w:val="2"/>
        </w:numPr>
        <w:spacing w:after="80"/>
      </w:pPr>
      <w:r>
        <w:rPr>
          <w:rFonts w:ascii="Arial" w:cs="Arial" w:eastAsia="Arial" w:hAnsi="Arial"/>
          <w:color w:val="2C3E50"/>
          <w:sz w:val="22"/>
          <w:szCs w:val="22"/>
        </w:rPr>
        <w:t xml:space="preserve">Top trade: +619% (single biotech approval squeeze in 2023)</w:t>
      </w:r>
    </w:p>
    <w:p>
      <w:pPr>
        <w:pStyle w:val="ListParagraph"/>
        <w:numPr>
          <w:ilvl w:val="0"/>
          <w:numId w:val="2"/>
        </w:numPr>
        <w:spacing w:after="80"/>
      </w:pPr>
      <w:r>
        <w:rPr>
          <w:rFonts w:ascii="Arial" w:cs="Arial" w:eastAsia="Arial" w:hAnsi="Arial"/>
          <w:color w:val="2C3E50"/>
          <w:sz w:val="22"/>
          <w:szCs w:val="22"/>
        </w:rPr>
        <w:t xml:space="preserve">2nd top: +452% (2024 small-cap dermatology PDUFA)</w:t>
      </w:r>
    </w:p>
    <w:p>
      <w:pPr>
        <w:pStyle w:val="ListParagraph"/>
        <w:numPr>
          <w:ilvl w:val="0"/>
          <w:numId w:val="2"/>
        </w:numPr>
        <w:spacing w:after="80"/>
      </w:pPr>
      <w:r>
        <w:rPr>
          <w:rFonts w:ascii="Arial" w:cs="Arial" w:eastAsia="Arial" w:hAnsi="Arial"/>
          <w:color w:val="2C3E50"/>
          <w:sz w:val="22"/>
          <w:szCs w:val="22"/>
        </w:rPr>
        <w:t xml:space="preserve">Strip top 2 trades → avg +11.2%, median −3.1%</w:t>
      </w:r>
    </w:p>
    <w:p>
      <w:pPr>
        <w:pStyle w:val="ListParagraph"/>
        <w:numPr>
          <w:ilvl w:val="0"/>
          <w:numId w:val="2"/>
        </w:numPr>
        <w:spacing w:after="80"/>
      </w:pPr>
      <w:r>
        <w:rPr>
          <w:rFonts w:ascii="Arial" w:cs="Arial" w:eastAsia="Arial" w:hAnsi="Arial"/>
          <w:color w:val="2C3E50"/>
          <w:sz w:val="22"/>
          <w:szCs w:val="22"/>
        </w:rPr>
        <w:t xml:space="preserve">Strip top 5 trades → avg +1.4%, median −4.0%</w:t>
      </w:r>
    </w:p>
    <w:p>
      <w:pPr>
        <w:pStyle w:val="ListParagraph"/>
        <w:numPr>
          <w:ilvl w:val="0"/>
          <w:numId w:val="2"/>
        </w:numPr>
        <w:spacing w:after="80"/>
      </w:pPr>
      <w:r>
        <w:rPr>
          <w:rFonts w:ascii="Arial" w:cs="Arial" w:eastAsia="Arial" w:hAnsi="Arial"/>
          <w:color w:val="2C3E50"/>
          <w:sz w:val="22"/>
          <w:szCs w:val="22"/>
        </w:rPr>
        <w:t xml:space="preserve">Bootstrap 95% CI on full sample: [+3%, +63%] — the lower bound is within striking distance of zero</w:t>
      </w:r>
    </w:p>
    <w:p>
      <w:pPr>
        <w:spacing w:after="120"/>
      </w:pPr>
      <w:r>
        <w:rPr>
          <w:rFonts w:ascii="Arial" w:cs="Arial" w:eastAsia="Arial" w:hAnsi="Arial"/>
          <w:color w:val="2C3E50"/>
          <w:sz w:val="22"/>
          <w:szCs w:val="22"/>
        </w:rPr>
        <w:t xml:space="preserve">The edge exists but is entirely carried by &lt;3% of the sample. A 2% position-size policy against a segment this tail-driven will produce 15+ losers before encountering a moonshot, which tests risk discipline severely.</w:t>
      </w:r>
    </w:p>
    <w:p>
      <w:pPr>
        <w:spacing w:after="120"/>
      </w:pPr>
      <w:r>
        <w:rPr>
          <w:rFonts w:ascii="Arial" w:cs="Arial" w:eastAsia="Arial" w:hAnsi="Arial"/>
          <w:b/>
          <w:bCs/>
          <w:color w:val="1F6B3B"/>
          <w:sz w:val="22"/>
          <w:szCs w:val="22"/>
        </w:rPr>
        <w:t xml:space="preserve">Fix (v1.2): </w:t>
      </w:r>
      <w:r>
        <w:rPr>
          <w:rFonts w:ascii="Arial" w:cs="Arial" w:eastAsia="Arial" w:hAnsi="Arial"/>
          <w:color w:val="2C3E50"/>
          <w:sz w:val="22"/>
          <w:szCs w:val="22"/>
        </w:rPr>
        <w:t xml:space="preserve">report PDUFA-micro edge with and without top 2/5 trades. Size positions on the without-moonshot distribution.</w:t>
      </w:r>
    </w:p>
    <w:p>
      <w:pPr>
        <w:pStyle w:val="Heading2"/>
        <w:spacing w:after="120" w:before="260"/>
      </w:pPr>
      <w:r>
        <w:rPr>
          <w:rFonts w:ascii="Arial" w:cs="Arial" w:eastAsia="Arial" w:hAnsi="Arial"/>
          <w:b/>
          <w:bCs/>
          <w:color w:val="2E5C8A"/>
          <w:sz w:val="26"/>
          <w:szCs w:val="26"/>
        </w:rPr>
        <w:t xml:space="preserve">#5 — IV Parsing Broken on Exit (Execution)</w:t>
      </w:r>
    </w:p>
    <w:p>
      <w:pPr>
        <w:spacing w:after="120"/>
      </w:pPr>
      <w:r>
        <w:rPr>
          <w:rFonts w:ascii="Arial" w:cs="Arial" w:eastAsia="Arial" w:hAnsi="Arial"/>
          <w:b/>
          <w:bCs/>
          <w:color w:val="8B4513"/>
          <w:sz w:val="22"/>
          <w:szCs w:val="22"/>
        </w:rPr>
        <w:t xml:space="preserve">Severity: </w:t>
      </w:r>
      <w:r>
        <w:rPr>
          <w:rFonts w:ascii="Arial" w:cs="Arial" w:eastAsia="Arial" w:hAnsi="Arial"/>
          <w:b/>
          <w:bCs/>
          <w:color w:val="2C3E50"/>
          <w:sz w:val="22"/>
          <w:szCs w:val="22"/>
        </w:rPr>
        <w:t xml:space="preserve">MEDIUM. Contaminates IV expansion analysis.</w:t>
      </w:r>
    </w:p>
    <w:p>
      <w:pPr>
        <w:spacing w:after="120"/>
      </w:pPr>
      <w:r>
        <w:rPr>
          <w:rFonts w:ascii="Arial" w:cs="Arial" w:eastAsia="Arial" w:hAnsi="Arial"/>
          <w:color w:val="2C3E50"/>
          <w:sz w:val="22"/>
          <w:szCs w:val="22"/>
        </w:rPr>
        <w:t xml:space="preserve">The parser converts raw_iv to percentage with: iv_pct = raw_iv * 100 if raw_iv &lt; 10 else raw_iv. This breaks for exit snapshots where ORATS returns smvVol as an already-large number. 48 trades have exit_iv magnitudes above 500%, including:</w:t>
      </w:r>
    </w:p>
    <w:p>
      <w:pPr>
        <w:pStyle w:val="ListParagraph"/>
        <w:numPr>
          <w:ilvl w:val="0"/>
          <w:numId w:val="2"/>
        </w:numPr>
        <w:spacing w:after="80"/>
      </w:pPr>
      <w:r>
        <w:rPr>
          <w:rFonts w:ascii="Arial" w:cs="Arial" w:eastAsia="Arial" w:hAnsi="Arial"/>
          <w:color w:val="2C3E50"/>
          <w:sz w:val="22"/>
          <w:szCs w:val="22"/>
        </w:rPr>
        <w:t xml:space="preserve">REGN exit IV: −1.4e+23%</w:t>
      </w:r>
    </w:p>
    <w:p>
      <w:pPr>
        <w:pStyle w:val="ListParagraph"/>
        <w:numPr>
          <w:ilvl w:val="0"/>
          <w:numId w:val="2"/>
        </w:numPr>
        <w:spacing w:after="80"/>
      </w:pPr>
      <w:r>
        <w:rPr>
          <w:rFonts w:ascii="Arial" w:cs="Arial" w:eastAsia="Arial" w:hAnsi="Arial"/>
          <w:color w:val="2C3E50"/>
          <w:sz w:val="22"/>
          <w:szCs w:val="22"/>
        </w:rPr>
        <w:t xml:space="preserve">NVS exit IV: −1.2e+18%</w:t>
      </w:r>
    </w:p>
    <w:p>
      <w:pPr>
        <w:pStyle w:val="ListParagraph"/>
        <w:numPr>
          <w:ilvl w:val="0"/>
          <w:numId w:val="2"/>
        </w:numPr>
        <w:spacing w:after="80"/>
      </w:pPr>
      <w:r>
        <w:rPr>
          <w:rFonts w:ascii="Arial" w:cs="Arial" w:eastAsia="Arial" w:hAnsi="Arial"/>
          <w:color w:val="2C3E50"/>
          <w:sz w:val="22"/>
          <w:szCs w:val="22"/>
        </w:rPr>
        <w:t xml:space="preserve">Multiple large caps with exit IV in the 10^8 to 10^14 range</w:t>
      </w:r>
    </w:p>
    <w:p>
      <w:pPr>
        <w:spacing w:after="120"/>
      </w:pPr>
      <w:r>
        <w:rPr>
          <w:rFonts w:ascii="Arial" w:cs="Arial" w:eastAsia="Arial" w:hAnsi="Arial"/>
          <w:color w:val="2C3E50"/>
          <w:sz w:val="22"/>
          <w:szCs w:val="22"/>
        </w:rPr>
        <w:t xml:space="preserve">The ±500% cap documented in the code comments is not actually applied. This silently corrupts IV_change_pct computations, the IV expansion curve builder, and any vega-decomposition of option P&amp;L.</w:t>
      </w:r>
    </w:p>
    <w:p>
      <w:pPr>
        <w:spacing w:after="120"/>
      </w:pPr>
      <w:r>
        <w:rPr>
          <w:rFonts w:ascii="Arial" w:cs="Arial" w:eastAsia="Arial" w:hAnsi="Arial"/>
          <w:b/>
          <w:bCs/>
          <w:color w:val="1F6B3B"/>
          <w:sz w:val="22"/>
          <w:szCs w:val="22"/>
        </w:rPr>
        <w:t xml:space="preserve">Fix (v1.2): </w:t>
      </w:r>
      <w:r>
        <w:rPr>
          <w:rFonts w:ascii="Arial" w:cs="Arial" w:eastAsia="Arial" w:hAnsi="Arial"/>
          <w:color w:val="2C3E50"/>
          <w:sz w:val="22"/>
          <w:szCs w:val="22"/>
        </w:rPr>
        <w:t xml:space="preserve">apply hard cap in parser: if not (0.01 &lt; iv_pct &lt; 500): skip. Log and audit every skip. Re-validate the IV expansion curve dataset after fix.</w:t>
      </w:r>
    </w:p>
    <w:p>
      <w:pPr>
        <w:pStyle w:val="Heading2"/>
        <w:spacing w:after="120" w:before="260"/>
      </w:pPr>
      <w:r>
        <w:rPr>
          <w:rFonts w:ascii="Arial" w:cs="Arial" w:eastAsia="Arial" w:hAnsi="Arial"/>
          <w:b/>
          <w:bCs/>
          <w:color w:val="2E5C8A"/>
          <w:sz w:val="26"/>
          <w:szCs w:val="26"/>
        </w:rPr>
        <w:t xml:space="preserve">#6 — Survivorship Bias in Chain Filter (Data)</w:t>
      </w:r>
    </w:p>
    <w:p>
      <w:pPr>
        <w:spacing w:after="120"/>
      </w:pPr>
      <w:r>
        <w:rPr>
          <w:rFonts w:ascii="Arial" w:cs="Arial" w:eastAsia="Arial" w:hAnsi="Arial"/>
          <w:b/>
          <w:bCs/>
          <w:color w:val="8B4513"/>
          <w:sz w:val="22"/>
          <w:szCs w:val="22"/>
        </w:rPr>
        <w:t xml:space="preserve">Severity: </w:t>
      </w:r>
      <w:r>
        <w:rPr>
          <w:rFonts w:ascii="Arial" w:cs="Arial" w:eastAsia="Arial" w:hAnsi="Arial"/>
          <w:b/>
          <w:bCs/>
          <w:color w:val="2C3E50"/>
          <w:sz w:val="22"/>
          <w:szCs w:val="22"/>
        </w:rPr>
        <w:t xml:space="preserve">MEDIUM. Likely 15–25% under-reported loss rate.</w:t>
      </w:r>
    </w:p>
    <w:p>
      <w:pPr>
        <w:spacing w:after="120"/>
      </w:pPr>
      <w:r>
        <w:rPr>
          <w:rFonts w:ascii="Arial" w:cs="Arial" w:eastAsia="Arial" w:hAnsi="Arial"/>
          <w:color w:val="2C3E50"/>
          <w:sz w:val="22"/>
          <w:szCs w:val="22"/>
        </w:rPr>
        <w:t xml:space="preserve">find_atm_call() excludes strikes with spread_pct &gt; 55%. This is a liquidity guardrail in live trading but in a backtest it systematically removes the most illiquid biotech options — which overwhelmingly cluster around smaller, more volatile tickers that would otherwise have fed the losing tail.</w:t>
      </w:r>
    </w:p>
    <w:p>
      <w:pPr>
        <w:spacing w:after="120"/>
      </w:pPr>
      <w:r>
        <w:rPr>
          <w:rFonts w:ascii="Arial" w:cs="Arial" w:eastAsia="Arial" w:hAnsi="Arial"/>
          <w:color w:val="2C3E50"/>
          <w:sz w:val="22"/>
          <w:szCs w:val="22"/>
        </w:rPr>
        <w:t xml:space="preserve">Separately, nano-cap tickers (&lt;$50M market cap) are entirely excluded from the options backtest. Nano-cap PDUFAs have the widest spreads in the universe, so their exclusion shifts both the mean return and the spread-drag assumption downward.</w:t>
      </w:r>
    </w:p>
    <w:p>
      <w:pPr>
        <w:spacing w:after="120"/>
      </w:pPr>
      <w:r>
        <w:rPr>
          <w:rFonts w:ascii="Arial" w:cs="Arial" w:eastAsia="Arial" w:hAnsi="Arial"/>
          <w:b/>
          <w:bCs/>
          <w:color w:val="1F6B3B"/>
          <w:sz w:val="22"/>
          <w:szCs w:val="22"/>
        </w:rPr>
        <w:t xml:space="preserve">Fix (v1.2): </w:t>
      </w:r>
      <w:r>
        <w:rPr>
          <w:rFonts w:ascii="Arial" w:cs="Arial" w:eastAsia="Arial" w:hAnsi="Arial"/>
          <w:color w:val="2C3E50"/>
          <w:sz w:val="22"/>
          <w:szCs w:val="22"/>
        </w:rPr>
        <w:t xml:space="preserve">run a shadow backtest that includes spread&gt;55% chains with a punitive fill assumption (e.g., MID minus 40% of spread) and compare segment returns. Add a separate nano-cap options column clearly flagged as illiquid.</w:t>
      </w:r>
    </w:p>
    <w:p>
      <w:pPr>
        <w:pStyle w:val="Heading2"/>
        <w:spacing w:after="120" w:before="260"/>
      </w:pPr>
      <w:r>
        <w:rPr>
          <w:rFonts w:ascii="Arial" w:cs="Arial" w:eastAsia="Arial" w:hAnsi="Arial"/>
          <w:b/>
          <w:bCs/>
          <w:color w:val="2E5C8A"/>
          <w:sz w:val="26"/>
          <w:szCs w:val="26"/>
        </w:rPr>
        <w:t xml:space="preserve">#7 — Advertised Strategy Does Not Beat Zero (Statistical)</w:t>
      </w:r>
    </w:p>
    <w:p>
      <w:pPr>
        <w:spacing w:after="120"/>
      </w:pPr>
      <w:r>
        <w:rPr>
          <w:rFonts w:ascii="Arial" w:cs="Arial" w:eastAsia="Arial" w:hAnsi="Arial"/>
          <w:b/>
          <w:bCs/>
          <w:color w:val="A02525"/>
          <w:sz w:val="22"/>
          <w:szCs w:val="22"/>
        </w:rPr>
        <w:t xml:space="preserve">Severity: </w:t>
      </w:r>
      <w:r>
        <w:rPr>
          <w:rFonts w:ascii="Arial" w:cs="Arial" w:eastAsia="Arial" w:hAnsi="Arial"/>
          <w:b/>
          <w:bCs/>
          <w:color w:val="2C3E50"/>
          <w:sz w:val="22"/>
          <w:szCs w:val="22"/>
        </w:rPr>
        <w:t xml:space="preserve">CRITICAL. This is the strategy on the playbook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34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Announced</w:t>
            </w:r>
          </w:p>
        </w:tc>
        <w:tc>
          <w:tcPr>
            <w:tcW w:type="dxa" w:w="234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Honest (MID)</w:t>
            </w:r>
          </w:p>
        </w:tc>
        <w:tc>
          <w:tcPr>
            <w:tcW w:type="dxa" w:w="234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Honest (40% spread)</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Avg return</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+6.4%</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A02525"/>
                <w:sz w:val="20"/>
                <w:szCs w:val="20"/>
              </w:rPr>
              <w:t xml:space="preserve">−2.7%</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A02525"/>
                <w:sz w:val="20"/>
                <w:szCs w:val="20"/>
              </w:rPr>
              <w:t xml:space="preserve">−7.9%</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Win rate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39.6%</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40.2%</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35.1%</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n</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154</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97</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97</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95% CI</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not published</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[−13.5%, +10.3%]</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[−18.9%, +3.4%]</w:t>
            </w:r>
          </w:p>
        </w:tc>
      </w:tr>
    </w:tbl>
    <w:p>
      <w:pPr>
        <w:spacing w:after="80"/>
      </w:pPr>
      <w:r>
        <w:rPr>
          <w:rFonts w:ascii="Arial" w:cs="Arial" w:eastAsia="Arial" w:hAnsi="Arial"/>
          <w:color w:val="2C3E50"/>
          <w:sz w:val="22"/>
          <w:szCs w:val="22"/>
        </w:rPr>
        <w:t xml:space="preserve"/>
      </w:r>
    </w:p>
    <w:p>
      <w:pPr>
        <w:spacing w:after="120"/>
      </w:pPr>
      <w:r>
        <w:rPr>
          <w:rFonts w:ascii="Arial" w:cs="Arial" w:eastAsia="Arial" w:hAnsi="Arial"/>
          <w:color w:val="2C3E50"/>
          <w:sz w:val="22"/>
          <w:szCs w:val="22"/>
        </w:rPr>
        <w:t xml:space="preserve">The announced +6.4% was computed on the un-DTE-matched sample, which is structurally overstated by ~9 percentage points because of the weekly-exit bug. On a DTE-matched sample with MID fill the strategy is −2.7% with a 95% bootstrap CI that straddles zero. At a realistic 40% spread capture it is −7.9%.</w:t>
      </w:r>
    </w:p>
    <w:p>
      <w:pPr>
        <w:spacing w:after="120"/>
      </w:pPr>
      <w:r>
        <w:rPr>
          <w:rFonts w:ascii="Arial" w:cs="Arial" w:eastAsia="Arial" w:hAnsi="Arial"/>
          <w:b/>
          <w:bCs/>
          <w:color w:val="1F6B3B"/>
          <w:sz w:val="22"/>
          <w:szCs w:val="22"/>
        </w:rPr>
        <w:t xml:space="preserve">Fix (v1.2): </w:t>
      </w:r>
      <w:r>
        <w:rPr>
          <w:rFonts w:ascii="Arial" w:cs="Arial" w:eastAsia="Arial" w:hAnsi="Arial"/>
          <w:color w:val="2C3E50"/>
          <w:sz w:val="22"/>
          <w:szCs w:val="22"/>
        </w:rPr>
        <w:t xml:space="preserve">pull the strategy from the playbook until v1.2 DTE-matched backtest confirms or rejects. Never publish options numbers without a bootstrap CI from here on.</w:t>
      </w:r>
    </w:p>
    <w:p>
      <w:pPr>
        <w:pStyle w:val="Heading2"/>
        <w:spacing w:after="120" w:before="260"/>
      </w:pPr>
      <w:r>
        <w:rPr>
          <w:rFonts w:ascii="Arial" w:cs="Arial" w:eastAsia="Arial" w:hAnsi="Arial"/>
          <w:b/>
          <w:bCs/>
          <w:color w:val="2E5C8A"/>
          <w:sz w:val="26"/>
          <w:szCs w:val="26"/>
        </w:rPr>
        <w:t xml:space="preserve">#8 — Spread Drag by Cap Tier Understated (Execution)</w:t>
      </w:r>
    </w:p>
    <w:p>
      <w:pPr>
        <w:spacing w:after="120"/>
      </w:pPr>
      <w:r>
        <w:rPr>
          <w:rFonts w:ascii="Arial" w:cs="Arial" w:eastAsia="Arial" w:hAnsi="Arial"/>
          <w:color w:val="2C3E50"/>
          <w:sz w:val="22"/>
          <w:szCs w:val="22"/>
        </w:rPr>
        <w:t xml:space="preserve">The MID-fill assumption implicitly assumes you cross half the spread. In practice, small-cap biotech options fills at 30–40% spread capture are typical for a paced limit order, and worse for urgency. Drag by 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 tier</w:t>
            </w:r>
          </w:p>
        </w:tc>
        <w:tc>
          <w:tcPr>
            <w:tcW w:type="dxa" w:w="234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entry spread</w:t>
            </w:r>
          </w:p>
        </w:tc>
        <w:tc>
          <w:tcPr>
            <w:tcW w:type="dxa" w:w="234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MID vs 40%-capture drag</w:t>
            </w:r>
          </w:p>
        </w:tc>
        <w:tc>
          <w:tcPr>
            <w:tcW w:type="dxa" w:w="234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Realistic return hit</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Micro</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28.1%</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~5.6 pp</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heavy</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Small</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13.4%</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~2.7 pp</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moderate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Mid</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8.2%</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~1.6 pp</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manageable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Large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4.9%</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~1.0 pp</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light</w:t>
            </w:r>
          </w:p>
        </w:tc>
      </w:tr>
    </w:tbl>
    <w:p>
      <w:pPr>
        <w:spacing w:after="80"/>
      </w:pPr>
      <w:r>
        <w:rPr>
          <w:rFonts w:ascii="Arial" w:cs="Arial" w:eastAsia="Arial" w:hAnsi="Arial"/>
          <w:color w:val="2C3E50"/>
          <w:sz w:val="22"/>
          <w:szCs w:val="22"/>
        </w:rPr>
        <w:t xml:space="preserve"/>
      </w:r>
    </w:p>
    <w:p>
      <w:pPr>
        <w:spacing w:after="120"/>
      </w:pPr>
      <w:r>
        <w:rPr>
          <w:rFonts w:ascii="Arial" w:cs="Arial" w:eastAsia="Arial" w:hAnsi="Arial"/>
          <w:color w:val="2C3E50"/>
          <w:sz w:val="22"/>
          <w:szCs w:val="22"/>
        </w:rPr>
        <w:t xml:space="preserve">The small/mid-cap segments — which the announced strategy targets — eat a combined ~2.7 pp of return per round trip. For a strategy whose honest MID return is −2.7%, that is the difference between a coin flip and a consistent loser.</w:t>
      </w:r>
    </w:p>
    <w:p>
      <w:pPr>
        <w:pStyle w:val="Heading2"/>
        <w:spacing w:after="120" w:before="260"/>
      </w:pPr>
      <w:r>
        <w:rPr>
          <w:rFonts w:ascii="Arial" w:cs="Arial" w:eastAsia="Arial" w:hAnsi="Arial"/>
          <w:b/>
          <w:bCs/>
          <w:color w:val="2E5C8A"/>
          <w:sz w:val="26"/>
          <w:szCs w:val="26"/>
        </w:rPr>
        <w:t xml:space="preserve">#9 — Sample Sizes Too Small for Published Segment Granularity (Statistical)</w:t>
      </w:r>
    </w:p>
    <w:p>
      <w:pPr>
        <w:spacing w:after="120"/>
      </w:pPr>
      <w:r>
        <w:rPr>
          <w:rFonts w:ascii="Arial" w:cs="Arial" w:eastAsia="Arial" w:hAnsi="Arial"/>
          <w:color w:val="2C3E50"/>
          <w:sz w:val="22"/>
          <w:szCs w:val="22"/>
        </w:rPr>
        <w:t xml:space="preserve">Of 32 cap × phase × outcome sub-segments reported in the playbook, 16 have n &lt; 20 in the DTE-matched subset. The standard error on a 20-trade segment with typical biotech options volatility (sd ≈ 60% return) is ~13 percentage points. Any difference below that between segments is noise.</w:t>
      </w:r>
    </w:p>
    <w:p>
      <w:pPr>
        <w:spacing w:after="120"/>
      </w:pPr>
      <w:r>
        <w:rPr>
          <w:rFonts w:ascii="Arial" w:cs="Arial" w:eastAsia="Arial" w:hAnsi="Arial"/>
          <w:b/>
          <w:bCs/>
          <w:color w:val="1F6B3B"/>
          <w:sz w:val="22"/>
          <w:szCs w:val="22"/>
        </w:rPr>
        <w:t xml:space="preserve">Fix (v1.2): </w:t>
      </w:r>
      <w:r>
        <w:rPr>
          <w:rFonts w:ascii="Arial" w:cs="Arial" w:eastAsia="Arial" w:hAnsi="Arial"/>
          <w:color w:val="2C3E50"/>
          <w:sz w:val="22"/>
          <w:szCs w:val="22"/>
        </w:rPr>
        <w:t xml:space="preserve">drop any segment with n &lt; 30 from live allocation. Pool adjacent segments when sample is thin (e.g., combine Small+Mid PDUFA Approve instead of publishing separately).</w:t>
      </w:r>
    </w:p>
    <w:p>
      <w:pPr>
        <w:pStyle w:val="Heading2"/>
        <w:spacing w:after="120" w:before="260"/>
      </w:pPr>
      <w:r>
        <w:rPr>
          <w:rFonts w:ascii="Arial" w:cs="Arial" w:eastAsia="Arial" w:hAnsi="Arial"/>
          <w:b/>
          <w:bCs/>
          <w:color w:val="2E5C8A"/>
          <w:sz w:val="26"/>
          <w:szCs w:val="26"/>
        </w:rPr>
        <w:t xml:space="preserve">#10 — IV Expansion Signal Muddy on PDUFAs (Data)</w:t>
      </w:r>
    </w:p>
    <w:p>
      <w:pPr>
        <w:spacing w:after="120"/>
      </w:pPr>
      <w:r>
        <w:rPr>
          <w:rFonts w:ascii="Arial" w:cs="Arial" w:eastAsia="Arial" w:hAnsi="Arial"/>
          <w:color w:val="2C3E50"/>
          <w:sz w:val="22"/>
          <w:szCs w:val="22"/>
        </w:rPr>
        <w:t xml:space="preserve">CLAUDE.md's IV Expansion Curve Playbook reports +24.1% average IV expansion T-14 → T-1, but this average is driven by small-cap binaries (+30.5%), not the large caps the strategy was tested against (+31.5% reported but heavily influenced by the broken IV parsing in finding #5). After correcting the exit IV outliers, the large-cap expansion drops to ~18%, bringing the cross-cap range into much tighter alignment with the v1.1 results — meaning the IV-expansion thesis itself needs to be re-stated carefully.</w:t>
      </w:r>
    </w:p>
    <w:p>
      <w:pPr>
        <w:spacing w:after="120"/>
      </w:pPr>
      <w:r>
        <w:rPr>
          <w:rFonts w:ascii="Arial" w:cs="Arial" w:eastAsia="Arial" w:hAnsi="Arial"/>
          <w:b/>
          <w:bCs/>
          <w:color w:val="1F6B3B"/>
          <w:sz w:val="22"/>
          <w:szCs w:val="22"/>
        </w:rPr>
        <w:t xml:space="preserve">Fix (v1.2): </w:t>
      </w:r>
      <w:r>
        <w:rPr>
          <w:rFonts w:ascii="Arial" w:cs="Arial" w:eastAsia="Arial" w:hAnsi="Arial"/>
          <w:color w:val="2C3E50"/>
          <w:sz w:val="22"/>
          <w:szCs w:val="22"/>
        </w:rPr>
        <w:t xml:space="preserve">rerun iv_expansion_curve_builder.py with the IV cap applied. Publish per-cap IV expansion means with CIs, not just point estimates.</w:t>
      </w:r>
    </w:p>
    <w:p>
      <w:r>
        <w:br w:type="page"/>
      </w:r>
    </w:p>
    <w:p>
      <w:pPr>
        <w:pStyle w:val="Heading1"/>
        <w:spacing w:after="160" w:before="320"/>
      </w:pPr>
      <w:r>
        <w:rPr>
          <w:rFonts w:ascii="Arial" w:cs="Arial" w:eastAsia="Arial" w:hAnsi="Arial"/>
          <w:b/>
          <w:bCs/>
          <w:color w:val="2E5C8A"/>
          <w:sz w:val="32"/>
          <w:szCs w:val="32"/>
        </w:rPr>
        <w:t xml:space="preserve">4. Honest Segment Returns (DTE-Matched)</w:t>
      </w:r>
    </w:p>
    <w:p>
      <w:pPr>
        <w:spacing w:after="120"/>
      </w:pPr>
      <w:r>
        <w:rPr>
          <w:rFonts w:ascii="Arial" w:cs="Arial" w:eastAsia="Arial" w:hAnsi="Arial"/>
          <w:color w:val="2C3E50"/>
          <w:sz w:val="22"/>
          <w:szCs w:val="22"/>
        </w:rPr>
        <w:t xml:space="preserve">All numbers below use the 830-trade DTE-matched subset (entry_dte − exit_dte in 13 ± 2 range, exit_dte ≥ 3). Bootstrap CIs use n_boot=2000, seed=42.</w:t>
      </w:r>
    </w:p>
    <w:p>
      <w:pPr>
        <w:pStyle w:val="Heading2"/>
        <w:spacing w:after="120" w:before="260"/>
      </w:pPr>
      <w:r>
        <w:rPr>
          <w:rFonts w:ascii="Arial" w:cs="Arial" w:eastAsia="Arial" w:hAnsi="Arial"/>
          <w:b/>
          <w:bCs/>
          <w:color w:val="2E5C8A"/>
          <w:sz w:val="26"/>
          <w:szCs w:val="26"/>
        </w:rPr>
        <w:t xml:space="preserve">PDUFA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40"/>
        <w:gridCol w:w="1560"/>
        <w:gridCol w:w="2080"/>
        <w:gridCol w:w="1040"/>
        <w:gridCol w:w="2080"/>
      </w:tblGrid>
      <w:tr>
        <w:trPr>
          <w:tblHeader/>
        </w:trPr>
        <w:tc>
          <w:tcPr>
            <w:tcW w:type="dxa" w:w="156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 tier</w:t>
            </w:r>
          </w:p>
        </w:tc>
        <w:tc>
          <w:tcPr>
            <w:tcW w:type="dxa" w:w="104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156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MID avg</w:t>
            </w:r>
          </w:p>
        </w:tc>
        <w:tc>
          <w:tcPr>
            <w:tcW w:type="dxa" w:w="208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95% CI</w:t>
            </w:r>
          </w:p>
        </w:tc>
        <w:tc>
          <w:tcPr>
            <w:tcW w:type="dxa" w:w="104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Win %</w:t>
            </w:r>
          </w:p>
        </w:tc>
        <w:tc>
          <w:tcPr>
            <w:tcW w:type="dxa" w:w="208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40%-capture avg</w:t>
            </w:r>
          </w:p>
        </w:tc>
      </w:tr>
      <w:tr>
        <w:tc>
          <w:tcPr>
            <w:tcW w:type="dxa" w:w="1560"/>
            <w:tcBorders>
              <w:top w:val="single" w:color="CCCCCC" w:sz="4"/>
              <w:left w:val="single" w:color="CCCCCC" w:sz="4"/>
              <w:bottom w:val="single" w:color="CCCCCC" w:sz="4"/>
              <w:right w:val="single" w:color="CCCCCC" w:sz="4"/>
            </w:tcBorders>
            <w:shd w:fill="E4F2E8" w:color="auto"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Micro</w:t>
            </w:r>
          </w:p>
        </w:tc>
        <w:tc>
          <w:tcPr>
            <w:tcW w:type="dxa" w:w="1040"/>
            <w:tcBorders>
              <w:top w:val="single" w:color="CCCCCC" w:sz="4"/>
              <w:left w:val="single" w:color="CCCCCC" w:sz="4"/>
              <w:bottom w:val="single" w:color="CCCCCC" w:sz="4"/>
              <w:right w:val="single" w:color="CCCCCC" w:sz="4"/>
            </w:tcBorders>
            <w:shd w:fill="E4F2E8"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67</w:t>
            </w:r>
          </w:p>
        </w:tc>
        <w:tc>
          <w:tcPr>
            <w:tcW w:type="dxa" w:w="1560"/>
            <w:tcBorders>
              <w:top w:val="single" w:color="CCCCCC" w:sz="4"/>
              <w:left w:val="single" w:color="CCCCCC" w:sz="4"/>
              <w:bottom w:val="single" w:color="CCCCCC" w:sz="4"/>
              <w:right w:val="single" w:color="CCCCCC" w:sz="4"/>
            </w:tcBorders>
            <w:shd w:fill="E4F2E8" w:color="auto"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+30.5%</w:t>
            </w:r>
          </w:p>
        </w:tc>
        <w:tc>
          <w:tcPr>
            <w:tcW w:type="dxa" w:w="2080"/>
            <w:tcBorders>
              <w:top w:val="single" w:color="CCCCCC" w:sz="4"/>
              <w:left w:val="single" w:color="CCCCCC" w:sz="4"/>
              <w:bottom w:val="single" w:color="CCCCCC" w:sz="4"/>
              <w:right w:val="single" w:color="CCCCCC" w:sz="4"/>
            </w:tcBorders>
            <w:shd w:fill="E4F2E8"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[+3%, +63%]</w:t>
            </w:r>
          </w:p>
        </w:tc>
        <w:tc>
          <w:tcPr>
            <w:tcW w:type="dxa" w:w="1040"/>
            <w:tcBorders>
              <w:top w:val="single" w:color="CCCCCC" w:sz="4"/>
              <w:left w:val="single" w:color="CCCCCC" w:sz="4"/>
              <w:bottom w:val="single" w:color="CCCCCC" w:sz="4"/>
              <w:right w:val="single" w:color="CCCCCC" w:sz="4"/>
            </w:tcBorders>
            <w:shd w:fill="E4F2E8"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47.8%</w:t>
            </w:r>
          </w:p>
        </w:tc>
        <w:tc>
          <w:tcPr>
            <w:tcW w:type="dxa" w:w="2080"/>
            <w:tcBorders>
              <w:top w:val="single" w:color="CCCCCC" w:sz="4"/>
              <w:left w:val="single" w:color="CCCCCC" w:sz="4"/>
              <w:bottom w:val="single" w:color="CCCCCC" w:sz="4"/>
              <w:right w:val="single" w:color="CCCCCC" w:sz="4"/>
            </w:tcBorders>
            <w:shd w:fill="E4F2E8"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+22.8%</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Small</w:t>
            </w:r>
          </w:p>
        </w:tc>
        <w:tc>
          <w:tcPr>
            <w:tcW w:type="dxa" w:w="1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71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+6.3%</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[−9%, +22%]</w:t>
            </w:r>
          </w:p>
        </w:tc>
        <w:tc>
          <w:tcPr>
            <w:tcW w:type="dxa" w:w="1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42.3%</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−0.6%</w:t>
            </w:r>
          </w:p>
        </w:tc>
      </w:tr>
      <w:tr>
        <w:tc>
          <w:tcPr>
            <w:tcW w:type="dxa" w:w="156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Mid</w:t>
            </w:r>
          </w:p>
        </w:tc>
        <w:tc>
          <w:tcPr>
            <w:tcW w:type="dxa" w:w="104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75</w:t>
            </w:r>
          </w:p>
        </w:tc>
        <w:tc>
          <w:tcPr>
            <w:tcW w:type="dxa" w:w="156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−9.9%</w:t>
            </w:r>
          </w:p>
        </w:tc>
        <w:tc>
          <w:tcPr>
            <w:tcW w:type="dxa" w:w="208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[−23%, +4%]</w:t>
            </w:r>
          </w:p>
        </w:tc>
        <w:tc>
          <w:tcPr>
            <w:tcW w:type="dxa" w:w="104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34.7%</w:t>
            </w:r>
          </w:p>
        </w:tc>
        <w:tc>
          <w:tcPr>
            <w:tcW w:type="dxa" w:w="208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−14.7%</w:t>
            </w:r>
          </w:p>
        </w:tc>
      </w:tr>
      <w:tr>
        <w:tc>
          <w:tcPr>
            <w:tcW w:type="dxa" w:w="156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Large</w:t>
            </w:r>
          </w:p>
        </w:tc>
        <w:tc>
          <w:tcPr>
            <w:tcW w:type="dxa" w:w="104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122</w:t>
            </w:r>
          </w:p>
        </w:tc>
        <w:tc>
          <w:tcPr>
            <w:tcW w:type="dxa" w:w="156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−17.6%</w:t>
            </w:r>
          </w:p>
        </w:tc>
        <w:tc>
          <w:tcPr>
            <w:tcW w:type="dxa" w:w="208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[−37%, +1%]</w:t>
            </w:r>
          </w:p>
        </w:tc>
        <w:tc>
          <w:tcPr>
            <w:tcW w:type="dxa" w:w="104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25.4%</w:t>
            </w:r>
          </w:p>
        </w:tc>
        <w:tc>
          <w:tcPr>
            <w:tcW w:type="dxa" w:w="208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−19.5%</w:t>
            </w:r>
          </w:p>
        </w:tc>
      </w:tr>
    </w:tbl>
    <w:p>
      <w:pPr>
        <w:spacing w:after="120"/>
      </w:pPr>
      <w:r>
        <w:rPr>
          <w:rFonts w:ascii="Arial" w:cs="Arial" w:eastAsia="Arial" w:hAnsi="Arial"/>
          <w:color w:val="2C3E50"/>
          <w:sz w:val="22"/>
          <w:szCs w:val="22"/>
        </w:rPr>
        <w:t xml:space="preserve"/>
      </w:r>
    </w:p>
    <w:p>
      <w:pPr>
        <w:spacing w:after="120"/>
      </w:pPr>
      <w:r>
        <w:rPr>
          <w:rFonts w:ascii="Arial" w:cs="Arial" w:eastAsia="Arial" w:hAnsi="Arial"/>
          <w:color w:val="2C3E50"/>
          <w:sz w:val="22"/>
          <w:szCs w:val="22"/>
        </w:rPr>
        <w:t xml:space="preserve">Note: PDUFA micro is the only positive segment and even it is tail-driven (Finding #4). Without top 5 trades: avg +1.4%, median −4%.</w:t>
      </w:r>
    </w:p>
    <w:p>
      <w:pPr>
        <w:pStyle w:val="Heading2"/>
        <w:spacing w:after="120" w:before="260"/>
      </w:pPr>
      <w:r>
        <w:rPr>
          <w:rFonts w:ascii="Arial" w:cs="Arial" w:eastAsia="Arial" w:hAnsi="Arial"/>
          <w:b/>
          <w:bCs/>
          <w:color w:val="2E5C8A"/>
          <w:sz w:val="26"/>
          <w:szCs w:val="26"/>
        </w:rPr>
        <w:t xml:space="preserve">Readout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040"/>
        <w:gridCol w:w="1560"/>
        <w:gridCol w:w="2080"/>
        <w:gridCol w:w="1040"/>
        <w:gridCol w:w="1770"/>
      </w:tblGrid>
      <w:tr>
        <w:trPr>
          <w:tblHeader/>
        </w:trPr>
        <w:tc>
          <w:tcPr>
            <w:tcW w:type="dxa" w:w="187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04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156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MID avg</w:t>
            </w:r>
          </w:p>
        </w:tc>
        <w:tc>
          <w:tcPr>
            <w:tcW w:type="dxa" w:w="208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95% CI</w:t>
            </w:r>
          </w:p>
        </w:tc>
        <w:tc>
          <w:tcPr>
            <w:tcW w:type="dxa" w:w="104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Win %</w:t>
            </w:r>
          </w:p>
        </w:tc>
        <w:tc>
          <w:tcPr>
            <w:tcW w:type="dxa" w:w="1770"/>
            <w:tcBorders>
              <w:top w:val="single" w:color="CCCCCC" w:sz="4"/>
              <w:left w:val="single" w:color="CCCCCC" w:sz="4"/>
              <w:bottom w:val="single" w:color="CCCCCC" w:sz="4"/>
              <w:right w:val="single" w:color="CCCCCC" w:sz="4"/>
            </w:tcBorders>
            <w:shd w:fill="2E5C8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Robust?</w:t>
            </w:r>
          </w:p>
        </w:tc>
      </w:tr>
      <w:tr>
        <w:tc>
          <w:tcPr>
            <w:tcW w:type="dxa" w:w="1870"/>
            <w:tcBorders>
              <w:top w:val="single" w:color="CCCCCC" w:sz="4"/>
              <w:left w:val="single" w:color="CCCCCC" w:sz="4"/>
              <w:bottom w:val="single" w:color="CCCCCC" w:sz="4"/>
              <w:right w:val="single" w:color="CCCCCC" w:sz="4"/>
            </w:tcBorders>
            <w:shd w:fill="E4F2E8" w:color="auto"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Phase 1 / 1/2</w:t>
            </w:r>
          </w:p>
        </w:tc>
        <w:tc>
          <w:tcPr>
            <w:tcW w:type="dxa" w:w="1040"/>
            <w:tcBorders>
              <w:top w:val="single" w:color="CCCCCC" w:sz="4"/>
              <w:left w:val="single" w:color="CCCCCC" w:sz="4"/>
              <w:bottom w:val="single" w:color="CCCCCC" w:sz="4"/>
              <w:right w:val="single" w:color="CCCCCC" w:sz="4"/>
            </w:tcBorders>
            <w:shd w:fill="E4F2E8"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39</w:t>
            </w:r>
          </w:p>
        </w:tc>
        <w:tc>
          <w:tcPr>
            <w:tcW w:type="dxa" w:w="1560"/>
            <w:tcBorders>
              <w:top w:val="single" w:color="CCCCCC" w:sz="4"/>
              <w:left w:val="single" w:color="CCCCCC" w:sz="4"/>
              <w:bottom w:val="single" w:color="CCCCCC" w:sz="4"/>
              <w:right w:val="single" w:color="CCCCCC" w:sz="4"/>
            </w:tcBorders>
            <w:shd w:fill="E4F2E8" w:color="auto"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+45.0%</w:t>
            </w:r>
          </w:p>
        </w:tc>
        <w:tc>
          <w:tcPr>
            <w:tcW w:type="dxa" w:w="2080"/>
            <w:tcBorders>
              <w:top w:val="single" w:color="CCCCCC" w:sz="4"/>
              <w:left w:val="single" w:color="CCCCCC" w:sz="4"/>
              <w:bottom w:val="single" w:color="CCCCCC" w:sz="4"/>
              <w:right w:val="single" w:color="CCCCCC" w:sz="4"/>
            </w:tcBorders>
            <w:shd w:fill="E4F2E8"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[+15%, +80%]</w:t>
            </w:r>
          </w:p>
        </w:tc>
        <w:tc>
          <w:tcPr>
            <w:tcW w:type="dxa" w:w="1040"/>
            <w:tcBorders>
              <w:top w:val="single" w:color="CCCCCC" w:sz="4"/>
              <w:left w:val="single" w:color="CCCCCC" w:sz="4"/>
              <w:bottom w:val="single" w:color="CCCCCC" w:sz="4"/>
              <w:right w:val="single" w:color="CCCCCC" w:sz="4"/>
            </w:tcBorders>
            <w:shd w:fill="E4F2E8"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59.0%</w:t>
            </w:r>
          </w:p>
        </w:tc>
        <w:tc>
          <w:tcPr>
            <w:tcW w:type="dxa" w:w="1770"/>
            <w:tcBorders>
              <w:top w:val="single" w:color="CCCCCC" w:sz="4"/>
              <w:left w:val="single" w:color="CCCCCC" w:sz="4"/>
              <w:bottom w:val="single" w:color="CCCCCC" w:sz="4"/>
              <w:right w:val="single" w:color="CCCCCC" w:sz="4"/>
            </w:tcBorders>
            <w:shd w:fill="E4F2E8"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YES</w:t>
            </w:r>
          </w:p>
        </w:tc>
      </w:tr>
      <w:tr>
        <w:tc>
          <w:tcPr>
            <w:tcW w:type="dxa" w:w="187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Phase 2</w:t>
            </w:r>
          </w:p>
        </w:tc>
        <w:tc>
          <w:tcPr>
            <w:tcW w:type="dxa" w:w="1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126</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+12.8%</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[−8%, +38%]</w:t>
            </w:r>
          </w:p>
        </w:tc>
        <w:tc>
          <w:tcPr>
            <w:tcW w:type="dxa" w:w="1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39.7%</w:t>
            </w:r>
          </w:p>
        </w:tc>
        <w:tc>
          <w:tcPr>
            <w:tcW w:type="dxa" w:w="177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marginal</w:t>
            </w:r>
          </w:p>
        </w:tc>
      </w:tr>
      <w:tr>
        <w:tc>
          <w:tcPr>
            <w:tcW w:type="dxa" w:w="187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Phase 2b</w:t>
            </w:r>
          </w:p>
        </w:tc>
        <w:tc>
          <w:tcPr>
            <w:tcW w:type="dxa" w:w="104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25</w:t>
            </w:r>
          </w:p>
        </w:tc>
        <w:tc>
          <w:tcPr>
            <w:tcW w:type="dxa" w:w="156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−31.7%</w:t>
            </w:r>
          </w:p>
        </w:tc>
        <w:tc>
          <w:tcPr>
            <w:tcW w:type="dxa" w:w="208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[−50%, −11%]</w:t>
            </w:r>
          </w:p>
        </w:tc>
        <w:tc>
          <w:tcPr>
            <w:tcW w:type="dxa" w:w="104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20.0%</w:t>
            </w:r>
          </w:p>
        </w:tc>
        <w:tc>
          <w:tcPr>
            <w:tcW w:type="dxa" w:w="177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AVOID</w:t>
            </w:r>
          </w:p>
        </w:tc>
      </w:tr>
      <w:tr>
        <w:tc>
          <w:tcPr>
            <w:tcW w:type="dxa" w:w="187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Phase 3</w:t>
            </w:r>
          </w:p>
        </w:tc>
        <w:tc>
          <w:tcPr>
            <w:tcW w:type="dxa" w:w="104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220</w:t>
            </w:r>
          </w:p>
        </w:tc>
        <w:tc>
          <w:tcPr>
            <w:tcW w:type="dxa" w:w="156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−10.5%</w:t>
            </w:r>
          </w:p>
        </w:tc>
        <w:tc>
          <w:tcPr>
            <w:tcW w:type="dxa" w:w="208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[−20%, 0%]</w:t>
            </w:r>
          </w:p>
        </w:tc>
        <w:tc>
          <w:tcPr>
            <w:tcW w:type="dxa" w:w="104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35.0%</w:t>
            </w:r>
          </w:p>
        </w:tc>
        <w:tc>
          <w:tcPr>
            <w:tcW w:type="dxa" w:w="1770"/>
            <w:tcBorders>
              <w:top w:val="single" w:color="CCCCCC" w:sz="4"/>
              <w:left w:val="single" w:color="CCCCCC" w:sz="4"/>
              <w:bottom w:val="single" w:color="CCCCCC" w:sz="4"/>
              <w:right w:val="single" w:color="CCCCCC" w:sz="4"/>
            </w:tcBorders>
            <w:shd w:fill="F8E4E4" w:color="auto"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AVOID</w:t>
            </w:r>
          </w:p>
        </w:tc>
      </w:tr>
    </w:tbl>
    <w:p>
      <w:pPr>
        <w:spacing w:after="120"/>
      </w:pPr>
      <w:r>
        <w:rPr>
          <w:rFonts w:ascii="Arial" w:cs="Arial" w:eastAsia="Arial" w:hAnsi="Arial"/>
          <w:color w:val="2C3E50"/>
          <w:sz w:val="22"/>
          <w:szCs w:val="22"/>
        </w:rPr>
        <w:t xml:space="preserve"/>
      </w:r>
    </w:p>
    <w:p>
      <w:pPr>
        <w:spacing w:after="120"/>
      </w:pPr>
      <w:r>
        <w:rPr>
          <w:rFonts w:ascii="Arial" w:cs="Arial" w:eastAsia="Arial" w:hAnsi="Arial"/>
          <w:b/>
          <w:bCs/>
          <w:color w:val="1F6B3B"/>
          <w:sz w:val="22"/>
          <w:szCs w:val="22"/>
        </w:rPr>
        <w:t xml:space="preserve">Phase 1/2 positive readouts is the sole edge that survives every sensitivity test. </w:t>
      </w:r>
      <w:r>
        <w:rPr>
          <w:rFonts w:ascii="Arial" w:cs="Arial" w:eastAsia="Arial" w:hAnsi="Arial"/>
          <w:color w:val="2C3E50"/>
          <w:sz w:val="22"/>
          <w:szCs w:val="22"/>
        </w:rPr>
        <w:t xml:space="preserve">Even after removing the top 5 trades it still posts +16.4% average return. The mechanism is clean: small-cap biotech, pre-POC, options under-priced because the catalyst is not yet on institutional radars.</w:t>
      </w:r>
    </w:p>
    <w:p>
      <w:pPr>
        <w:pStyle w:val="Heading1"/>
        <w:spacing w:after="160" w:before="320"/>
      </w:pPr>
      <w:r>
        <w:rPr>
          <w:rFonts w:ascii="Arial" w:cs="Arial" w:eastAsia="Arial" w:hAnsi="Arial"/>
          <w:b/>
          <w:bCs/>
          <w:color w:val="2E5C8A"/>
          <w:sz w:val="32"/>
          <w:szCs w:val="32"/>
        </w:rPr>
        <w:t xml:space="preserve">5. v1.2 Methodology Fix Roadmap</w:t>
      </w:r>
    </w:p>
    <w:p>
      <w:pPr>
        <w:spacing w:after="120"/>
      </w:pPr>
      <w:r>
        <w:rPr>
          <w:rFonts w:ascii="Arial" w:cs="Arial" w:eastAsia="Arial" w:hAnsi="Arial"/>
          <w:color w:val="2C3E50"/>
          <w:sz w:val="22"/>
          <w:szCs w:val="22"/>
        </w:rPr>
        <w:t xml:space="preserve">Below is the minimum set of fixes required before republishing any options edge number. Ordered by impact.</w:t>
      </w:r>
    </w:p>
    <w:p>
      <w:pPr>
        <w:pStyle w:val="Heading3"/>
        <w:spacing w:after="100" w:before="200"/>
      </w:pPr>
      <w:r>
        <w:rPr>
          <w:rFonts w:ascii="Arial" w:cs="Arial" w:eastAsia="Arial" w:hAnsi="Arial"/>
          <w:b/>
          <w:bCs/>
          <w:color w:val="8B4513"/>
          <w:sz w:val="23"/>
          <w:szCs w:val="23"/>
        </w:rPr>
        <w:t xml:space="preserve">Must-ship (blocks any live allocation)</w:t>
      </w:r>
    </w:p>
    <w:p>
      <w:pPr>
        <w:pStyle w:val="ListParagraph"/>
        <w:numPr>
          <w:ilvl w:val="0"/>
          <w:numId w:val="2"/>
        </w:numPr>
        <w:spacing w:after="80"/>
      </w:pPr>
      <w:r>
        <w:rPr>
          <w:rFonts w:ascii="Arial" w:cs="Arial" w:eastAsia="Arial" w:hAnsi="Arial"/>
          <w:color w:val="2C3E50"/>
          <w:sz w:val="22"/>
          <w:szCs w:val="22"/>
        </w:rPr>
        <w:t xml:space="preserve">DTE-matched exit logic: replace break with candidate accumulator, pick DTE closest to entry_dte − 13, require exit_dte ≥ 3</w:t>
      </w:r>
    </w:p>
    <w:p>
      <w:pPr>
        <w:pStyle w:val="ListParagraph"/>
        <w:numPr>
          <w:ilvl w:val="0"/>
          <w:numId w:val="2"/>
        </w:numPr>
        <w:spacing w:after="80"/>
      </w:pPr>
      <w:r>
        <w:rPr>
          <w:rFonts w:ascii="Arial" w:cs="Arial" w:eastAsia="Arial" w:hAnsi="Arial"/>
          <w:color w:val="2C3E50"/>
          <w:sz w:val="22"/>
          <w:szCs w:val="22"/>
        </w:rPr>
        <w:t xml:space="preserve">IV parser hard cap: reject rows where parsed iv_pct not in (0.01, 500); log every rejection</w:t>
      </w:r>
    </w:p>
    <w:p>
      <w:pPr>
        <w:pStyle w:val="ListParagraph"/>
        <w:numPr>
          <w:ilvl w:val="0"/>
          <w:numId w:val="2"/>
        </w:numPr>
        <w:spacing w:after="80"/>
      </w:pPr>
      <w:r>
        <w:rPr>
          <w:rFonts w:ascii="Arial" w:cs="Arial" w:eastAsia="Arial" w:hAnsi="Arial"/>
          <w:color w:val="2C3E50"/>
          <w:sz w:val="22"/>
          <w:szCs w:val="22"/>
        </w:rPr>
        <w:t xml:space="preserve">ODIN v5 → ODIN v14 re-scoring: drop v5_tier as a filter; re-run v14 with strict T-1 snapshotting</w:t>
      </w:r>
    </w:p>
    <w:p>
      <w:pPr>
        <w:pStyle w:val="ListParagraph"/>
        <w:numPr>
          <w:ilvl w:val="0"/>
          <w:numId w:val="2"/>
        </w:numPr>
        <w:spacing w:after="80"/>
      </w:pPr>
      <w:r>
        <w:rPr>
          <w:rFonts w:ascii="Arial" w:cs="Arial" w:eastAsia="Arial" w:hAnsi="Arial"/>
          <w:color w:val="2C3E50"/>
          <w:sz w:val="22"/>
          <w:szCs w:val="22"/>
        </w:rPr>
        <w:t xml:space="preserve">Bootstrap 95% CI mandatory on every published segment</w:t>
      </w:r>
    </w:p>
    <w:p>
      <w:pPr>
        <w:pStyle w:val="ListParagraph"/>
        <w:numPr>
          <w:ilvl w:val="0"/>
          <w:numId w:val="2"/>
        </w:numPr>
        <w:spacing w:after="80"/>
      </w:pPr>
      <w:r>
        <w:rPr>
          <w:rFonts w:ascii="Arial" w:cs="Arial" w:eastAsia="Arial" w:hAnsi="Arial"/>
          <w:color w:val="2C3E50"/>
          <w:sz w:val="22"/>
          <w:szCs w:val="22"/>
        </w:rPr>
        <w:t xml:space="preserve">Drop segments with n &lt; 30 from live allocation; pool adjacent cells</w:t>
      </w:r>
    </w:p>
    <w:p>
      <w:pPr>
        <w:pStyle w:val="Heading3"/>
        <w:spacing w:after="100" w:before="200"/>
      </w:pPr>
      <w:r>
        <w:rPr>
          <w:rFonts w:ascii="Arial" w:cs="Arial" w:eastAsia="Arial" w:hAnsi="Arial"/>
          <w:b/>
          <w:bCs/>
          <w:color w:val="8B4513"/>
          <w:sz w:val="23"/>
          <w:szCs w:val="23"/>
        </w:rPr>
        <w:t xml:space="preserve">Should-ship (improves realism)</w:t>
      </w:r>
    </w:p>
    <w:p>
      <w:pPr>
        <w:pStyle w:val="ListParagraph"/>
        <w:numPr>
          <w:ilvl w:val="0"/>
          <w:numId w:val="2"/>
        </w:numPr>
        <w:spacing w:after="80"/>
      </w:pPr>
      <w:r>
        <w:rPr>
          <w:rFonts w:ascii="Arial" w:cs="Arial" w:eastAsia="Arial" w:hAnsi="Arial"/>
          <w:color w:val="2C3E50"/>
          <w:sz w:val="22"/>
          <w:szCs w:val="22"/>
        </w:rPr>
        <w:t xml:space="preserve">Spread-capture fill models: publish MID, REAL_40, REAL_25 side-by-side instead of MID alone</w:t>
      </w:r>
    </w:p>
    <w:p>
      <w:pPr>
        <w:pStyle w:val="ListParagraph"/>
        <w:numPr>
          <w:ilvl w:val="0"/>
          <w:numId w:val="2"/>
        </w:numPr>
        <w:spacing w:after="80"/>
      </w:pPr>
      <w:r>
        <w:rPr>
          <w:rFonts w:ascii="Arial" w:cs="Arial" w:eastAsia="Arial" w:hAnsi="Arial"/>
          <w:color w:val="2C3E50"/>
          <w:sz w:val="22"/>
          <w:szCs w:val="22"/>
        </w:rPr>
        <w:t xml:space="preserve">Shadow backtest including spread&gt;55% chains at punitive fill</w:t>
      </w:r>
    </w:p>
    <w:p>
      <w:pPr>
        <w:pStyle w:val="ListParagraph"/>
        <w:numPr>
          <w:ilvl w:val="0"/>
          <w:numId w:val="2"/>
        </w:numPr>
        <w:spacing w:after="80"/>
      </w:pPr>
      <w:r>
        <w:rPr>
          <w:rFonts w:ascii="Arial" w:cs="Arial" w:eastAsia="Arial" w:hAnsi="Arial"/>
          <w:color w:val="2C3E50"/>
          <w:sz w:val="22"/>
          <w:szCs w:val="22"/>
        </w:rPr>
        <w:t xml:space="preserve">Separate nano-cap options table clearly flagged as illiquid / directional-only</w:t>
      </w:r>
    </w:p>
    <w:p>
      <w:pPr>
        <w:pStyle w:val="ListParagraph"/>
        <w:numPr>
          <w:ilvl w:val="0"/>
          <w:numId w:val="2"/>
        </w:numPr>
        <w:spacing w:after="80"/>
      </w:pPr>
      <w:r>
        <w:rPr>
          <w:rFonts w:ascii="Arial" w:cs="Arial" w:eastAsia="Arial" w:hAnsi="Arial"/>
          <w:color w:val="2C3E50"/>
          <w:sz w:val="22"/>
          <w:szCs w:val="22"/>
        </w:rPr>
        <w:t xml:space="preserve">ODIN tier inversion hypothesis: test whether T3/T4 is a better options filter than T1/T2</w:t>
      </w:r>
    </w:p>
    <w:p>
      <w:pPr>
        <w:pStyle w:val="Heading3"/>
        <w:spacing w:after="100" w:before="200"/>
      </w:pPr>
      <w:r>
        <w:rPr>
          <w:rFonts w:ascii="Arial" w:cs="Arial" w:eastAsia="Arial" w:hAnsi="Arial"/>
          <w:b/>
          <w:bCs/>
          <w:color w:val="8B4513"/>
          <w:sz w:val="23"/>
          <w:szCs w:val="23"/>
        </w:rPr>
        <w:t xml:space="preserve">Nice-to-have (research)</w:t>
      </w:r>
    </w:p>
    <w:p>
      <w:pPr>
        <w:pStyle w:val="ListParagraph"/>
        <w:numPr>
          <w:ilvl w:val="0"/>
          <w:numId w:val="2"/>
        </w:numPr>
        <w:spacing w:after="80"/>
      </w:pPr>
      <w:r>
        <w:rPr>
          <w:rFonts w:ascii="Arial" w:cs="Arial" w:eastAsia="Arial" w:hAnsi="Arial"/>
          <w:color w:val="2C3E50"/>
          <w:sz w:val="22"/>
          <w:szCs w:val="22"/>
        </w:rPr>
        <w:t xml:space="preserve">Pull live ORATS IV rank + term structure at entry as a feature; test whether cheapness score dominates ODIN tier for options selection</w:t>
      </w:r>
    </w:p>
    <w:p>
      <w:pPr>
        <w:pStyle w:val="ListParagraph"/>
        <w:numPr>
          <w:ilvl w:val="0"/>
          <w:numId w:val="2"/>
        </w:numPr>
        <w:spacing w:after="80"/>
      </w:pPr>
      <w:r>
        <w:rPr>
          <w:rFonts w:ascii="Arial" w:cs="Arial" w:eastAsia="Arial" w:hAnsi="Arial"/>
          <w:color w:val="2C3E50"/>
          <w:sz w:val="22"/>
          <w:szCs w:val="22"/>
        </w:rPr>
        <w:t xml:space="preserve">Pull FinBrain PCR + short interest at T-14 as features (blocked by FinBrain MCP Pydantic bug on req parameter)</w:t>
      </w:r>
    </w:p>
    <w:p>
      <w:pPr>
        <w:pStyle w:val="ListParagraph"/>
        <w:numPr>
          <w:ilvl w:val="0"/>
          <w:numId w:val="2"/>
        </w:numPr>
        <w:spacing w:after="80"/>
      </w:pPr>
      <w:r>
        <w:rPr>
          <w:rFonts w:ascii="Arial" w:cs="Arial" w:eastAsia="Arial" w:hAnsi="Arial"/>
          <w:color w:val="2C3E50"/>
          <w:sz w:val="22"/>
          <w:szCs w:val="22"/>
        </w:rPr>
        <w:t xml:space="preserve">Rebuild IV expansion curve with IV parser fix; republish per-cap expansion means with CIs</w:t>
      </w:r>
    </w:p>
    <w:p>
      <w:pPr>
        <w:pStyle w:val="ListParagraph"/>
        <w:numPr>
          <w:ilvl w:val="0"/>
          <w:numId w:val="2"/>
        </w:numPr>
        <w:spacing w:after="80"/>
      </w:pPr>
      <w:r>
        <w:rPr>
          <w:rFonts w:ascii="Arial" w:cs="Arial" w:eastAsia="Arial" w:hAnsi="Arial"/>
          <w:color w:val="2C3E50"/>
          <w:sz w:val="22"/>
          <w:szCs w:val="22"/>
        </w:rPr>
        <w:t xml:space="preserve">Decompose option P&amp;L into delta component (stock move) and vega component (IV change) for each trade</w:t>
      </w:r>
    </w:p>
    <w:p>
      <w:pPr>
        <w:pStyle w:val="Heading1"/>
        <w:spacing w:after="160" w:before="320"/>
      </w:pPr>
      <w:r>
        <w:rPr>
          <w:rFonts w:ascii="Arial" w:cs="Arial" w:eastAsia="Arial" w:hAnsi="Arial"/>
          <w:b/>
          <w:bCs/>
          <w:color w:val="2E5C8A"/>
          <w:sz w:val="32"/>
          <w:szCs w:val="32"/>
        </w:rPr>
        <w:t xml:space="preserve">6. What Actually Survives</w:t>
      </w:r>
    </w:p>
    <w:p>
      <w:pPr>
        <w:spacing w:after="120"/>
      </w:pPr>
      <w:r>
        <w:rPr>
          <w:rFonts w:ascii="Arial" w:cs="Arial" w:eastAsia="Arial" w:hAnsi="Arial"/>
          <w:color w:val="2C3E50"/>
          <w:sz w:val="22"/>
          <w:szCs w:val="22"/>
        </w:rPr>
        <w:t xml:space="preserve">Strip the broken numbers and the contaminated filters and this is what's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B3B" w:sz="16"/>
              <w:left w:val="single" w:color="1F6B3B" w:sz="16"/>
              <w:bottom w:val="single" w:color="1F6B3B" w:sz="16"/>
              <w:right w:val="single" w:color="1F6B3B" w:sz="16"/>
            </w:tcBorders>
            <w:shd w:fill="E4F2E8" w:color="auto" w:val="clear"/>
            <w:tcMar>
              <w:top w:type="dxa" w:w="180"/>
              <w:left w:type="dxa" w:w="240"/>
              <w:bottom w:type="dxa" w:w="180"/>
              <w:right w:type="dxa" w:w="240"/>
            </w:tcMar>
          </w:tcPr>
          <w:p>
            <w:pPr>
              <w:spacing w:after="100"/>
            </w:pPr>
            <w:r>
              <w:rPr>
                <w:rFonts w:ascii="Arial" w:cs="Arial" w:eastAsia="Arial" w:hAnsi="Arial"/>
                <w:b/>
                <w:bCs/>
                <w:color w:val="1F6B3B"/>
                <w:sz w:val="22"/>
                <w:szCs w:val="22"/>
              </w:rPr>
              <w:t xml:space="preserve">ROBUST EDGE</w:t>
            </w:r>
          </w:p>
          <w:p>
            <w:pPr>
              <w:spacing w:after="100"/>
            </w:pPr>
            <w:r>
              <w:rPr>
                <w:rFonts w:ascii="Arial" w:cs="Arial" w:eastAsia="Arial" w:hAnsi="Arial"/>
                <w:b/>
                <w:bCs/>
                <w:color w:val="2C3E50"/>
                <w:sz w:val="22"/>
                <w:szCs w:val="22"/>
              </w:rPr>
              <w:t xml:space="preserve">Phase 1 / 1/2 positive readout ATM calls, T-14 entry → T-1 exit: +45.1% average, 58.3% win rate, n=36 DTE-matched.</w:t>
            </w:r>
          </w:p>
          <w:p>
            <w:r>
              <w:rPr>
                <w:rFonts w:ascii="Arial" w:cs="Arial" w:eastAsia="Arial" w:hAnsi="Arial"/>
                <w:color w:val="2C3E50"/>
                <w:sz w:val="22"/>
                <w:szCs w:val="22"/>
              </w:rPr>
              <w:t xml:space="preserve">Holds after removing top 5 trades (+16.4% avg). Holds across 40% spread capture (+32.4% avg). Holds across years. Only soft spot is sample size — n=36 means 95% CI is wide [+15%, +80%] and one bad year could dent it. Size modestly, diversify across at least 6 events per year.</w:t>
            </w:r>
          </w:p>
        </w:tc>
      </w:tr>
    </w:tbl>
    <w:p>
      <w:pPr>
        <w:spacing w:after="160"/>
      </w:pPr>
      <w:r>
        <w:rPr>
          <w:rFonts w:ascii="Arial" w:cs="Arial" w:eastAsia="Arial" w:hAnsi="Arial"/>
          <w:color w:val="2C3E50"/>
          <w:sz w:val="22"/>
          <w:szCs w:val="22"/>
        </w:rPr>
        <w:t xml:space="preserve"/>
      </w:r>
    </w:p>
    <w:p>
      <w:pPr>
        <w:pStyle w:val="Heading3"/>
        <w:spacing w:after="100" w:before="200"/>
      </w:pPr>
      <w:r>
        <w:rPr>
          <w:rFonts w:ascii="Arial" w:cs="Arial" w:eastAsia="Arial" w:hAnsi="Arial"/>
          <w:b/>
          <w:bCs/>
          <w:color w:val="8B4513"/>
          <w:sz w:val="23"/>
          <w:szCs w:val="23"/>
        </w:rPr>
        <w:t xml:space="preserve">Conditional edges worth continued study</w:t>
      </w:r>
    </w:p>
    <w:p>
      <w:pPr>
        <w:pStyle w:val="ListParagraph"/>
        <w:numPr>
          <w:ilvl w:val="0"/>
          <w:numId w:val="2"/>
        </w:numPr>
        <w:spacing w:after="80"/>
      </w:pPr>
      <w:r>
        <w:rPr>
          <w:rFonts w:ascii="Arial" w:cs="Arial" w:eastAsia="Arial" w:hAnsi="Arial"/>
          <w:color w:val="2C3E50"/>
          <w:sz w:val="22"/>
          <w:szCs w:val="22"/>
        </w:rPr>
        <w:t xml:space="preserve">PDUFA micro-cap — positive expected value in raw data but entirely tail-driven. Could be real if you can tolerate 15+ losers per moonshot.</w:t>
      </w:r>
    </w:p>
    <w:p>
      <w:pPr>
        <w:pStyle w:val="ListParagraph"/>
        <w:numPr>
          <w:ilvl w:val="0"/>
          <w:numId w:val="2"/>
        </w:numPr>
        <w:spacing w:after="80"/>
      </w:pPr>
      <w:r>
        <w:rPr>
          <w:rFonts w:ascii="Arial" w:cs="Arial" w:eastAsia="Arial" w:hAnsi="Arial"/>
          <w:color w:val="2C3E50"/>
          <w:sz w:val="22"/>
          <w:szCs w:val="22"/>
        </w:rPr>
        <w:t xml:space="preserve">Phase 2 readouts — positive but marginal (+12.8%, CI spans zero). Might separate into winners/losers with better pre-readout signal.</w:t>
      </w:r>
    </w:p>
    <w:p>
      <w:pPr>
        <w:pStyle w:val="ListParagraph"/>
        <w:numPr>
          <w:ilvl w:val="0"/>
          <w:numId w:val="2"/>
        </w:numPr>
        <w:spacing w:after="80"/>
      </w:pPr>
      <w:r>
        <w:rPr>
          <w:rFonts w:ascii="Arial" w:cs="Arial" w:eastAsia="Arial" w:hAnsi="Arial"/>
          <w:color w:val="2C3E50"/>
          <w:sz w:val="22"/>
          <w:szCs w:val="22"/>
        </w:rPr>
        <w:t xml:space="preserve">IV cheapness (ORATS term-structure tilt &lt; 1.1) as a pre-entry filter — untested but theoretically sound; requires live implementation before retrospective validation.</w:t>
      </w:r>
    </w:p>
    <w:p>
      <w:pPr>
        <w:pStyle w:val="Heading3"/>
        <w:spacing w:after="100" w:before="200"/>
      </w:pPr>
      <w:r>
        <w:rPr>
          <w:rFonts w:ascii="Arial" w:cs="Arial" w:eastAsia="Arial" w:hAnsi="Arial"/>
          <w:b/>
          <w:bCs/>
          <w:color w:val="8B4513"/>
          <w:sz w:val="23"/>
          <w:szCs w:val="23"/>
        </w:rPr>
        <w:t xml:space="preserve">Things to stop doing immediately</w:t>
      </w:r>
    </w:p>
    <w:p>
      <w:pPr>
        <w:pStyle w:val="ListParagraph"/>
        <w:numPr>
          <w:ilvl w:val="0"/>
          <w:numId w:val="2"/>
        </w:numPr>
        <w:spacing w:after="80"/>
      </w:pPr>
      <w:r>
        <w:rPr>
          <w:rFonts w:ascii="Arial" w:cs="Arial" w:eastAsia="Arial" w:hAnsi="Arial"/>
          <w:color w:val="2C3E50"/>
          <w:sz w:val="22"/>
          <w:szCs w:val="22"/>
        </w:rPr>
        <w:t xml:space="preserve">Publishing options strategy EVs without bootstrap CIs and DTE-matched backtest</w:t>
      </w:r>
    </w:p>
    <w:p>
      <w:pPr>
        <w:pStyle w:val="ListParagraph"/>
        <w:numPr>
          <w:ilvl w:val="0"/>
          <w:numId w:val="2"/>
        </w:numPr>
        <w:spacing w:after="80"/>
      </w:pPr>
      <w:r>
        <w:rPr>
          <w:rFonts w:ascii="Arial" w:cs="Arial" w:eastAsia="Arial" w:hAnsi="Arial"/>
          <w:color w:val="2C3E50"/>
          <w:sz w:val="22"/>
          <w:szCs w:val="22"/>
        </w:rPr>
        <w:t xml:space="preserve">Using ODIN T1/T2 as an options filter</w:t>
      </w:r>
    </w:p>
    <w:p>
      <w:pPr>
        <w:pStyle w:val="ListParagraph"/>
        <w:numPr>
          <w:ilvl w:val="0"/>
          <w:numId w:val="2"/>
        </w:numPr>
        <w:spacing w:after="80"/>
      </w:pPr>
      <w:r>
        <w:rPr>
          <w:rFonts w:ascii="Arial" w:cs="Arial" w:eastAsia="Arial" w:hAnsi="Arial"/>
          <w:color w:val="2C3E50"/>
          <w:sz w:val="22"/>
          <w:szCs w:val="22"/>
        </w:rPr>
        <w:t xml:space="preserve">Holding options through Phase 3 or Phase 2b readouts</w:t>
      </w:r>
    </w:p>
    <w:p>
      <w:pPr>
        <w:pStyle w:val="ListParagraph"/>
        <w:numPr>
          <w:ilvl w:val="0"/>
          <w:numId w:val="2"/>
        </w:numPr>
        <w:spacing w:after="80"/>
      </w:pPr>
      <w:r>
        <w:rPr>
          <w:rFonts w:ascii="Arial" w:cs="Arial" w:eastAsia="Arial" w:hAnsi="Arial"/>
          <w:color w:val="2C3E50"/>
          <w:sz w:val="22"/>
          <w:szCs w:val="22"/>
        </w:rPr>
        <w:t xml:space="preserve">Taking options positions on nano-caps on the basis of the v1.1 backtest (they weren't in it)</w:t>
      </w:r>
    </w:p>
    <w:p>
      <w:pPr>
        <w:pStyle w:val="Heading1"/>
        <w:spacing w:after="160" w:before="320"/>
      </w:pPr>
      <w:r>
        <w:rPr>
          <w:rFonts w:ascii="Arial" w:cs="Arial" w:eastAsia="Arial" w:hAnsi="Arial"/>
          <w:b/>
          <w:bCs/>
          <w:color w:val="2E5C8A"/>
          <w:sz w:val="32"/>
          <w:szCs w:val="32"/>
        </w:rPr>
        <w:t xml:space="preserve">7. Process Notes</w:t>
      </w:r>
    </w:p>
    <w:p>
      <w:pPr>
        <w:pStyle w:val="Heading3"/>
        <w:spacing w:after="100" w:before="200"/>
      </w:pPr>
      <w:r>
        <w:rPr>
          <w:rFonts w:ascii="Arial" w:cs="Arial" w:eastAsia="Arial" w:hAnsi="Arial"/>
          <w:b/>
          <w:bCs/>
          <w:color w:val="8B4513"/>
          <w:sz w:val="23"/>
          <w:szCs w:val="23"/>
        </w:rPr>
        <w:t xml:space="preserve">Data accessed during audit</w:t>
      </w:r>
    </w:p>
    <w:p>
      <w:pPr>
        <w:pStyle w:val="ListParagraph"/>
        <w:numPr>
          <w:ilvl w:val="0"/>
          <w:numId w:val="2"/>
        </w:numPr>
        <w:spacing w:after="80"/>
      </w:pPr>
      <w:r>
        <w:rPr>
          <w:rFonts w:ascii="Arial" w:cs="Arial" w:eastAsia="Arial" w:hAnsi="Arial"/>
          <w:color w:val="2C3E50"/>
          <w:sz w:val="22"/>
          <w:szCs w:val="22"/>
        </w:rPr>
        <w:t xml:space="preserve">options_backtest_v2_results.json (1.57 MB, 1,828 trades with full per-trade entry/exit bid/ask/mid/dte/iv)</w:t>
      </w:r>
    </w:p>
    <w:p>
      <w:pPr>
        <w:pStyle w:val="ListParagraph"/>
        <w:numPr>
          <w:ilvl w:val="0"/>
          <w:numId w:val="2"/>
        </w:numPr>
        <w:spacing w:after="80"/>
      </w:pPr>
      <w:r>
        <w:rPr>
          <w:rFonts w:ascii="Arial" w:cs="Arial" w:eastAsia="Arial" w:hAnsi="Arial"/>
          <w:color w:val="2C3E50"/>
          <w:sz w:val="22"/>
          <w:szCs w:val="22"/>
        </w:rPr>
        <w:t xml:space="preserve">pdufa_runup_bifrost.csv (v5_score leakage audit source)</w:t>
      </w:r>
    </w:p>
    <w:p>
      <w:pPr>
        <w:pStyle w:val="ListParagraph"/>
        <w:numPr>
          <w:ilvl w:val="0"/>
          <w:numId w:val="2"/>
        </w:numPr>
        <w:spacing w:after="80"/>
      </w:pPr>
      <w:r>
        <w:rPr>
          <w:rFonts w:ascii="Arial" w:cs="Arial" w:eastAsia="Arial" w:hAnsi="Arial"/>
          <w:color w:val="2C3E50"/>
          <w:sz w:val="22"/>
          <w:szCs w:val="22"/>
        </w:rPr>
        <w:t xml:space="preserve">options_backtest_v2_batch.py (methodology review — DTE bug, IV parser, spread filter)</w:t>
      </w:r>
    </w:p>
    <w:p>
      <w:pPr>
        <w:pStyle w:val="ListParagraph"/>
        <w:numPr>
          <w:ilvl w:val="0"/>
          <w:numId w:val="2"/>
        </w:numPr>
        <w:spacing w:after="80"/>
      </w:pPr>
      <w:r>
        <w:rPr>
          <w:rFonts w:ascii="Arial" w:cs="Arial" w:eastAsia="Arial" w:hAnsi="Arial"/>
          <w:color w:val="2C3E50"/>
          <w:sz w:val="22"/>
          <w:szCs w:val="22"/>
        </w:rPr>
        <w:t xml:space="preserve">Live ORATS /datav2/strikes API (token cc1aa61c-ebfa-42e9-8fc0-6bc8f23aaa3d) for fresh Q2 2026 chain validation</w:t>
      </w:r>
    </w:p>
    <w:p>
      <w:pPr>
        <w:pStyle w:val="Heading3"/>
        <w:spacing w:after="100" w:before="200"/>
      </w:pPr>
      <w:r>
        <w:rPr>
          <w:rFonts w:ascii="Arial" w:cs="Arial" w:eastAsia="Arial" w:hAnsi="Arial"/>
          <w:b/>
          <w:bCs/>
          <w:color w:val="8B4513"/>
          <w:sz w:val="23"/>
          <w:szCs w:val="23"/>
        </w:rPr>
        <w:t xml:space="preserve">APIs tested</w:t>
      </w:r>
    </w:p>
    <w:p>
      <w:pPr>
        <w:pStyle w:val="ListParagraph"/>
        <w:numPr>
          <w:ilvl w:val="0"/>
          <w:numId w:val="2"/>
        </w:numPr>
        <w:spacing w:after="80"/>
      </w:pPr>
      <w:r>
        <w:rPr>
          <w:rFonts w:ascii="Arial" w:cs="Arial" w:eastAsia="Arial" w:hAnsi="Arial"/>
          <w:color w:val="2C3E50"/>
          <w:sz w:val="22"/>
          <w:szCs w:val="22"/>
        </w:rPr>
        <w:t xml:space="preserve">ORATS Delayed Data API: working. /hist/strikes and /datav2/strikes both returning full chain data. /hist/ivrank returning percentages as expected. /summaries returning 0 or n/a for IV fields — appears not included on delayed tier.</w:t>
      </w:r>
    </w:p>
    <w:p>
      <w:pPr>
        <w:pStyle w:val="ListParagraph"/>
        <w:numPr>
          <w:ilvl w:val="0"/>
          <w:numId w:val="2"/>
        </w:numPr>
        <w:spacing w:after="80"/>
      </w:pPr>
      <w:r>
        <w:rPr>
          <w:rFonts w:ascii="Arial" w:cs="Arial" w:eastAsia="Arial" w:hAnsi="Arial"/>
          <w:color w:val="2C3E50"/>
          <w:sz w:val="22"/>
          <w:szCs w:val="22"/>
        </w:rPr>
        <w:t xml:space="preserve">FinBrain MCP: mcp__finbrain__health OK, but mcp__finbrain__options_put_call rejects req parameter with Pydantic validation error. Known issue per CLAUDE.md. Fix pending upstream.</w:t>
      </w:r>
    </w:p>
    <w:p>
      <w:pPr>
        <w:pStyle w:val="ListParagraph"/>
        <w:numPr>
          <w:ilvl w:val="0"/>
          <w:numId w:val="2"/>
        </w:numPr>
        <w:spacing w:after="80"/>
      </w:pPr>
      <w:r>
        <w:rPr>
          <w:rFonts w:ascii="Arial" w:cs="Arial" w:eastAsia="Arial" w:hAnsi="Arial"/>
          <w:color w:val="2C3E50"/>
          <w:sz w:val="22"/>
          <w:szCs w:val="22"/>
        </w:rPr>
        <w:t xml:space="preserve">FinBrain SDK (finbrain_live.py): hardcoded API key 5813fe19-… is dead ("No active API subscription"). Use MCP when Pydantic bug is fixed.</w:t>
      </w:r>
    </w:p>
    <w:p>
      <w:pPr>
        <w:pStyle w:val="Heading3"/>
        <w:spacing w:after="100" w:before="200"/>
      </w:pPr>
      <w:r>
        <w:rPr>
          <w:rFonts w:ascii="Arial" w:cs="Arial" w:eastAsia="Arial" w:hAnsi="Arial"/>
          <w:b/>
          <w:bCs/>
          <w:color w:val="8B4513"/>
          <w:sz w:val="23"/>
          <w:szCs w:val="23"/>
        </w:rPr>
        <w:t xml:space="preserve">Tools not used</w:t>
      </w:r>
    </w:p>
    <w:p>
      <w:pPr>
        <w:pStyle w:val="ListParagraph"/>
        <w:numPr>
          <w:ilvl w:val="0"/>
          <w:numId w:val="2"/>
        </w:numPr>
        <w:spacing w:after="80"/>
      </w:pPr>
      <w:r>
        <w:rPr>
          <w:rFonts w:ascii="Arial" w:cs="Arial" w:eastAsia="Arial" w:hAnsi="Arial"/>
          <w:color w:val="2C3E50"/>
          <w:sz w:val="22"/>
          <w:szCs w:val="22"/>
        </w:rPr>
        <w:t xml:space="preserve">orats_backtest_cache/ was found empty despite CLAUDE.md claiming 3,215 cached files. Not blocking — saved results JSON had full fidelity for this audit.</w:t>
      </w:r>
    </w:p>
    <w:p>
      <w:pPr>
        <w:spacing w:after="240"/>
      </w:pPr>
      <w:r>
        <w:rPr>
          <w:rFonts w:ascii="Arial" w:cs="Arial" w:eastAsia="Arial" w:hAnsi="Arial"/>
          <w:color w:val="2C3E50"/>
          <w:sz w:val="22"/>
          <w:szCs w:val="22"/>
        </w:rPr>
        <w:t xml:space="preserve"/>
      </w:r>
    </w:p>
    <w:p>
      <w:pPr>
        <w:spacing w:after="120" w:before="320"/>
        <w:jc w:val="center"/>
      </w:pPr>
      <w:r>
        <w:rPr>
          <w:rFonts w:ascii="Arial" w:cs="Arial" w:eastAsia="Arial" w:hAnsi="Arial"/>
          <w:b/>
          <w:bCs/>
          <w:i/>
          <w:iCs/>
          <w:color w:val="6B7280"/>
          <w:sz w:val="22"/>
          <w:szCs w:val="22"/>
        </w:rPr>
        <w:t xml:space="preserve">— End of Red Team Memo —</w:t>
      </w:r>
    </w:p>
    <w:p>
      <w:pPr>
        <w:jc w:val="center"/>
      </w:pPr>
      <w:r>
        <w:rPr>
          <w:rFonts w:ascii="Arial" w:cs="Arial" w:eastAsia="Arial" w:hAnsi="Arial"/>
          <w:i/>
          <w:iCs/>
          <w:color w:val="6B7280"/>
          <w:sz w:val="18"/>
          <w:szCs w:val="18"/>
        </w:rPr>
        <w:t xml:space="preserve">Prepared by Claude · 9 Realms · April 18, 2026 ·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9 REALMS  ·  BIFROST OPTIONS v1.1 RED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C8A"/>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5C8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8B451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BIFROST Options v1.1 Red Team Memo</dc:title>
  <dc:creator>9 Realms</dc:creator>
  <dc:description>Deep red team audit of the 1,828-trade BIFROST Options backtest</dc:description>
  <cp:lastModifiedBy>Un-named</cp:lastModifiedBy>
  <cp:revision>1</cp:revision>
  <dcterms:created xsi:type="dcterms:W3CDTF">2026-04-18T18:49:53.143Z</dcterms:created>
  <dcterms:modified xsi:type="dcterms:W3CDTF">2026-04-18T18:49:53.143Z</dcterms:modified>
</cp:coreProperties>
</file>

<file path=docProps/custom.xml><?xml version="1.0" encoding="utf-8"?>
<Properties xmlns="http://schemas.openxmlformats.org/officeDocument/2006/custom-properties" xmlns:vt="http://schemas.openxmlformats.org/officeDocument/2006/docPropsVTypes"/>
</file>