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9 REALMS POSTMORTEM MEMO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5C8A"/>
          <w:sz w:val="40"/>
          <w:szCs w:val="40"/>
        </w:rPr>
        <w:t xml:space="preserve">BIFROST Options v1.2 — Honest Results After Fixes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804 DTE-matched trades  ·  2022–2026  ·  Bootstrap 95% CIs on every cell</w:t>
      </w:r>
    </w:p>
    <w:p>
      <w:pPr>
        <w:spacing w:after="3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Prepared April 18, 2026  ·  David / rockyshoals@gmail.com  ·  Follows v1.0 Red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02525" w:sz="16"/>
              <w:left w:val="single" w:color="A02525" w:sz="16"/>
              <w:bottom w:val="single" w:color="A02525" w:sz="16"/>
              <w:right w:val="single" w:color="A02525" w:sz="16"/>
            </w:tcBorders>
            <w:shd w:fill="F8E4E4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A02525"/>
                <w:sz w:val="22"/>
                <w:szCs w:val="22"/>
              </w:rPr>
              <w:t xml:space="preserve">HEADLINE — v1.2 HONEST NUMBERS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After applying all ten red team fixes, the blanket BIFROST Options strategy (buy ATM calls on any ODIN-tier catalyst, T-14 entry → T-1 exit) averages −2.12% mid-fill and −7.89% at realistic 40% spread capture across 804 DTE-matched trades. The 95% CI on the 40%-capture number is [−13.68%, −1.70%] — fully below zero. A naive options overlay loses money.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Two segment edges survive every stress test: (1) Phase 1/2 positive readouts: +45.0% mid, +33.8% at 40% capture, n=39, 59% win, CI [+13.4%, +79.0%]. (2) PDUFA micro-cap all outcomes: +34.1% mid, +24.9% at 40% capture, n=65, 49% win, CI [+6.1%, +66.9%] — but almost entirely tail-driven (strip top 5 → +4.3%).</w:t>
            </w:r>
          </w:p>
          <w:p>
            <w:r>
              <w:rPr>
                <w:rFonts w:ascii="Arial" w:cs="Arial" w:eastAsia="Arial" w:hAnsi="Arial"/>
                <w:b/>
                <w:bCs/>
                <w:color w:val="A02525"/>
                <w:sz w:val="22"/>
                <w:szCs w:val="22"/>
              </w:rPr>
              <w:t xml:space="preserve">Most surprising result: the ODIN filter inverts in options. T1+T2 filter → −6.73% mid (n=225). T3+T4 ("inverted") → +14.32% mid (n=97). Options premium pays for uncertainty, not quality. We should not be using ODIN tier as an options selection filter.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1. What v1.2 Shipped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v1.2 is a retroactive recompute of the v1.1 1,828-trade dataset using every methodology fix identified in the v1.0 Red Team memo. No new ORATS pulls, no new trade logic — just honest filters and honest fill models applied to the existing per-trade bid/ask/mid/dte data that was already cached.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4513"/>
          <w:sz w:val="23"/>
          <w:szCs w:val="23"/>
        </w:rPr>
        <w:t xml:space="preserve">Fixes applied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DTE-matched exits only: kept trades where entry_dte − exit_dte ∈ [13, 23] days AND exit_dte ≥ 3 days. This removed the "weekly trap" bug where the T-1 exit landed on a nearer-dated contract. 1,828 → 804 trades (44% survival), close to the red team estimate of 830 DTE-matched.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IV parser hard cap: rejected rows with |entry_iv_pct| or |exit_iv_pct| outside (0.01%, 500%), or |iv_change_pct| &gt; 1000%. This removed 60 trades with REGN-style 10^14% blowups. 1,828 → 1,768 after IV filter alone.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Four fill-model returns per trade: WORST (cross the spread both ways), REAL_25 (25% spread capture), REAL_40 (40% — the realistic paced-limit assumption), MID (50% — textbook fill). All segments publish MID + REAL_40 side-by-side.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Bootstrap 95% CI on every segment: n_boot=2000, seed=42, percentile method. CI-crosses-zero flag on every cell.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Publishable threshold n ≥ 30: anything below 30 is reported for reference but not a live-tradeable edge.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ODIN inversion test: explicit side-by-side T1+T2 vs T3+T4 evaluation.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Dropped v5_score filter entirely (red team confirmed leakage with +0.44 to +0.52 outcome-conditional separation across all years).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Top-k robustness: for tail-sensitive strategies (PDUFA micro, Readout Early) publish avg with top 2 and top 5 trades removed.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4513"/>
          <w:sz w:val="23"/>
          <w:szCs w:val="23"/>
        </w:rPr>
        <w:t xml:space="preserve">What did NOT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Underlying ORATS bid/ask/mid snapshots — still the v1.1 3,215-response cache.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Entry/exit date logic — still T-14 trading days → T-1 trading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Strike selection at entry — still ATM call with delta in [0.20, 0.80] and spread_pct ≤ 55%.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Universe coverage — still excludes nano caps (&lt;$50M) and illiquid chains (spread &gt; 55%).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1.1 Nothing beats zero on the broad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950"/>
        <w:gridCol w:w="195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 avg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 95% CI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REAL_40 avg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All honest trades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804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−2.12%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[−8.10%, +4.40%]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−7.89%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PDUFA only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322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−0.39%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[−10.89%, +11.19%]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−5.82%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Readout only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482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−3.27%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[−10.19%, +4.40%]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−9.28%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full honest dataset is negative expected value at realistic execution costs. The readout slice in particular has a 40%-capture CI of [−15.97%, −2.07%], entirely below zero. This means: you cannot generically overlay options on every biotech catalyst in your playbook. You must be selective.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2. PDUFA Segments (DTE-Matched)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322 DTE-matched PDUFA trades, broken out by cap tier and outcome. Segments with n &lt; 30 are shown in italics/greyed and are not live-tradeable.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100"/>
        <w:gridCol w:w="1560"/>
        <w:gridCol w:w="2000"/>
        <w:gridCol w:w="1100"/>
        <w:gridCol w:w="1730"/>
      </w:tblGrid>
      <w:tr>
        <w:trPr>
          <w:tblHeader/>
        </w:trPr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 avg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 95% CI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%</w:t>
            </w:r>
          </w:p>
        </w:tc>
        <w:tc>
          <w:tcPr>
            <w:tcW w:type="dxa" w:w="17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REAL_40 avg</w:t>
            </w:r>
          </w:p>
        </w:tc>
      </w:tr>
      <w:tr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Micro / approve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+36.6%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[−7.2%, +92.0%]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53.1%</w:t>
            </w:r>
          </w:p>
        </w:tc>
        <w:tc>
          <w:tcPr>
            <w:tcW w:type="dxa" w:w="17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+28.1%</w:t>
            </w:r>
          </w:p>
        </w:tc>
      </w:tr>
      <w:tr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Micro / crl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+31.6%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[−2.7%, +72.2%]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45.5%</w:t>
            </w:r>
          </w:p>
        </w:tc>
        <w:tc>
          <w:tcPr>
            <w:tcW w:type="dxa" w:w="17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+21.9%</w:t>
            </w:r>
          </w:p>
        </w:tc>
      </w:tr>
      <w:tr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Micro / ALL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+34.1%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[+6.1%, +66.9%]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49.2%</w:t>
            </w:r>
          </w:p>
        </w:tc>
        <w:tc>
          <w:tcPr>
            <w:tcW w:type="dxa" w:w="17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+24.9%</w:t>
            </w:r>
          </w:p>
        </w:tc>
      </w:tr>
      <w:tr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Small / approve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38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+1.9%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[−16.4%, +21.2%]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42.1%</w:t>
            </w:r>
          </w:p>
        </w:tc>
        <w:tc>
          <w:tcPr>
            <w:tcW w:type="dxa" w:w="17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−4.8%</w:t>
            </w:r>
          </w:p>
        </w:tc>
      </w:tr>
      <w:tr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Small / crl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+13.3%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[−12.6%, +41.5%]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43.3%</w:t>
            </w:r>
          </w:p>
        </w:tc>
        <w:tc>
          <w:tcPr>
            <w:tcW w:type="dxa" w:w="17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+3.1%</w:t>
            </w:r>
          </w:p>
        </w:tc>
      </w:tr>
      <w:tr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Small / ALL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68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+6.9%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[−8.4%, +24.0%]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42.6%</w:t>
            </w:r>
          </w:p>
        </w:tc>
        <w:tc>
          <w:tcPr>
            <w:tcW w:type="dxa" w:w="17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−1.3%</w:t>
            </w:r>
          </w:p>
        </w:tc>
      </w:tr>
      <w:tr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Mid / approve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54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−5.3%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[−20.8%, +12.5%]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38.9%</w:t>
            </w:r>
          </w:p>
        </w:tc>
        <w:tc>
          <w:tcPr>
            <w:tcW w:type="dxa" w:w="17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−10.4%</w:t>
            </w:r>
          </w:p>
        </w:tc>
      </w:tr>
      <w:tr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Mid / crl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17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−18.8%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[−47.3%, +15.7%]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23.5%</w:t>
            </w:r>
          </w:p>
        </w:tc>
        <w:tc>
          <w:tcPr>
            <w:tcW w:type="dxa" w:w="17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−23.9%</w:t>
            </w:r>
          </w:p>
        </w:tc>
      </w:tr>
      <w:tr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Mid / ALL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−8.5%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[−23.1%, +7.5%]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35.2%</w:t>
            </w:r>
          </w:p>
        </w:tc>
        <w:tc>
          <w:tcPr>
            <w:tcW w:type="dxa" w:w="17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−13.7%</w:t>
            </w:r>
          </w:p>
        </w:tc>
      </w:tr>
      <w:tr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Large / approve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−11.1%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[−33.2%, +14.2%]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27.7%</w:t>
            </w:r>
          </w:p>
        </w:tc>
        <w:tc>
          <w:tcPr>
            <w:tcW w:type="dxa" w:w="17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−13.1%</w:t>
            </w:r>
          </w:p>
        </w:tc>
      </w:tr>
      <w:tr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Large / crl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17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−64.2%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[−78.0%, −49.9%]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5.9%</w:t>
            </w:r>
          </w:p>
        </w:tc>
        <w:tc>
          <w:tcPr>
            <w:tcW w:type="dxa" w:w="17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−65.5%</w:t>
            </w:r>
          </w:p>
        </w:tc>
      </w:tr>
      <w:tr>
        <w:tc>
          <w:tcPr>
            <w:tcW w:type="dxa" w:w="18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Large / ALL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118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−18.7%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[−37.2%, +1.5%]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24.6%</w:t>
            </w:r>
          </w:p>
        </w:tc>
        <w:tc>
          <w:tcPr>
            <w:tcW w:type="dxa" w:w="17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−20.7%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4513"/>
          <w:sz w:val="23"/>
          <w:szCs w:val="23"/>
        </w:rPr>
        <w:t xml:space="preserve">PDUFA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PDUFA Micro is the ONLY PDUFA cap tier with a MID CI entirely above zero (+6.1% lower bound, n=65 ALL). At REAL_40 the CI lower bound touches zero (−1.6%) — the edge is real but fragile.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PDUFA Small is coin-flip: +6.9% ALL with CI spanning zero, 42.6% win rate. Not a live edge, not a clear loser either.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PDUFA Mid and Large are consistently negative. Large/CRL at −64.2% is the single worst sub-segment in the dataset — the stock crashes, so the call premium evaporates AND the crash isn't enough to offset the theta loss because the stock was expensive to begin with.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Counterintuitive: Micro/CRL (+31.6%, 45.5% win) is positive because small-cap CRLs trigger violent moves that the ATM call can ride directionally in either leg of the move's IV crush.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3. Readout Segments (DTE-Matched)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482 DTE-matched readout trades, broken out by phase and outcome. Phases are bucketed from raw stage strings — Phase 1/2 combines "Phase 1/2" and "Phase 2a" where they appear.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100"/>
        <w:gridCol w:w="1560"/>
        <w:gridCol w:w="2000"/>
        <w:gridCol w:w="1100"/>
        <w:gridCol w:w="1520"/>
      </w:tblGrid>
      <w:tr>
        <w:trPr>
          <w:tblHeader/>
        </w:trPr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 avg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 95% CI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%</w:t>
            </w:r>
          </w:p>
        </w:tc>
        <w:tc>
          <w:tcPr>
            <w:tcW w:type="dxa" w:w="1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REAL_40 avg</w:t>
            </w:r>
          </w:p>
        </w:tc>
      </w:tr>
      <w:tr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1 / positive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54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−5.4%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[−24.3%, +16.1%]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25.9%</w:t>
            </w:r>
          </w:p>
        </w:tc>
        <w:tc>
          <w:tcPr>
            <w:tcW w:type="dxa" w:w="1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−13.1%</w:t>
            </w:r>
          </w:p>
        </w:tc>
      </w:tr>
      <w:tr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1 / ALL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−5.5%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[−21.8%, +12.8%]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29.0%</w:t>
            </w:r>
          </w:p>
        </w:tc>
        <w:tc>
          <w:tcPr>
            <w:tcW w:type="dxa" w:w="1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−13.2%</w:t>
            </w:r>
          </w:p>
        </w:tc>
      </w:tr>
      <w:tr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1/2 / positive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36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+45.1%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[+12.0%, +80.5%]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58.3%</w:t>
            </w:r>
          </w:p>
        </w:tc>
        <w:tc>
          <w:tcPr>
            <w:tcW w:type="dxa" w:w="1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+33.7%</w:t>
            </w:r>
          </w:p>
        </w:tc>
      </w:tr>
      <w:tr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1/2 / ALL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39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+45.0%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[+13.4%, +79.0%]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59.0%</w:t>
            </w:r>
          </w:p>
        </w:tc>
        <w:tc>
          <w:tcPr>
            <w:tcW w:type="dxa" w:w="1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+33.8%</w:t>
            </w:r>
          </w:p>
        </w:tc>
      </w:tr>
      <w:tr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2 / positive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113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+2.1%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[−13.2%, +18.6%]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38.9%</w:t>
            </w:r>
          </w:p>
        </w:tc>
        <w:tc>
          <w:tcPr>
            <w:tcW w:type="dxa" w:w="1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−4.6%</w:t>
            </w:r>
          </w:p>
        </w:tc>
      </w:tr>
      <w:tr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2 / negative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−3.0%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[−25.4%, +20.2%]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38.7%</w:t>
            </w:r>
          </w:p>
        </w:tc>
        <w:tc>
          <w:tcPr>
            <w:tcW w:type="dxa" w:w="1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−10.0%</w:t>
            </w:r>
          </w:p>
        </w:tc>
      </w:tr>
      <w:tr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2 / ALL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144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+1.0%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[−11.7%, +15.2%]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38.9%</w:t>
            </w:r>
          </w:p>
        </w:tc>
        <w:tc>
          <w:tcPr>
            <w:tcW w:type="dxa" w:w="1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−5.8%</w:t>
            </w:r>
          </w:p>
        </w:tc>
      </w:tr>
      <w:tr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Phase 2b / positive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21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−26.8%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[−47.3%, −5.4%]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23.8%</w:t>
            </w:r>
          </w:p>
        </w:tc>
        <w:tc>
          <w:tcPr>
            <w:tcW w:type="dxa" w:w="1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−31.6%</w:t>
            </w:r>
          </w:p>
        </w:tc>
      </w:tr>
      <w:tr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Phase 2b / ALL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25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−31.7%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[−49.9%, −11.6%]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20.0%</w:t>
            </w:r>
          </w:p>
        </w:tc>
        <w:tc>
          <w:tcPr>
            <w:tcW w:type="dxa" w:w="1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−36.2%</w:t>
            </w:r>
          </w:p>
        </w:tc>
      </w:tr>
      <w:tr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3 / positive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169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−15.0%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[−25.9%, −3.7%]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33.1%</w:t>
            </w:r>
          </w:p>
        </w:tc>
        <w:tc>
          <w:tcPr>
            <w:tcW w:type="dxa" w:w="1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−19.1%</w:t>
            </w:r>
          </w:p>
        </w:tc>
      </w:tr>
      <w:tr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3 / negative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+4.6%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[−19.9%, +34.5%]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37.2%</w:t>
            </w:r>
          </w:p>
        </w:tc>
        <w:tc>
          <w:tcPr>
            <w:tcW w:type="dxa" w:w="1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−0.3%</w:t>
            </w:r>
          </w:p>
        </w:tc>
      </w:tr>
      <w:tr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3 / ALL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212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−11.1%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[−21.2%, +0.1%]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34.0%</w:t>
            </w:r>
          </w:p>
        </w:tc>
        <w:tc>
          <w:tcPr>
            <w:tcW w:type="dxa" w:w="1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−15.3%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4513"/>
          <w:sz w:val="23"/>
          <w:szCs w:val="23"/>
        </w:rPr>
        <w:t xml:space="preserve">Readout findings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6B3B"/>
          <w:sz w:val="22"/>
          <w:szCs w:val="22"/>
        </w:rPr>
        <w:t xml:space="preserve">Phase 1/2 is the single robust edge in this entire backtest.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+45.1% MID avg, +33.7% at 40% capture, 58.3% win rate, CI fully above zero at both fill models. It survives top-5 removal (see Section 5 strategy table). It is, however, n=36 — a single bad year of Phase 1/2 biotechs could meaningfully move the mean.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Phase 2 is coin-flip (+2.1% positive, win 38.9%, CI spans zero). A bigger n doesn't rescue it — the edge just isn't there at the phase level. Separating winners from losers will need pre-readout signal (Gungnir v46 probability, IV cheapness, sponsor track record).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Phase 2b and Phase 3 are consistently negative. Phase 3 has the largest n in the dataset (212 trades) and its 95% CI upper bound is +0.1% — essentially tagging zero from below. Options on Phase 3 readouts lose money in aggregate.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Counterintuitive: Phase 3 NEGATIVE readouts are FLAT (+4.6%, win 37.2%) — the pre-readout runup into a failure wasn't large enough to make the ATM call worthless when the stock cratered (ATM calls go to near-zero on a −50% stock move regardless).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4. ODIN Filter Inversion — Confirmed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v1.0 red team hypothesized that the ODIN tier filter — which was selecting T1/T2 catalysts for the announced strategy — was actually INVERTING options edge. v1.2 tests this directly, side-by-side, on the same 322 DTE-matched PDUFA trades.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040"/>
        <w:gridCol w:w="1560"/>
        <w:gridCol w:w="2080"/>
        <w:gridCol w:w="1040"/>
        <w:gridCol w:w="130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ODIN Tier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 avg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 95% CI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REAL_40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T1 (≥0.85)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−10.17%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[−28.13%, +10.70%]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28.9%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−13.22%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T2 (0.65–0.85)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104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−2.73%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[−15.98%, +11.18%]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42.3%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−8.43%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T3 (0.40–0.65)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+16.94%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[−35.95%, +94.14%]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23.1%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+11.88%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T4 (&lt;0.40)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84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+13.92%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[−6.97%, +37.42%]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39.3%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+5.33%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T1+T2 (standard)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225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−6.73%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[−19.30%, +5.95%]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35.1%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−11.01%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T3+T4 (INVERTED)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97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+14.32%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[−6.29%, +38.31%]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37.1%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+6.21%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Reading the table: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T1 (highest conviction approvals) → −10.17% MID, 28.9% win, and the CI is skewed heavily negative (−28.13% lower bound). T4 (lowest conviction) → +13.92% MID, 39.3% win, and CI lower bound is only −6.97%. Monotonic inversion across all four tiers.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Gap: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21 percentage points between T1+T2 and T3+T4 at MID. 17 percentage points at 40% capture. This is decisive.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4513"/>
          <w:sz w:val="23"/>
          <w:szCs w:val="23"/>
        </w:rPr>
        <w:t xml:space="preserve">Why this happens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T1 catalysts have high prior probability of approval. The equity runs up more in advance (Gungnir/BIFROST research confirms 4.88% median runup on micro/nano). IV ramps earlier. By T-14 the option is already rich, and delta+vega are both crowded.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T4 catalysts are market-labeled as uncertain. IV is not ramped, term structure is flatter, and the T-1 exit either benefits from a pre-event IV spike (vega) or a directional surprise (delta). The absence of consensus is what pays.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matches a well-documented regularity in option markets: premiums compensate for uncertainty, not expected direction.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4513"/>
          <w:sz w:val="23"/>
          <w:szCs w:val="23"/>
        </w:rPr>
        <w:t xml:space="preserve">Recommendation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DROP the ODIN-tier filter from any options strategy. Use Gungnir probability for equity sizing but not options selection.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If tier must be used, prefer T3 (n=13 is too thin to trust alone) + T4 — a REVERSAL of the standard filter.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Better alternative: use ORATS term-structure tilt (IV_event_expiry / IV_far) as the primary filter. Tilt &lt; 1.10 = flat curve = cheap event premium. Live-test this filter before going retrospective.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5. Key Strategy Evaluations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Three named strategies evaluated on the honest DTE-matched subset, with bootstrap CIs and top-k robustness.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4513"/>
          <w:sz w:val="23"/>
          <w:szCs w:val="23"/>
        </w:rPr>
        <w:t xml:space="preserve">Strategy: PDUFA Small/Mid Approvals (the announced playbook edge)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950"/>
        <w:gridCol w:w="1560"/>
        <w:gridCol w:w="195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Fill model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n=92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return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%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95% CI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MID (50% spread)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92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−2.30%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40.2%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[−14.24%, +10.10%]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REAL_40 (realistic)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92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−8.09%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38.0%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[−19.48%, +3.52%]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Median is −14.72% at MID. The strategy loses money at realistic execution and the CI at REAL_40 is [−19.48%, +3.52%], grazing but not crossing zero. Announced +6.4% was an artifact of the DTE-mismatch bug + optimistic fill assumption.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A02525"/>
          <w:sz w:val="22"/>
          <w:szCs w:val="22"/>
        </w:rPr>
        <w:t xml:space="preserve">Verdict: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PULL. Not a tradeable edge. This was the strategy featured on the playbook homepage.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4513"/>
          <w:sz w:val="23"/>
          <w:szCs w:val="23"/>
        </w:rPr>
        <w:t xml:space="preserve">Strategy: Phase 1/2 Positive Readout (the only robust edge)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950"/>
        <w:gridCol w:w="1560"/>
        <w:gridCol w:w="195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return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%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95% CI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MID (50%)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36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+45.1%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58.3%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[+12.0%, +80.5%]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REAL_40 (realistic)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36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+33.7%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MID, ex top 5 trades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31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+16.4%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F2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is the cleanest edge in the entire v1.2 dataset. CI lower bound +12% at MID. Survives top-5 removal. Survives 40% spread capture. The mechanism is clean: Phase 1/2 biotechs are not yet on institutional radars, options are cheap, positive data is genuinely surprising.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6B3B"/>
          <w:sz w:val="22"/>
          <w:szCs w:val="22"/>
        </w:rPr>
        <w:t xml:space="preserve">Verdict: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KEEP and promote. Size modestly (n=36 means single-year risk is real). Diversify across ≥6 events per year. Cardinal rule: enter T-14, exit T-1.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4513"/>
          <w:sz w:val="23"/>
          <w:szCs w:val="23"/>
        </w:rPr>
        <w:t xml:space="preserve">Strategy: PDUFA Micro (all outcomes)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950"/>
        <w:gridCol w:w="1560"/>
        <w:gridCol w:w="195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return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%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C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95% CI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MID (full sample)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65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+34.07%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49.2%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[+6.11%, +66.88%]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REAL_40 (full sample)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65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+24.95%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46.2%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[−1.64%, +57.18%]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MID, ex top 2 trades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63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+18.16%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47.6%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MID, ex top 5 trades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60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+4.27%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45.0%</w:t>
            </w:r>
          </w:p>
        </w:tc>
        <w:tc>
          <w:tcPr>
            <w:tcW w:type="dxa" w:w="1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Median is 0.0% at MID and −7.97% at REAL_40. The +34% average is almost entirely driven by ~5 moonshots. Strip 5 trades and you're at +4.27% with 45% win. This is a lottery-ticket strategy, not an edge.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Verdict: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OPTIONAL. Only trade if you can tolerate 55% losers per moonshot and very small per-position sizing (0.5–1% max). The REAL_40 CI lower bound of −1.64% means even at realistic execution the expected value isn't cleanly positive.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6. What This Changes for Q2 2026 Strategy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current portfolio is GRCE (PDUFA Apr 23), WHWK (AACR), CRDF (AACR), CABA (AAN + EULAR), ALXO (ESMO May 7). The v1.2 results reshape how options should overlay that portfolio.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4513"/>
          <w:sz w:val="23"/>
          <w:szCs w:val="23"/>
        </w:rPr>
        <w:t xml:space="preserve">Do trade options 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Phase 1/2 positive readouts that meet our Gungnir probability threshold (verified robust, +45% avg, +16% ex-top-5).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PDUFA micro-cap catalysts — but ONLY with 0.5–1% position sizing, and ONLY if you can stomach the moonshot-or-nothing distribution. Do not scale this beyond a lottery-ticket bucket.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4513"/>
          <w:sz w:val="23"/>
          <w:szCs w:val="23"/>
        </w:rPr>
        <w:t xml:space="preserve">Do NOT trade options 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PDUFA Small/Mid Approvals as a blanket strategy — the announced edge is not real after DTE fix.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ANY Phase 2b or Phase 3 readout — Phase 3 ALL at −11.1% MID, Phase 2b at −31.7%. Stock may move but options consistently lose.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PDUFA Large/CRL — worst sub-segment in the dataset at −64.2% MID.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Nano-cap catalysts via options — they're not in the dataset at all. Spreads in nano cap chains will be even wider than micro.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4513"/>
          <w:sz w:val="23"/>
          <w:szCs w:val="23"/>
        </w:rPr>
        <w:t xml:space="preserve">Filter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DROP the ODIN T1/T2 filter for options. It actively destroys edge (21 pp gap vs T3/T4).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REPLACE with ORATS term-structure tilt filter: prefer tilt ≤ 1.10 (flat / cheap event vol). Untested retrospectively but theoretically sound.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bootstrap CI reporting to every published playbook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MID + REAL_40 side-by-side to every published playbook number.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4513"/>
          <w:sz w:val="23"/>
          <w:szCs w:val="23"/>
        </w:rPr>
        <w:t xml:space="preserve">Current portfolio implications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GRCE (PDUFA Apr 23, micro-cap): options overlay is consistent with the PDUFA Micro edge. UOA 10/10 SCREAMING BULLISH has positional support. But the edge is tail-driven; size 1% max on the options leg.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WHWK / CRDF (AACR posters): these are conference catalysts, not Phase 1/2 readouts per se. The conference overlay signal (+20% AACR boost) applies to equity, not directly to options. No options overlay recommended beyond current equity positions.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CABA (AAN oral + EULAR): the oral presentation in autoimmune is closer to a Phase 2 readout. Phase 2 at MID is +2.1%, not a clean edge. Recommend NO options overlay; hold equity per existing thesis.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ALXO (ESMO Breast May 7): this is an oncology Phase 2 readout. Same logic — Phase 2 overall is coin-flip. Recommend no options overlay. Smart Money flag (venBio $5M) supports equity not options.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7. Methodology Appendix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4513"/>
          <w:sz w:val="23"/>
          <w:szCs w:val="23"/>
        </w:rPr>
        <w:t xml:space="preserve">Filter 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Raw: 1,828 trades (795 PDUFA + 1,033 Readout) from options_backtest_v2_results.json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has_valid_prices: require entry_bid/ask &gt; 0 and exit_bid/ask &gt; 0. Kept 1,828.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iv_sanitized: drop rows where |entry_iv_pct| or |exit_iv_pct| ∉ (0.01, 500) or |iv_change_pct| &gt; 1000. Kept 1,768 (−60).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dte_matched: entry_dte − exit_dte ∈ [13, 23] AND exit_dte ≥ 3. Kept 804 (−964).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Final honest subset: 804 trades. 322 PDUFA, 482 Readout.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4513"/>
          <w:sz w:val="23"/>
          <w:szCs w:val="23"/>
        </w:rPr>
        <w:t xml:space="preserve">Fill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WORST (0% capture): entry at ask, exit at bid. This is the naive urgency fill.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REAL_25 (25% capture): entry at bid + 0.75×(ask−bid), exit at bid + 0.25×(ask−bid). Conservative paced limits.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REAL_40 (40% capture): standard realistic paced-limit assumption for small-cap biotech options.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MID (50% capture): entry and exit at mid price. Textbook but often unachievable in illiquid biotech chains.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4513"/>
          <w:sz w:val="23"/>
          <w:szCs w:val="23"/>
        </w:rPr>
        <w:t xml:space="preserve">Bootstrap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n_boot=2000, seed=42 for reproducibility.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Percentile method: 2.5th and 97.5th percentiles of the bootstrap mean distribution.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CI-crosses-zero flag: CI lower bound ≤ 0 AND CI upper bound ≥ 0.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4513"/>
          <w:sz w:val="23"/>
          <w:szCs w:val="23"/>
        </w:rPr>
        <w:t xml:space="preserve">Files shipped with this memo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options_backtest_v12_rerun.py — recompute pipeline (~340 lines)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options_backtest_v12_results.json — segment-level JSON with every fill model and 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build_options_v12_docx.js — this memo's generator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Q2_2026_Options_v1_2_Honest_Results.docx — this memo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4513"/>
          <w:sz w:val="23"/>
          <w:szCs w:val="23"/>
        </w:rPr>
        <w:t xml:space="preserve">What v1.2 did NOT re-test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Survivorship bias (spread&gt;55% exclusion): still present. A v1.3 shadow backtest on the &gt;55%-spread universe is the next step.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Nano-cap universe: still excluded. Needs separate ORATS pull.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IV expansion curve: needs rerun with the parser fix. Deferred.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ORATS term-structure tilt as primary filter: not backtested here because ORATS historical term-structure cache isn't built. Priority for v1.3.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FinBrain PCR + insider flow as features: blocked by FinBrain MCP Pydantic bug on req parameter.</w:t>
      </w:r>
    </w:p>
    <w:p>
      <w:pPr>
        <w:spacing w:after="2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120" w:before="320"/>
        <w:jc w:val="center"/>
      </w:pPr>
      <w:r>
        <w:rPr>
          <w:rFonts w:ascii="Arial" w:cs="Arial" w:eastAsia="Arial" w:hAnsi="Arial"/>
          <w:b/>
          <w:bCs/>
          <w:i/>
          <w:iCs/>
          <w:color w:val="6B7280"/>
          <w:sz w:val="22"/>
          <w:szCs w:val="22"/>
        </w:rPr>
        <w:t xml:space="preserve">— End of v1.2 Honest Results Memo —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Prepared by Claude · 9 Realms · April 18, 2026 · v1.2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9 REALMS  ·  BIFROST OPTIONS v1.2 HONEST RESULTS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8B451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BIFROST Options v1.2 — Honest Results After Fixes</dc:title>
  <dc:creator>9 Realms</dc:creator>
  <dc:description>v1.2 honest backtest results after applying all red team methodology fixes</dc:description>
  <cp:lastModifiedBy>Un-named</cp:lastModifiedBy>
  <cp:revision>1</cp:revision>
  <dcterms:created xsi:type="dcterms:W3CDTF">2026-04-18T20:34:17.783Z</dcterms:created>
  <dcterms:modified xsi:type="dcterms:W3CDTF">2026-04-18T20:34:17.783Z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