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8"/>
          <w:sz w:val="36"/>
          <w:szCs w:val="36"/>
        </w:rPr>
        <w:t xml:space="preserve">9 Realms — Q2 2026 Kaizen Cycle</w:t>
      </w:r>
    </w:p>
    <w:p>
      <w:pPr>
        <w:spacing w:after="240"/>
        <w:jc w:val="center"/>
      </w:pPr>
      <w:r>
        <w:rPr>
          <w:i/>
          <w:iCs/>
          <w:color w:val="595959"/>
          <w:sz w:val="24"/>
          <w:szCs w:val="24"/>
        </w:rPr>
        <w:t xml:space="preserve">T-60 Runup Gap Predictor v2 + Q2 Options Scan</w:t>
      </w:r>
    </w:p>
    <w:p>
      <w:pPr>
        <w:spacing w:after="400"/>
        <w:jc w:val="center"/>
      </w:pPr>
      <w:r>
        <w:rPr>
          <w:color w:val="595959"/>
          <w:sz w:val="18"/>
          <w:szCs w:val="18"/>
        </w:rPr>
        <w:t xml:space="preserve">April 19, 2026 · David (rockyshoals@gmail.com)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120"/>
      </w:pPr>
      <w:r>
        <w:t xml:space="preserve">Two deliverables in one cycle. First, T-60 Runup Gap Predictor v2 — a ChEMBL-augmented rebuild of v1.0. Predicted mean AP-CR gap nearly doubled from +3.62 pp (v1) to +6.08 pp (v2), with CI95 [+5.48, +6.69] and 100% seed stability (v1 was 95%). Feature count collapsed 50 to 7 under honest val-only greedy selection. Second, Q2 options scan across 292 active catalysts using ORATS + cached chains. Two live edges confirmed: CORE (Phase 1/2 positive readouts, ATM calls) and LOTTO (micro/nano PDUFA + liquid strike). Top CORE picks: IMRX, AZN, CMPX, EBS, BCRX (all score &gt;=88). Top LOTTO: GRCE (score 82, spread 2.7%, OI 2,267). Portfolio positions: GRCE is the Q2 LOTTO anchor; ALXO and WHWK are CORE but have liquidity issues.</w:t>
      </w:r>
    </w:p>
    <w:p>
      <w:pPr>
        <w:spacing w:after="120"/>
      </w:pPr>
      <w:r>
        <w:t xml:space="preserve">All deployed scores are ordinally valid. Use for ranking, not calibrated probabilities.</w:t>
      </w:r>
    </w:p>
    <w:p>
      <w:pPr>
        <w:pStyle w:val="Heading1"/>
      </w:pPr>
      <w:r>
        <w:rPr>
          <w:b/>
          <w:bCs/>
        </w:rPr>
        <w:t xml:space="preserve">Part 1 — T-60 Runup Gap Predictor v2.0</w:t>
      </w:r>
    </w:p>
    <w:p>
      <w:pPr>
        <w:pStyle w:val="Heading2"/>
      </w:pPr>
      <w:r>
        <w:rPr>
          <w:b/>
          <w:bCs/>
        </w:rPr>
        <w:t xml:space="preserve">Rebuild Goals</w:t>
      </w:r>
    </w:p>
    <w:p>
      <w:pPr>
        <w:spacing w:after="120"/>
      </w:pPr>
      <w:r>
        <w:t xml:space="preserve">v1.0 locked a +3.62 pp predicted AP-CR gap on the T-60 to T-1 window with monotonic Q1→Q5 sorting but a wide CI and individual-return R² of −0.066. v2 targets three upgrades:</w:t>
      </w:r>
    </w:p>
    <w:p>
      <w:pPr>
        <w:pStyle w:val="ListParagraph"/>
        <w:numPr>
          <w:ilvl w:val="0"/>
          <w:numId w:val="2"/>
        </w:numPr>
      </w:pPr>
      <w:r>
        <w:t xml:space="preserve">Add ChEMBL drug-biology features (418 drugs × 11 attributes including molecule_type, mechanism_type, target_class).</w:t>
      </w:r>
    </w:p>
    <w:p>
      <w:pPr>
        <w:pStyle w:val="ListParagraph"/>
        <w:numPr>
          <w:ilvl w:val="0"/>
          <w:numId w:val="2"/>
        </w:numPr>
      </w:pPr>
      <w:r>
        <w:t xml:space="preserve">Add Gungnir v46 primitives (journey signals, modality interactions).</w:t>
      </w:r>
    </w:p>
    <w:p>
      <w:pPr>
        <w:pStyle w:val="ListParagraph"/>
        <w:numPr>
          <w:ilvl w:val="0"/>
          <w:numId w:val="2"/>
        </w:numPr>
      </w:pPr>
      <w:r>
        <w:t xml:space="preserve">Add Large × T4 interaction head targeting the +6.42 pp segment edge from Runup Decomposition v2.0.</w:t>
      </w:r>
    </w:p>
    <w:p>
      <w:pPr>
        <w:pStyle w:val="Heading2"/>
      </w:pPr>
      <w:r>
        <w:rPr>
          <w:b/>
          <w:bCs/>
        </w:rPr>
        <w:t xml:space="preserve">Honest Methodology</w:t>
      </w:r>
    </w:p>
    <w:p>
      <w:pPr>
        <w:pStyle w:val="ListParagraph"/>
        <w:numPr>
          <w:ilvl w:val="0"/>
          <w:numId w:val="2"/>
        </w:numPr>
      </w:pPr>
      <w:r>
        <w:t xml:space="preserve">Two-head Ridge regression: mu_AP fits approvals only, mu_CR fits CRLs only. Predicted gap = mu_AP(X) − mu_CR(X).</w:t>
      </w:r>
    </w:p>
    <w:p>
      <w:pPr>
        <w:pStyle w:val="ListParagraph"/>
        <w:numPr>
          <w:ilvl w:val="0"/>
          <w:numId w:val="2"/>
        </w:numPr>
      </w:pPr>
      <w:r>
        <w:t xml:space="preserve">3-way temporal split: train &lt;2024-01-01 (n=1,086) / val 2024 (n=360) / test ≥2025-01-01 (n=343).</w:t>
      </w:r>
    </w:p>
    <w:p>
      <w:pPr>
        <w:pStyle w:val="ListParagraph"/>
        <w:numPr>
          <w:ilvl w:val="0"/>
          <w:numId w:val="2"/>
        </w:numPr>
      </w:pPr>
      <w:r>
        <w:t xml:space="preserve">Target winsorized to [−50%, +100%].</w:t>
      </w:r>
    </w:p>
    <w:p>
      <w:pPr>
        <w:pStyle w:val="ListParagraph"/>
        <w:numPr>
          <w:ilvl w:val="0"/>
          <w:numId w:val="2"/>
        </w:numPr>
      </w:pPr>
      <w:r>
        <w:t xml:space="preserve">Alpha sweep per head. Val-only greedy forward selection, gate Δval_R² ≥ +0.002, max 25 rounds.</w:t>
      </w:r>
    </w:p>
    <w:p>
      <w:pPr>
        <w:pStyle w:val="ListParagraph"/>
        <w:numPr>
          <w:ilvl w:val="0"/>
          <w:numId w:val="2"/>
        </w:numPr>
      </w:pPr>
      <w:r>
        <w:t xml:space="preserve">Bootstrap 95% CI on predicted gap (n_boot=2000, seed=42). 20-seed stability test.</w:t>
      </w:r>
    </w:p>
    <w:p>
      <w:pPr>
        <w:pStyle w:val="ListParagraph"/>
        <w:numPr>
          <w:ilvl w:val="0"/>
          <w:numId w:val="2"/>
        </w:numPr>
      </w:pPr>
      <w:r>
        <w:t xml:space="preserve">Test touched once for final metrics.</w:t>
      </w:r>
    </w:p>
    <w:p>
      <w:pPr>
        <w:pStyle w:val="Heading2"/>
      </w:pPr>
      <w:r>
        <w:rPr>
          <w:b/>
          <w:bCs/>
        </w:rPr>
        <w:t xml:space="preserve">v2 Headline Results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v1.0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v2.0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Predicted gap (mean, test)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+3.62 pp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+6.08 pp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+2.46 pp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CI95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[+2.99, +4.27]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[+5.48, +6.69]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Tighter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Seed stability (positive %)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95.0%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100.0%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+5.0 pp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 count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−43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mu_AP alpha (converged)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Signal sharper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mu_CR alpha (converged)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Q4 actual_gap (test)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+8.20 pp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+16.26 pp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+8.06 pp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Selected Features (7)</w:t>
      </w:r>
    </w:p>
    <w:p>
      <w:pPr>
        <w:spacing w:after="120"/>
      </w:pPr>
      <w:r>
        <w:t xml:space="preserve">mu_AP head (approvals): ppm_flag, ch_scorable, ta_very_high_risk, naive_sponsor.</w:t>
      </w:r>
    </w:p>
    <w:p>
      <w:pPr>
        <w:spacing w:after="120"/>
      </w:pPr>
      <w:r>
        <w:t xml:space="preserve">mu_CR head (CRLs): experienced_sponsor, accelerated_approval, ch_tc_kinase.</w:t>
      </w:r>
    </w:p>
    <w:p>
      <w:pPr>
        <w:spacing w:after="120"/>
      </w:pPr>
      <w:r>
        <w:t xml:space="preserve">ChEMBL contribution: 2 of 7 features (ch_scorable, ch_tc_kinase) — drug-biology signal survived on both heads. Large × T4 interaction head produced zero surviving features; the +6.42 pp Large × T4 decomposition edge is already captured by ta_very_high_risk and size/tier features indirectly. Gungnir v46 primitives also did not survive — orthogonal to T-60 runup-gap signal.</w:t>
      </w:r>
    </w:p>
    <w:p>
      <w:pPr>
        <w:pStyle w:val="Heading2"/>
      </w:pPr>
      <w:r>
        <w:rPr>
          <w:b/>
          <w:bCs/>
        </w:rPr>
        <w:t xml:space="preserve">Quintile Validation (test)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Quintile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pred_gap mean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actual_AP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actual_CR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actual_gap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−0.15%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+2.63%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+10.16%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−7.54%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+5.28%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+12.20%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+13.84%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−1.64%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+8.45%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+8.83%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+14.90%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−6.07%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+18.63%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+2.50%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−13.76%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+16.26%</w:t>
            </w:r>
          </w:p>
        </w:tc>
      </w:tr>
    </w:tbl>
    <w:p>
      <w:pPr>
        <w:spacing w:after="120"/>
      </w:pPr>
      <w:r>
        <w:t xml:space="preserve">Q4 delivers the clean edge: AP runup is modest but CR actually LOSES value, producing a +16.26 pp actual gap. Q1 also cleanly avoids — CRLs run up twice as much as approvals. Q2/Q3 are middle-noise — do not allocate.</w:t>
      </w:r>
    </w:p>
    <w:p>
      <w:pPr>
        <w:pStyle w:val="Heading2"/>
      </w:pPr>
      <w:r>
        <w:rPr>
          <w:b/>
          <w:bCs/>
        </w:rPr>
        <w:t xml:space="preserve">New Quintile Thresholds (v2)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Quintile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pred_gap threshold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Allocation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≤ +0.0257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SKIP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Approvals and CRLs run up similarly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≤ +0.0621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SKIP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Weak gap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≤ +0.0848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50% allocation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Borderline gap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&gt; +0.0848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allocation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 AP-CR divergence</w:t>
            </w:r>
          </w:p>
        </w:tc>
      </w:tr>
    </w:tbl>
    <w:p>
      <w:pPr>
        <w:spacing w:after="120"/>
      </w:pPr>
      <w:r>
        <w:t xml:space="preserve">v2 is a gating filter, not a magnitude forecaster. Individual-return R² remains negative. Use ONLY quintile rank.</w:t>
      </w:r>
    </w:p>
    <w:p>
      <w:pPr>
        <w:pStyle w:val="Heading2"/>
      </w:pPr>
      <w:r>
        <w:rPr>
          <w:b/>
          <w:bCs/>
        </w:rPr>
        <w:t xml:space="preserve">Honest Limitations</w:t>
      </w:r>
    </w:p>
    <w:p>
      <w:pPr>
        <w:pStyle w:val="ListParagraph"/>
        <w:numPr>
          <w:ilvl w:val="0"/>
          <w:numId w:val="2"/>
        </w:numPr>
      </w:pPr>
      <w:r>
        <w:t xml:space="preserve">Test-set regime (2025-2026): CRLs actually ran up MORE than approvals in aggregate (AP mean +7.63% vs CR mean +11.87%). The gap-sort still works but absolute expectations should anchor on the decomposition v2 baseline, not test means.</w:t>
      </w:r>
    </w:p>
    <w:p>
      <w:pPr>
        <w:pStyle w:val="ListParagraph"/>
        <w:numPr>
          <w:ilvl w:val="0"/>
          <w:numId w:val="2"/>
        </w:numPr>
      </w:pPr>
      <w:r>
        <w:t xml:space="preserve">mu_AP alpha=10 (much less shrinkage than v1's alpha=500) — v2 has sharper feature response but higher variance.</w:t>
      </w:r>
    </w:p>
    <w:p>
      <w:pPr>
        <w:pStyle w:val="ListParagraph"/>
        <w:numPr>
          <w:ilvl w:val="0"/>
          <w:numId w:val="2"/>
        </w:numPr>
      </w:pPr>
      <w:r>
        <w:t xml:space="preserve">Only 29 events in Q4 — narrow bucket, watch for regime drift. Retrain annually.</w:t>
      </w:r>
    </w:p>
    <w:p>
      <w:pPr>
        <w:pStyle w:val="ListParagraph"/>
        <w:numPr>
          <w:ilvl w:val="0"/>
          <w:numId w:val="2"/>
        </w:numPr>
      </w:pPr>
      <w:r>
        <w:t xml:space="preserve">ChEMBL coverage not 100% — ch_scorable=0 events are penalized on mu_AP (coef +0.021). Small-cap preclinical / biologic / cell-therapy events get pushed toward lower quintiles purely by modality.</w:t>
      </w:r>
    </w:p>
    <w:p>
      <w:pPr>
        <w:pStyle w:val="Heading2"/>
      </w:pPr>
      <w:r>
        <w:rPr>
          <w:b/>
          <w:bCs/>
        </w:rPr>
        <w:t xml:space="preserve">v2 Integration Rule (locked)</w:t>
      </w:r>
    </w:p>
    <w:p>
      <w:pPr>
        <w:spacing w:after="120"/>
      </w:pPr>
      <w:r>
        <w:t xml:space="preserve">For PDUFA equity entries at T-60 to T-7 window: require T-60 Predictor v2 Q3+ AND ODIN ≥ T2. Q4 gets full allocation; Q3 gets 50%; Q1/Q2 = skip. Scorable events only — if ch_scorable=0 (biologics, cell therapy, preclinical), treat as Q1/Q2 regardless of pred_gap value.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2 — Q2 2026 Options Scan</w:t>
      </w:r>
    </w:p>
    <w:p>
      <w:pPr>
        <w:pStyle w:val="Heading2"/>
      </w:pPr>
      <w:r>
        <w:rPr>
          <w:b/>
          <w:bCs/>
        </w:rPr>
        <w:t xml:space="preserve">Scope</w:t>
      </w:r>
    </w:p>
    <w:p>
      <w:pPr>
        <w:spacing w:after="120"/>
      </w:pPr>
      <w:r>
        <w:t xml:space="preserve">Scanned 292 active Q2 catalysts (Apr 19 → Jun 30) against live/cached ORATS chains. 252 returned usable ATM call data (149 from existing cache, 103 fetched fresh). Methodology follows BIFROST Options v1.3 rules locked from 1,828-trade Red Team backtest:</w:t>
      </w:r>
    </w:p>
    <w:p>
      <w:pPr>
        <w:pStyle w:val="ListParagraph"/>
        <w:numPr>
          <w:ilvl w:val="0"/>
          <w:numId w:val="2"/>
        </w:numPr>
      </w:pPr>
      <w:r>
        <w:t xml:space="preserve">SKIP ODIN tier filter for options — edge inverts 21 pp. T1+T2 LOSE on options, T3+T4 WIN.</w:t>
      </w:r>
    </w:p>
    <w:p>
      <w:pPr>
        <w:pStyle w:val="ListParagraph"/>
        <w:numPr>
          <w:ilvl w:val="0"/>
          <w:numId w:val="2"/>
        </w:numPr>
      </w:pPr>
      <w:r>
        <w:t xml:space="preserve">Don't buy cheap IV — Q1 cheapest is the WORST segment. Edge requires IV expansion potential.</w:t>
      </w:r>
    </w:p>
    <w:p>
      <w:pPr>
        <w:pStyle w:val="ListParagraph"/>
        <w:numPr>
          <w:ilvl w:val="0"/>
          <w:numId w:val="2"/>
        </w:numPr>
      </w:pPr>
      <w:r>
        <w:t xml:space="preserve">OI sweet spot: 100-499 preferred. Avoid &lt;20 (illiquid) and ≥500 (hedging noise) except at PDUFA where liquidity trumps.</w:t>
      </w:r>
    </w:p>
    <w:p>
      <w:pPr>
        <w:pStyle w:val="ListParagraph"/>
        <w:numPr>
          <w:ilvl w:val="0"/>
          <w:numId w:val="2"/>
        </w:numPr>
      </w:pPr>
      <w:r>
        <w:t xml:space="preserve">Two live edges only: CORE (Phase 1/2 positive readout ATM T-14→T-1) and LOTTO (micro/nano PDUFA + OI≥50 + spread≤30).</w:t>
      </w:r>
    </w:p>
    <w:p>
      <w:pPr>
        <w:pStyle w:val="ListParagraph"/>
        <w:numPr>
          <w:ilvl w:val="0"/>
          <w:numId w:val="2"/>
        </w:numPr>
      </w:pPr>
      <w:r>
        <w:t xml:space="preserve">Use REAL_40 fill model for sizing, not MID. MID hides spread capture reality.</w:t>
      </w:r>
    </w:p>
    <w:p>
      <w:pPr>
        <w:pStyle w:val="Heading2"/>
      </w:pPr>
      <w:r>
        <w:rPr>
          <w:b/>
          <w:bCs/>
        </w:rPr>
        <w:t xml:space="preserve">Scan Results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1/2 positive readout candidate — core edge (+45% MID, +16% REAL_40)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LOTTO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Micro/nano PDUFA + liquid strike — tail-driven (+56% MID, +38% REAL_40)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LOTTO_LOW_LIQ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PDUFA micro/nano but OI or spread fails liquidity gate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AVOID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Fails both edges — skip options, equity-only or no position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chain/stale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live ORATS data</w:t>
            </w:r>
          </w:p>
        </w:tc>
      </w:tr>
    </w:tbl>
    <w:p>
      <w:pPr>
        <w:pStyle w:val="Heading2"/>
      </w:pPr>
      <w:r>
        <w:rPr>
          <w:b/>
          <w:bCs/>
        </w:rPr>
        <w:t xml:space="preserve">Top CORE Picks (Phase 1/2 Readouts)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9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Catalyst Date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Strike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OI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Spread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IMRX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2026-04-20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$1.20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315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25.0%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AZN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2026-04-30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$200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$10.10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9.9%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CMPX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2026-04-30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$1.93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14198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7.8%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EBS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2026-04-30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$0.88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1058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17.1%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88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BCRX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2026-04-30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$1.12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31.1%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88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KYTX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2026-04-20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$1.05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38.1%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KYTX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2026-04-21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$1.05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38.1%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MRK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2026-04-22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$119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$1.75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829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9.1%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BMRN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2026-04-30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$55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$2.17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898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29.9%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NVS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2026-04-30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$150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$5.65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15.9%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</w:tr>
    </w:tbl>
    <w:p>
      <w:pPr>
        <w:pStyle w:val="Heading3"/>
      </w:pPr>
      <w:r>
        <w:rPr>
          <w:b/>
          <w:bCs/>
        </w:rPr>
        <w:t xml:space="preserve">Top CORE Commentary</w:t>
      </w:r>
    </w:p>
    <w:p>
      <w:pPr>
        <w:spacing w:after="120"/>
      </w:pPr>
      <w:r>
        <w:rPr>
          <w:b/>
          <w:bCs/>
        </w:rPr>
        <w:t xml:space="preserve">IMRX (Apr 20, score 95):</w:t>
      </w:r>
      <w:r>
        <w:t xml:space="preserve"> Atebimetinib + mGnP Phase 2a in oncology. Gungnir prob 0.996 / T1 / BETA. ATM $5 call, mid $1.20, spread 25% (wide but not disqualifying), OI 315 (in sweet spot). IV 137% = pricing the event. Strongest CORE setup — readout is TOMORROW.</w:t>
      </w:r>
    </w:p>
    <w:p>
      <w:pPr>
        <w:spacing w:after="120"/>
      </w:pPr>
      <w:r>
        <w:rPr>
          <w:b/>
          <w:bCs/>
        </w:rPr>
        <w:t xml:space="preserve">AZN (Apr 30, score 95):</w:t>
      </w:r>
      <w:r>
        <w:t xml:space="preserve"> Tagrisso + Datroway ORCHARD Phase 2. Large cap, so IV is low (31.8%) and spread tight (9.9%). Tight OI 131. Safe CORE but magnitude capped by large cap base rate.</w:t>
      </w:r>
    </w:p>
    <w:p>
      <w:pPr>
        <w:spacing w:after="120"/>
      </w:pPr>
      <w:r>
        <w:rPr>
          <w:b/>
          <w:bCs/>
        </w:rPr>
        <w:t xml:space="preserve">CMPX (Apr 30, score 90):</w:t>
      </w:r>
      <w:r>
        <w:t xml:space="preserve"> CTX-009 DLL4×VEGF-A bispecific Phase 2/3. OI 14,198 and volume 5,548 — institutional flow is here. Spread 7.8%, IV 293% (event fully priced). High conviction CORE but IV already loaded. Watch for IV-change exit trap.</w:t>
      </w:r>
    </w:p>
    <w:p>
      <w:pPr>
        <w:spacing w:after="120"/>
      </w:pPr>
      <w:r>
        <w:rPr>
          <w:b/>
          <w:bCs/>
        </w:rPr>
        <w:t xml:space="preserve">EBS (Apr 30, score 88):</w:t>
      </w:r>
      <w:r>
        <w:t xml:space="preserve"> Brincidofovir MpOx Phase 1. IV 104.5%, spread 17.1%, OI 1,058. Clean mid-sized CORE.</w:t>
      </w:r>
    </w:p>
    <w:p>
      <w:pPr>
        <w:spacing w:after="120"/>
      </w:pPr>
      <w:r>
        <w:rPr>
          <w:b/>
          <w:bCs/>
        </w:rPr>
        <w:t xml:space="preserve">BCRX (Apr 30, score 88):</w:t>
      </w:r>
      <w:r>
        <w:t xml:space="preserve"> BCX17725 Phase 1. IV 66.5% (relatively cheap), OI 175 (sweet spot). Spread 31.1% is a concern. Mid-cap CORE.</w:t>
      </w:r>
    </w:p>
    <w:p>
      <w:pPr>
        <w:spacing w:after="120"/>
      </w:pPr>
      <w:r>
        <w:rPr>
          <w:b/>
          <w:bCs/>
        </w:rPr>
        <w:t xml:space="preserve">KYTX (Apr 20/21, score 85 both):</w:t>
      </w:r>
      <w:r>
        <w:t xml:space="preserve"> Miv-cel Phase 2. IV 97.6%, OI 264. Spread 38% is wide — REAL_40 fill penalizes. Size conservatively.</w:t>
      </w:r>
    </w:p>
    <w:p>
      <w:pPr>
        <w:pStyle w:val="Heading2"/>
      </w:pPr>
      <w:r>
        <w:rPr>
          <w:b/>
          <w:bCs/>
        </w:rPr>
        <w:t xml:space="preserve">LOTTO (micro/nano PDUFA)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9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Catalyst Date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Strike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OI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Spread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2026-04-23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$1.88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2267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2.7%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82</w:t>
            </w:r>
          </w:p>
        </w:tc>
      </w:tr>
    </w:tbl>
    <w:p>
      <w:pPr>
        <w:spacing w:after="120"/>
      </w:pPr>
      <w:r>
        <w:rPr>
          <w:b/>
          <w:bCs/>
        </w:rPr>
        <w:t xml:space="preserve">GRCE (Apr 23, score 82):</w:t>
      </w:r>
      <w:r>
        <w:t xml:space="preserve"> GTX-104 STRIVE-ON PDUFA, nano cap ($47.9M mcap). ATM $5 call, mid $1.88, spread 2.7% (very tight), OI 2,267, volume 526. IV 472% — event fully priced but that's OK for LOTTO. This is the Q2 LOTTO play. Size ≤1% per v1.3 rule. Ex-top-5 LOTTO return is only +1.15% — this is a moonshot lottery, not a repeatable edge.</w:t>
      </w:r>
    </w:p>
    <w:p>
      <w:pPr>
        <w:pStyle w:val="Heading2"/>
      </w:pPr>
      <w:r>
        <w:rPr>
          <w:b/>
          <w:bCs/>
        </w:rPr>
        <w:t xml:space="preserve">Active Portfolio Callouts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Edge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LOTTO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PDUFA Apr 23 nano. THE Q2 lottery. $5 ATM call, 2.7% spread, IV 472%. Size ≤1%.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WHWK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AACR Apr 21. Phase 1/2 Gungnir prob 0.96. BUT spread 192% = illiquid chain; not tradeable as options. Equity only.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ALXO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ESMO May 7 Phase 1/2 breast onc. Low OI (30) + spread 100% = illiquid options. Equity preferred.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CRDF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AVOID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Readout ~Jun 30 is 72 days out, outside [1,45] DTE window. Equity only, revisit at T-21.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CABA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AVOID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AAN Apr 20 was booked as Jun 29 in catalyst file — 72 days. Cell therapy anyway (OOD for options).</w:t>
            </w:r>
          </w:p>
        </w:tc>
      </w:tr>
    </w:tbl>
    <w:p>
      <w:pPr>
        <w:pStyle w:val="Heading2"/>
      </w:pPr>
      <w:r>
        <w:rPr>
          <w:b/>
          <w:bCs/>
        </w:rPr>
        <w:t xml:space="preserve">Hard Rules Applied (v1.3 recap)</w:t>
      </w:r>
    </w:p>
    <w:p>
      <w:pPr>
        <w:pStyle w:val="ListParagraph"/>
        <w:numPr>
          <w:ilvl w:val="0"/>
          <w:numId w:val="2"/>
        </w:numPr>
      </w:pPr>
      <w:r>
        <w:t xml:space="preserve">NEVER stack ODIN tier filter with options — edge is inverted 21 pp.</w:t>
      </w:r>
    </w:p>
    <w:p>
      <w:pPr>
        <w:pStyle w:val="ListParagraph"/>
        <w:numPr>
          <w:ilvl w:val="0"/>
          <w:numId w:val="2"/>
        </w:numPr>
      </w:pPr>
      <w:r>
        <w:t xml:space="preserve">DON'T buy cheap IV — Q1 IV quintile is the WORST segment. Want IV expansion, not absolute cheapness.</w:t>
      </w:r>
    </w:p>
    <w:p>
      <w:pPr>
        <w:pStyle w:val="ListParagraph"/>
        <w:numPr>
          <w:ilvl w:val="0"/>
          <w:numId w:val="2"/>
        </w:numPr>
      </w:pPr>
      <w:r>
        <w:t xml:space="preserve">OI sweet spot 100-499. Exceptions: PDUFAs where OI ≥500 is needed for exit liquidity (GRCE 2,267 is fine).</w:t>
      </w:r>
    </w:p>
    <w:p>
      <w:pPr>
        <w:pStyle w:val="ListParagraph"/>
        <w:numPr>
          <w:ilvl w:val="0"/>
          <w:numId w:val="2"/>
        </w:numPr>
      </w:pPr>
      <w:r>
        <w:t xml:space="preserve">REAL_40 fill model for sizing. MID hides 23pp of spread drag.</w:t>
      </w:r>
    </w:p>
    <w:p>
      <w:pPr>
        <w:pStyle w:val="ListParagraph"/>
        <w:numPr>
          <w:ilvl w:val="0"/>
          <w:numId w:val="2"/>
        </w:numPr>
      </w:pPr>
      <w:r>
        <w:t xml:space="preserve">LOTTO max 1% per position. CORE max 2% per position. Never hold through catalyst.</w:t>
      </w:r>
    </w:p>
    <w:p>
      <w:pPr>
        <w:pStyle w:val="Heading2"/>
      </w:pPr>
      <w:r>
        <w:rPr>
          <w:b/>
          <w:bCs/>
        </w:rPr>
        <w:t xml:space="preserve">Caveats</w:t>
      </w:r>
    </w:p>
    <w:p>
      <w:pPr>
        <w:pStyle w:val="ListParagraph"/>
        <w:numPr>
          <w:ilvl w:val="0"/>
          <w:numId w:val="2"/>
        </w:numPr>
      </w:pPr>
      <w:r>
        <w:t xml:space="preserve">IV is AT ALREADY ELEVATED LEVELS for most Phase 1/2 readouts this week. IV expansion upside is limited — CORE returns will skew to delta (stock move) not vega (IV expansion).</w:t>
      </w:r>
    </w:p>
    <w:p>
      <w:pPr>
        <w:pStyle w:val="ListParagraph"/>
        <w:numPr>
          <w:ilvl w:val="0"/>
          <w:numId w:val="2"/>
        </w:numPr>
      </w:pPr>
      <w:r>
        <w:t xml:space="preserve">40 catalysts have stale or no chain — manual ORATS pull would be needed for completeness, but the 252 scored represent the liquid universe.</w:t>
      </w:r>
    </w:p>
    <w:p>
      <w:pPr>
        <w:pStyle w:val="ListParagraph"/>
        <w:numPr>
          <w:ilvl w:val="0"/>
          <w:numId w:val="2"/>
        </w:numPr>
      </w:pPr>
      <w:r>
        <w:t xml:space="preserve">BIFROST Options v1.3 edges were validated on historical data with honest fills. Forward results may regress to the mean.</w:t>
      </w:r>
    </w:p>
    <w:p>
      <w:pPr>
        <w:pStyle w:val="ListParagraph"/>
        <w:numPr>
          <w:ilvl w:val="0"/>
          <w:numId w:val="2"/>
        </w:numPr>
      </w:pPr>
      <w:r>
        <w:t xml:space="preserve">Gungnir/ODIN scores are ordinally valid only — do not use as calibrated probabilities.</w:t>
      </w:r>
    </w:p>
    <w:p>
      <w:pPr>
        <w:pStyle w:val="Heading1"/>
      </w:pPr>
      <w:r>
        <w:rPr>
          <w:b/>
          <w:bCs/>
        </w:rPr>
        <w:t xml:space="preserve">Actions for This Week</w:t>
      </w:r>
    </w:p>
    <w:p>
      <w:pPr>
        <w:pStyle w:val="ListParagraph"/>
        <w:numPr>
          <w:ilvl w:val="0"/>
          <w:numId w:val="2"/>
        </w:numPr>
      </w:pPr>
      <w:r>
        <w:t xml:space="preserve">IMRX ATM $5 May-15 call — CORE, readout Apr 20 (TOMORROW). Enter today or do not enter. Size up to 2% (primary CORE play).</w:t>
      </w:r>
    </w:p>
    <w:p>
      <w:pPr>
        <w:pStyle w:val="ListParagraph"/>
        <w:numPr>
          <w:ilvl w:val="0"/>
          <w:numId w:val="2"/>
        </w:numPr>
      </w:pPr>
      <w:r>
        <w:t xml:space="preserve">GRCE ATM $5 May-15 call — LOTTO, PDUFA Apr 23. Size ≤1%. This is the Q2 lottery.</w:t>
      </w:r>
    </w:p>
    <w:p>
      <w:pPr>
        <w:pStyle w:val="ListParagraph"/>
        <w:numPr>
          <w:ilvl w:val="0"/>
          <w:numId w:val="2"/>
        </w:numPr>
      </w:pPr>
      <w:r>
        <w:t xml:space="preserve">CMPX ATM $6 May-15 call — CORE, Apr 30 readout. Highest institutional flow; enter by T-14 (Apr 16 has passed; entering later is acceptable but less edge).</w:t>
      </w:r>
    </w:p>
    <w:p>
      <w:pPr>
        <w:pStyle w:val="ListParagraph"/>
        <w:numPr>
          <w:ilvl w:val="0"/>
          <w:numId w:val="2"/>
        </w:numPr>
      </w:pPr>
      <w:r>
        <w:t xml:space="preserve">AZN, EBS, BCRX — CORE candidates for Apr 30. Size on spread/IV/OI profile. AZN cleanest, EBS mid, BCRX higher spread.</w:t>
      </w:r>
    </w:p>
    <w:p>
      <w:pPr>
        <w:pStyle w:val="ListParagraph"/>
        <w:numPr>
          <w:ilvl w:val="0"/>
          <w:numId w:val="2"/>
        </w:numPr>
      </w:pPr>
      <w:r>
        <w:t xml:space="preserve">ALXO, WHWK — options chains too illiquid. Stay equity.</w:t>
      </w:r>
    </w:p>
    <w:p>
      <w:pPr>
        <w:pStyle w:val="ListParagraph"/>
        <w:numPr>
          <w:ilvl w:val="0"/>
          <w:numId w:val="2"/>
        </w:numPr>
      </w:pPr>
      <w:r>
        <w:t xml:space="preserve">Update CLAUDE.md with T-60 Predictor v2 specs and Q2 option scan timestamp.</w:t>
      </w:r>
    </w:p>
    <w:p>
      <w:pPr>
        <w:spacing w:before="300"/>
      </w:pPr>
      <w:r>
        <w:rPr>
          <w:b/>
          <w:bCs/>
          <w:i/>
          <w:iCs/>
        </w:rPr>
        <w:t xml:space="preserve">Informational and educational only. Not investment advice. </w:t>
      </w:r>
      <w:r>
        <w:rPr>
          <w:i/>
          <w:iCs/>
        </w:rPr>
        <w:t xml:space="preserve">All options trades carry risk of total loss. Size per v1.3 rules and cross-engine scorecard +25% boost cap.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2026-04-20T06:10:57.951Z</dcterms:created>
  <dcterms:modified xsi:type="dcterms:W3CDTF">2026-04-20T06:10:57.951Z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