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56"/>
          <w:szCs w:val="56"/>
        </w:rPr>
        <w:t xml:space="preserve">Q2–Q4 2026</w:t>
      </w:r>
    </w:p>
    <w:p>
      <w:pPr>
        <w:spacing w:after="120"/>
        <w:jc w:val="center"/>
      </w:pPr>
      <w:r>
        <w:rPr>
          <w:rFonts w:ascii="Arial" w:cs="Arial" w:eastAsia="Arial" w:hAnsi="Arial"/>
          <w:b/>
          <w:bCs/>
          <w:color w:val="1F3864"/>
          <w:sz w:val="48"/>
          <w:szCs w:val="48"/>
        </w:rPr>
        <w:t xml:space="preserve">Biotech Catalyst Leapfrog</w:t>
      </w:r>
    </w:p>
    <w:p>
      <w:pPr>
        <w:spacing w:after="400"/>
        <w:jc w:val="center"/>
      </w:pPr>
      <w:r>
        <w:rPr>
          <w:rFonts w:ascii="Arial" w:cs="Arial" w:eastAsia="Arial" w:hAnsi="Arial"/>
          <w:b w:val="false"/>
          <w:bCs w:val="false"/>
          <w:color w:val="616161"/>
          <w:sz w:val="36"/>
          <w:szCs w:val="36"/>
        </w:rPr>
        <w:t xml:space="preserve">Compounding Strategy Memo</w:t>
      </w:r>
    </w:p>
    <w:p>
      <w:pPr>
        <w:spacing w:after="120"/>
        <w:jc w:val="center"/>
      </w:pPr>
      <w:r>
        <w:rPr>
          <w:rFonts w:ascii="Arial" w:cs="Arial" w:eastAsia="Arial" w:hAnsi="Arial"/>
          <w:i/>
          <w:iCs/>
          <w:color w:val="1F3864"/>
          <w:sz w:val="24"/>
          <w:szCs w:val="24"/>
        </w:rPr>
        <w:t xml:space="preserve">9 Realms · pdufa.bio</w:t>
      </w:r>
    </w:p>
    <w:p>
      <w:pPr>
        <w:spacing w:after="1600"/>
        <w:jc w:val="center"/>
      </w:pPr>
      <w:r>
        <w:rPr>
          <w:rFonts w:ascii="Arial" w:cs="Arial" w:eastAsia="Arial" w:hAnsi="Arial"/>
          <w:color w:val="616161"/>
          <w:sz w:val="22"/>
          <w:szCs w:val="22"/>
        </w:rPr>
        <w:t xml:space="preserve">Published April 18,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BDBD" w:sz="1"/>
              <w:left w:val="single" w:color="BDBDBD" w:sz="1"/>
              <w:bottom w:val="single" w:color="BDBDBD" w:sz="1"/>
              <w:right w:val="single" w:color="BDBDBD" w:sz="1"/>
            </w:tcBorders>
            <w:shd w:fill="C8E6C9" w:val="clear"/>
            <w:tcMar>
              <w:top w:type="dxa" w:w="160"/>
              <w:left w:type="dxa" w:w="240"/>
              <w:bottom w:type="dxa" w:w="160"/>
              <w:right w:type="dxa" w:w="240"/>
            </w:tcMar>
          </w:tcPr>
          <w:p>
            <w:pPr>
              <w:jc w:val="center"/>
            </w:pPr>
            <w:r>
              <w:rPr>
                <w:rFonts w:ascii="Arial" w:cs="Arial" w:eastAsia="Arial" w:hAnsi="Arial"/>
                <w:b/>
                <w:bCs/>
                <w:color w:val="1F3864"/>
                <w:sz w:val="26"/>
                <w:szCs w:val="26"/>
              </w:rPr>
              <w:t xml:space="preserve">Summary at a Glance</w:t>
            </w:r>
          </w:p>
          <w:p>
            <w:pPr>
              <w:spacing w:before="120"/>
              <w:jc w:val="center"/>
            </w:pPr>
            <w:r>
              <w:rPr>
                <w:rFonts w:ascii="Arial" w:cs="Arial" w:eastAsia="Arial" w:hAnsi="Arial"/>
                <w:sz w:val="22"/>
                <w:szCs w:val="22"/>
              </w:rPr>
              <w:t xml:space="preserve">818 catalysts scored  ·  156 ALPHA  ·  59 CAPR-alike homeruns  ·  48-trade leapfrog chain</w:t>
            </w:r>
          </w:p>
          <w:p>
            <w:pPr>
              <w:spacing w:before="80"/>
              <w:jc w:val="center"/>
            </w:pPr>
            <w:r>
              <w:rPr>
                <w:rFonts w:ascii="Arial" w:cs="Arial" w:eastAsia="Arial" w:hAnsi="Arial"/>
                <w:sz w:val="22"/>
                <w:szCs w:val="22"/>
              </w:rPr>
              <w:t xml:space="preserve">≤5 concurrent  ·  ≤15% portfolio heat  ·  Capital rolls exit → next entry through Dec 31, 2026</w:t>
            </w:r>
          </w:p>
          <w:p>
            <w:pPr>
              <w:spacing w:before="80"/>
              <w:jc w:val="center"/>
            </w:pPr>
            <w:r>
              <w:rPr>
                <w:rFonts w:ascii="Arial" w:cs="Arial" w:eastAsia="Arial" w:hAnsi="Arial"/>
                <w:b/>
                <w:bCs/>
                <w:color w:val="00838F"/>
                <w:sz w:val="22"/>
                <w:szCs w:val="22"/>
              </w:rPr>
              <w:t xml:space="preserve">Phase 1/2 positive readout ATM calls T-14→T-1 = sole robust options edge (+45% MID, +34% REAL_40)</w:t>
            </w:r>
          </w:p>
        </w:tc>
      </w:tr>
    </w:tbl>
    <w:p>
      <w:r>
        <w:br w:type="page"/>
      </w:r>
    </w:p>
    <w:p>
      <w:pPr>
        <w:pStyle w:val="Heading1"/>
        <w:spacing w:after="120" w:before="240"/>
      </w:pPr>
      <w:r>
        <w:rPr>
          <w:rFonts w:ascii="Arial" w:cs="Arial" w:eastAsia="Arial" w:hAnsi="Arial"/>
          <w:b/>
          <w:bCs/>
          <w:color w:val="1F3864"/>
          <w:sz w:val="32"/>
          <w:szCs w:val="32"/>
        </w:rPr>
        <w:t xml:space="preserve">1. Executive Summary</w:t>
      </w:r>
    </w:p>
    <w:p>
      <w:pPr>
        <w:spacing w:after="60" w:before="60"/>
        <w:jc w:val="left"/>
      </w:pPr>
      <w:r>
        <w:rPr>
          <w:rFonts w:ascii="Arial" w:cs="Arial" w:eastAsia="Arial" w:hAnsi="Arial"/>
          <w:b w:val="false"/>
          <w:bCs w:val="false"/>
          <w:i w:val="false"/>
          <w:iCs w:val="false"/>
          <w:color w:val="000000"/>
          <w:sz w:val="22"/>
          <w:szCs w:val="22"/>
        </w:rPr>
        <w:t xml:space="preserve">Mission — identify every biotech catalyst between today (April 18, 2026) and the end of Q4 2026 that can produce outsized return, chain them into a leapfrog calendar where capital rolls from each exit into the next entry, and size positions for high-torque compounding without breaking risk guardrails.</w:t>
      </w:r>
    </w:p>
    <w:p>
      <w:pPr>
        <w:spacing w:after="60" w:before="60"/>
        <w:jc w:val="left"/>
      </w:pPr>
      <w:r>
        <w:rPr>
          <w:rFonts w:ascii="Arial" w:cs="Arial" w:eastAsia="Arial" w:hAnsi="Arial"/>
          <w:b w:val="false"/>
          <w:bCs w:val="false"/>
          <w:i w:val="false"/>
          <w:iCs w:val="false"/>
          <w:color w:val="000000"/>
          <w:sz w:val="22"/>
          <w:szCs w:val="22"/>
        </w:rPr>
        <w:t xml:space="preserve">Result — 818 catalysts scored through ODIN v14 / Gungnir v46 / CAPR archetype filter. 48 non-overlapping trades survive the leapfrog scheduler with capital available for the next entry on the day each position exits. 29 of the 48 are ALPHA tier, 19 are BETA. Seven trades are Phase 1/2 positive-readout Options Core plays — the only options bucket that survives Red Team stress testing.</w:t>
      </w:r>
    </w:p>
    <w:p>
      <w:pPr>
        <w:spacing w:after="60" w:before="60"/>
        <w:jc w:val="left"/>
      </w:pPr>
      <w:r>
        <w:rPr>
          <w:rFonts w:ascii="Arial" w:cs="Arial" w:eastAsia="Arial" w:hAnsi="Arial"/>
          <w:b w:val="false"/>
          <w:bCs w:val="false"/>
          <w:i/>
          <w:iCs/>
          <w:color w:val="616161"/>
          <w:sz w:val="22"/>
          <w:szCs w:val="22"/>
        </w:rPr>
        <w:t xml:space="preserve">The spine of this memo — what to buy, when to enter, when to exit, what size, how to overlay options — all with honest-numbers caveats from the April 18 Red Team audit.</w:t>
      </w:r>
    </w:p>
    <w:p>
      <w:pPr>
        <w:pStyle w:val="Heading3"/>
        <w:spacing w:after="80" w:before="160"/>
      </w:pPr>
      <w:r>
        <w:rPr>
          <w:rFonts w:ascii="Arial" w:cs="Arial" w:eastAsia="Arial" w:hAnsi="Arial"/>
          <w:b/>
          <w:bCs/>
          <w:color w:val="C62828"/>
          <w:sz w:val="22"/>
          <w:szCs w:val="22"/>
        </w:rPr>
        <w:t xml:space="preserve">The single most important discovery</w:t>
      </w:r>
    </w:p>
    <w:p>
      <w:pPr>
        <w:spacing w:after="60" w:before="60"/>
        <w:jc w:val="left"/>
      </w:pPr>
      <w:r>
        <w:rPr>
          <w:rFonts w:ascii="Arial" w:cs="Arial" w:eastAsia="Arial" w:hAnsi="Arial"/>
          <w:b w:val="false"/>
          <w:bCs w:val="false"/>
          <w:i w:val="false"/>
          <w:iCs w:val="false"/>
          <w:color w:val="000000"/>
          <w:sz w:val="22"/>
          <w:szCs w:val="22"/>
        </w:rPr>
        <w:t xml:space="preserve">CAPRICOR ran +500% in December 2025 on Phase 1/2 DMD data. The archetype — nano/micro cap + orphan/BTD + oncology or rare disease + tight float + positive data language + Phase 1/2 readout edge — is replicable. Fifty-nine names in the 2026 universe match this profile at CAPR ≥ 8. Fifteen match at CAPR ≥ 9. Three match at CAPR ≥ 11 (NCNA, HIND, CHRS). These are the trades where position sizing is lottery-ticket-style but upside is 500-1000%.</w:t>
      </w:r>
    </w:p>
    <w:p>
      <w:pPr>
        <w:pStyle w:val="Heading3"/>
        <w:spacing w:after="80" w:before="160"/>
      </w:pPr>
      <w:r>
        <w:rPr>
          <w:rFonts w:ascii="Arial" w:cs="Arial" w:eastAsia="Arial" w:hAnsi="Arial"/>
          <w:b/>
          <w:bCs/>
          <w:color w:val="1F3864"/>
          <w:sz w:val="22"/>
          <w:szCs w:val="22"/>
        </w:rPr>
        <w:t xml:space="preserve">Top five near-term plays (next 45 days)</w:t>
      </w:r>
    </w:p>
    <w:p>
      <w:pPr>
        <w:pStyle w:val="ListParagraph"/>
        <w:numPr>
          <w:ilvl w:val="0"/>
          <w:numId w:val="2"/>
        </w:numPr>
        <w:spacing w:after="40" w:before="40"/>
      </w:pPr>
      <w:r>
        <w:rPr>
          <w:rFonts w:ascii="Arial" w:cs="Arial" w:eastAsia="Arial" w:hAnsi="Arial"/>
          <w:b/>
          <w:bCs/>
          <w:sz w:val="22"/>
          <w:szCs w:val="22"/>
        </w:rPr>
        <w:t xml:space="preserve">BIVI </w:t>
      </w:r>
      <w:r>
        <w:rPr>
          <w:rFonts w:ascii="Arial" w:cs="Arial" w:eastAsia="Arial" w:hAnsi="Arial"/>
          <w:sz w:val="22"/>
          <w:szCs w:val="22"/>
        </w:rPr>
        <w:t xml:space="preserve">(CAPR 11) — P2 Parkinson's, NANO, $1.53, ultra-tight float, high insider %. Conference catalyst May 17. Size 2% EQUITY+SMALL_OPTIONS. Entry 4/26, exit 5/16.</w:t>
      </w:r>
    </w:p>
    <w:p>
      <w:pPr>
        <w:pStyle w:val="ListParagraph"/>
        <w:numPr>
          <w:ilvl w:val="0"/>
          <w:numId w:val="2"/>
        </w:numPr>
        <w:spacing w:after="40" w:before="40"/>
      </w:pPr>
      <w:r>
        <w:rPr>
          <w:rFonts w:ascii="Arial" w:cs="Arial" w:eastAsia="Arial" w:hAnsi="Arial"/>
          <w:b/>
          <w:bCs/>
          <w:sz w:val="22"/>
          <w:szCs w:val="22"/>
        </w:rPr>
        <w:t xml:space="preserve">XAIR </w:t>
      </w:r>
      <w:r>
        <w:rPr>
          <w:rFonts w:ascii="Arial" w:cs="Arial" w:eastAsia="Arial" w:hAnsi="Arial"/>
          <w:sz w:val="22"/>
          <w:szCs w:val="22"/>
        </w:rPr>
        <w:t xml:space="preserve">(CAPR 9) — P1/2 gaseous NO intratumoral, NANO, $0.50, AACR readout Apr 19. CT.gov NCT05351502 completed Jun 2025 — data in hand. Lottery size 1%. Entry 3/29, exit 4/18 (already active).</w:t>
      </w:r>
    </w:p>
    <w:p>
      <w:pPr>
        <w:pStyle w:val="ListParagraph"/>
        <w:numPr>
          <w:ilvl w:val="0"/>
          <w:numId w:val="2"/>
        </w:numPr>
        <w:spacing w:after="40" w:before="40"/>
      </w:pPr>
      <w:r>
        <w:rPr>
          <w:rFonts w:ascii="Arial" w:cs="Arial" w:eastAsia="Arial" w:hAnsi="Arial"/>
          <w:b/>
          <w:bCs/>
          <w:sz w:val="22"/>
          <w:szCs w:val="22"/>
        </w:rPr>
        <w:t xml:space="preserve">GRCE </w:t>
      </w:r>
      <w:r>
        <w:rPr>
          <w:rFonts w:ascii="Arial" w:cs="Arial" w:eastAsia="Arial" w:hAnsi="Arial"/>
          <w:sz w:val="22"/>
          <w:szCs w:val="22"/>
        </w:rPr>
        <w:t xml:space="preserve">PDUFA Apr 23, PROSPER-aSAH 505(b)(2) IV nimodipine. Phase 3 completed Dec 2024. Equity primary; options lottery ≤1%. Already owned.</w:t>
      </w:r>
    </w:p>
    <w:p>
      <w:pPr>
        <w:pStyle w:val="ListParagraph"/>
        <w:numPr>
          <w:ilvl w:val="0"/>
          <w:numId w:val="2"/>
        </w:numPr>
        <w:spacing w:after="40" w:before="40"/>
      </w:pPr>
      <w:r>
        <w:rPr>
          <w:rFonts w:ascii="Arial" w:cs="Arial" w:eastAsia="Arial" w:hAnsi="Arial"/>
          <w:b/>
          <w:bCs/>
          <w:sz w:val="22"/>
          <w:szCs w:val="22"/>
        </w:rPr>
        <w:t xml:space="preserve">VRCA </w:t>
      </w:r>
      <w:r>
        <w:rPr>
          <w:rFonts w:ascii="Arial" w:cs="Arial" w:eastAsia="Arial" w:hAnsi="Arial"/>
          <w:sz w:val="22"/>
          <w:szCs w:val="22"/>
        </w:rPr>
        <w:t xml:space="preserve">(CAPR 9) — P2 VP-315 BCC intradermal, MICRO, $6.54. NCT05188729 completed Apr 2024, data mature. May 15 readout. Size 3% EQUITY+SMALL_OPTIONS.</w:t>
      </w:r>
    </w:p>
    <w:p>
      <w:pPr>
        <w:pStyle w:val="ListParagraph"/>
        <w:numPr>
          <w:ilvl w:val="0"/>
          <w:numId w:val="2"/>
        </w:numPr>
        <w:spacing w:after="40" w:before="40"/>
      </w:pPr>
      <w:r>
        <w:rPr>
          <w:rFonts w:ascii="Arial" w:cs="Arial" w:eastAsia="Arial" w:hAnsi="Arial"/>
          <w:b/>
          <w:bCs/>
          <w:sz w:val="22"/>
          <w:szCs w:val="22"/>
        </w:rPr>
        <w:t xml:space="preserve">ALXO </w:t>
      </w:r>
      <w:r>
        <w:rPr>
          <w:rFonts w:ascii="Arial" w:cs="Arial" w:eastAsia="Arial" w:hAnsi="Arial"/>
          <w:sz w:val="22"/>
          <w:szCs w:val="22"/>
        </w:rPr>
        <w:t xml:space="preserve">(CAPR 11, highest inv score 100.0) — P1/2 HER2 breast + solid, MICRO, $1.68, ESMO Breast May 7. Size 5% ALPHA EQUITY+OPTIONS_CORE. Already owned — core position.</w:t>
      </w:r>
    </w:p>
    <w:p>
      <w:r>
        <w:br w:type="page"/>
      </w:r>
    </w:p>
    <w:p>
      <w:pPr>
        <w:pStyle w:val="Heading1"/>
        <w:spacing w:after="120" w:before="240"/>
      </w:pPr>
      <w:r>
        <w:rPr>
          <w:rFonts w:ascii="Arial" w:cs="Arial" w:eastAsia="Arial" w:hAnsi="Arial"/>
          <w:b/>
          <w:bCs/>
          <w:color w:val="1F3864"/>
          <w:sz w:val="32"/>
          <w:szCs w:val="32"/>
        </w:rPr>
        <w:t xml:space="preserve">2. The Leapfrog Engine — How Capital Compounds</w:t>
      </w:r>
    </w:p>
    <w:p>
      <w:pPr>
        <w:pStyle w:val="Heading2"/>
        <w:spacing w:after="100" w:before="200"/>
      </w:pPr>
      <w:r>
        <w:rPr>
          <w:rFonts w:ascii="Arial" w:cs="Arial" w:eastAsia="Arial" w:hAnsi="Arial"/>
          <w:b/>
          <w:bCs/>
          <w:color w:val="1F3864"/>
          <w:sz w:val="26"/>
          <w:szCs w:val="26"/>
        </w:rPr>
        <w:t xml:space="preserve">2.1 Mechanism</w:t>
      </w:r>
    </w:p>
    <w:p>
      <w:pPr>
        <w:spacing w:after="60" w:before="60"/>
        <w:jc w:val="left"/>
      </w:pPr>
      <w:r>
        <w:rPr>
          <w:rFonts w:ascii="Arial" w:cs="Arial" w:eastAsia="Arial" w:hAnsi="Arial"/>
          <w:b w:val="false"/>
          <w:bCs w:val="false"/>
          <w:i w:val="false"/>
          <w:iCs w:val="false"/>
          <w:color w:val="000000"/>
          <w:sz w:val="22"/>
          <w:szCs w:val="22"/>
        </w:rPr>
        <w:t xml:space="preserve">Each trade enters at a pre-catalyst date (T-minus window sized by mcap tier + phase), holds through the runup, and exits on T-1. Never through the catalyst. The runup IS the trade. Capital freed on exit day becomes available for whatever new position enters that same week. 48 trades chained this way through Dec 31, 2026.</w:t>
      </w:r>
    </w:p>
    <w:p>
      <w:pPr>
        <w:pStyle w:val="Heading2"/>
        <w:spacing w:after="100" w:before="200"/>
      </w:pPr>
      <w:r>
        <w:rPr>
          <w:rFonts w:ascii="Arial" w:cs="Arial" w:eastAsia="Arial" w:hAnsi="Arial"/>
          <w:b/>
          <w:bCs/>
          <w:color w:val="1F3864"/>
          <w:sz w:val="26"/>
          <w:szCs w:val="26"/>
        </w:rPr>
        <w:t xml:space="preserve">2.2 Portfolio Guardrails</w:t>
      </w:r>
    </w:p>
    <w:p>
      <w:pPr>
        <w:pStyle w:val="ListParagraph"/>
        <w:numPr>
          <w:ilvl w:val="0"/>
          <w:numId w:val="2"/>
        </w:numPr>
        <w:spacing w:after="40" w:before="40"/>
      </w:pPr>
      <w:r>
        <w:rPr>
          <w:rFonts w:ascii="Arial" w:cs="Arial" w:eastAsia="Arial" w:hAnsi="Arial"/>
          <w:sz w:val="22"/>
          <w:szCs w:val="22"/>
        </w:rPr>
        <w:t xml:space="preserve">Maximum 5 concurrent positions at any time.</w:t>
      </w:r>
    </w:p>
    <w:p>
      <w:pPr>
        <w:pStyle w:val="ListParagraph"/>
        <w:numPr>
          <w:ilvl w:val="0"/>
          <w:numId w:val="2"/>
        </w:numPr>
        <w:spacing w:after="40" w:before="40"/>
      </w:pPr>
      <w:r>
        <w:rPr>
          <w:rFonts w:ascii="Arial" w:cs="Arial" w:eastAsia="Arial" w:hAnsi="Arial"/>
          <w:sz w:val="22"/>
          <w:szCs w:val="22"/>
        </w:rPr>
        <w:t xml:space="preserve">Maximum 15% total portfolio heat (sum of open position sizes).</w:t>
      </w:r>
    </w:p>
    <w:p>
      <w:pPr>
        <w:pStyle w:val="ListParagraph"/>
        <w:numPr>
          <w:ilvl w:val="0"/>
          <w:numId w:val="2"/>
        </w:numPr>
        <w:spacing w:after="40" w:before="40"/>
      </w:pPr>
      <w:r>
        <w:rPr>
          <w:rFonts w:ascii="Arial" w:cs="Arial" w:eastAsia="Arial" w:hAnsi="Arial"/>
          <w:sz w:val="22"/>
          <w:szCs w:val="22"/>
        </w:rPr>
        <w:t xml:space="preserve">Maximum 5% single position for ALPHA tier with mid/large cap.</w:t>
      </w:r>
    </w:p>
    <w:p>
      <w:pPr>
        <w:pStyle w:val="ListParagraph"/>
        <w:numPr>
          <w:ilvl w:val="0"/>
          <w:numId w:val="2"/>
        </w:numPr>
        <w:spacing w:after="40" w:before="40"/>
      </w:pPr>
      <w:r>
        <w:rPr>
          <w:rFonts w:ascii="Arial" w:cs="Arial" w:eastAsia="Arial" w:hAnsi="Arial"/>
          <w:sz w:val="22"/>
          <w:szCs w:val="22"/>
        </w:rPr>
        <w:t xml:space="preserve">Maximum 3% for nano/micro cap, max 2% for options core, max 1% for options lottery.</w:t>
      </w:r>
    </w:p>
    <w:p>
      <w:pPr>
        <w:pStyle w:val="ListParagraph"/>
        <w:numPr>
          <w:ilvl w:val="0"/>
          <w:numId w:val="2"/>
        </w:numPr>
        <w:spacing w:after="40" w:before="40"/>
      </w:pPr>
      <w:r>
        <w:rPr>
          <w:rFonts w:ascii="Arial" w:cs="Arial" w:eastAsia="Arial" w:hAnsi="Arial"/>
          <w:sz w:val="22"/>
          <w:szCs w:val="22"/>
        </w:rPr>
        <w:t xml:space="preserve">Entry windows from BIFROST v4: PDUFA large T-14, PDUFA small T-14, PDUFA micro T-25, PDUFA nano T-30, readout nano/micro T-21, readout small/mid T-14.</w:t>
      </w:r>
    </w:p>
    <w:p>
      <w:pPr>
        <w:pStyle w:val="Heading2"/>
        <w:spacing w:after="100" w:before="200"/>
      </w:pPr>
      <w:r>
        <w:rPr>
          <w:rFonts w:ascii="Arial" w:cs="Arial" w:eastAsia="Arial" w:hAnsi="Arial"/>
          <w:b/>
          <w:bCs/>
          <w:color w:val="1F3864"/>
          <w:sz w:val="26"/>
          <w:szCs w:val="26"/>
        </w:rPr>
        <w:t xml:space="preserve">2.3 Tier System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2200"/>
        <w:gridCol w:w="1960"/>
      </w:tblGrid>
      <w:tr>
        <w:trPr>
          <w:tblHeader/>
        </w:trPr>
        <w:tc>
          <w:tcPr>
            <w:tcW w:type="dxa" w:w="10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w:t>
            </w:r>
          </w:p>
        </w:tc>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w:t>
            </w:r>
          </w:p>
        </w:tc>
        <w:tc>
          <w:tcPr>
            <w:tcW w:type="dxa" w:w="1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Equity Size</w:t>
            </w:r>
          </w:p>
        </w:tc>
        <w:tc>
          <w:tcPr>
            <w:tcW w:type="dxa" w:w="2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Options Size</w:t>
            </w:r>
          </w:p>
        </w:tc>
        <w:tc>
          <w:tcPr>
            <w:tcW w:type="dxa" w:w="19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10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ALPHA</w:t>
            </w:r>
          </w:p>
        </w:tc>
        <w:tc>
          <w:tcPr>
            <w:tcW w:type="dxa" w:w="24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inv_score ≥ 85 OR CAPR ≥ 8</w:t>
            </w:r>
          </w:p>
        </w:tc>
        <w:tc>
          <w:tcPr>
            <w:tcW w:type="dxa" w:w="1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 (nano max 3%)</w:t>
            </w:r>
          </w:p>
        </w:tc>
        <w:tc>
          <w:tcPr>
            <w:tcW w:type="dxa" w:w="22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 core · 1% lottery</w:t>
            </w:r>
          </w:p>
        </w:tc>
        <w:tc>
          <w:tcPr>
            <w:tcW w:type="dxa" w:w="196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156</w:t>
            </w:r>
          </w:p>
        </w:tc>
      </w:tr>
      <w:tr>
        <w:tc>
          <w:tcPr>
            <w:tcW w:type="dxa" w:w="10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BETA</w:t>
            </w:r>
          </w:p>
        </w:tc>
        <w:tc>
          <w:tcPr>
            <w:tcW w:type="dxa" w:w="24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inv_score 72–85</w:t>
            </w:r>
          </w:p>
        </w:tc>
        <w:tc>
          <w:tcPr>
            <w:tcW w:type="dxa" w:w="18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3.5%</w:t>
            </w:r>
          </w:p>
        </w:tc>
        <w:tc>
          <w:tcPr>
            <w:tcW w:type="dxa" w:w="220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960"/>
            <w:tcBorders>
              <w:top w:val="single" w:color="BDBDBD" w:sz="1"/>
              <w:left w:val="single" w:color="BDBDBD" w:sz="1"/>
              <w:bottom w:val="single" w:color="BDBDBD" w:sz="1"/>
              <w:right w:val="single" w:color="BDBDBD" w:sz="1"/>
            </w:tcBorders>
            <w:shd w:fill="BBDEFB"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153</w:t>
            </w:r>
          </w:p>
        </w:tc>
      </w:tr>
      <w:tr>
        <w:tc>
          <w:tcPr>
            <w:tcW w:type="dxa" w:w="100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GAMMA</w:t>
            </w:r>
          </w:p>
        </w:tc>
        <w:tc>
          <w:tcPr>
            <w:tcW w:type="dxa" w:w="240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inv_score 55–72</w:t>
            </w:r>
          </w:p>
        </w:tc>
        <w:tc>
          <w:tcPr>
            <w:tcW w:type="dxa" w:w="180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220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Avoid</w:t>
            </w:r>
          </w:p>
        </w:tc>
        <w:tc>
          <w:tcPr>
            <w:tcW w:type="dxa" w:w="1960"/>
            <w:tcBorders>
              <w:top w:val="single" w:color="BDBDBD" w:sz="1"/>
              <w:left w:val="single" w:color="BDBDBD" w:sz="1"/>
              <w:bottom w:val="single" w:color="BDBDBD" w:sz="1"/>
              <w:right w:val="single" w:color="BDBDBD" w:sz="1"/>
            </w:tcBorders>
            <w:shd w:fill="FFF9C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471</w:t>
            </w:r>
          </w:p>
        </w:tc>
      </w:tr>
      <w:tr>
        <w:tc>
          <w:tcPr>
            <w:tcW w:type="dxa" w:w="1000"/>
            <w:tcBorders>
              <w:top w:val="single" w:color="BDBDBD" w:sz="1"/>
              <w:left w:val="single" w:color="BDBDBD" w:sz="1"/>
              <w:bottom w:val="single" w:color="BDBDBD" w:sz="1"/>
              <w:right w:val="single" w:color="BDBDBD" w:sz="1"/>
            </w:tcBorders>
            <w:shd w:fill="FFCCBC"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DELTA</w:t>
            </w:r>
          </w:p>
        </w:tc>
        <w:tc>
          <w:tcPr>
            <w:tcW w:type="dxa" w:w="2400"/>
            <w:tcBorders>
              <w:top w:val="single" w:color="BDBDBD" w:sz="1"/>
              <w:left w:val="single" w:color="BDBDBD" w:sz="1"/>
              <w:bottom w:val="single" w:color="BDBDBD" w:sz="1"/>
              <w:right w:val="single" w:color="BDBDBD" w:sz="1"/>
            </w:tcBorders>
            <w:shd w:fill="FFCCBC"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inv_score 40–55</w:t>
            </w:r>
          </w:p>
        </w:tc>
        <w:tc>
          <w:tcPr>
            <w:tcW w:type="dxa" w:w="1800"/>
            <w:tcBorders>
              <w:top w:val="single" w:color="BDBDBD" w:sz="1"/>
              <w:left w:val="single" w:color="BDBDBD" w:sz="1"/>
              <w:bottom w:val="single" w:color="BDBDBD" w:sz="1"/>
              <w:right w:val="single" w:color="BDBDBD" w:sz="1"/>
            </w:tcBorders>
            <w:shd w:fill="FFCCBC"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2200"/>
            <w:tcBorders>
              <w:top w:val="single" w:color="BDBDBD" w:sz="1"/>
              <w:left w:val="single" w:color="BDBDBD" w:sz="1"/>
              <w:bottom w:val="single" w:color="BDBDBD" w:sz="1"/>
              <w:right w:val="single" w:color="BDBDBD" w:sz="1"/>
            </w:tcBorders>
            <w:shd w:fill="FFCCBC"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Avoid</w:t>
            </w:r>
          </w:p>
        </w:tc>
        <w:tc>
          <w:tcPr>
            <w:tcW w:type="dxa" w:w="1960"/>
            <w:tcBorders>
              <w:top w:val="single" w:color="BDBDBD" w:sz="1"/>
              <w:left w:val="single" w:color="BDBDBD" w:sz="1"/>
              <w:bottom w:val="single" w:color="BDBDBD" w:sz="1"/>
              <w:right w:val="single" w:color="BDBDBD" w:sz="1"/>
            </w:tcBorders>
            <w:shd w:fill="FFCCBC"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31</w:t>
            </w:r>
          </w:p>
        </w:tc>
      </w:tr>
      <w:tr>
        <w:tc>
          <w:tcPr>
            <w:tcW w:type="dxa" w:w="10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OMEGA</w:t>
            </w:r>
          </w:p>
        </w:tc>
        <w:tc>
          <w:tcPr>
            <w:tcW w:type="dxa" w:w="24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inv_score &lt; 40</w:t>
            </w:r>
          </w:p>
        </w:tc>
        <w:tc>
          <w:tcPr>
            <w:tcW w:type="dxa" w:w="18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Skip</w:t>
            </w:r>
          </w:p>
        </w:tc>
        <w:tc>
          <w:tcPr>
            <w:tcW w:type="dxa" w:w="220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Avoid</w:t>
            </w:r>
          </w:p>
        </w:tc>
        <w:tc>
          <w:tcPr>
            <w:tcW w:type="dxa" w:w="1960"/>
            <w:tcBorders>
              <w:top w:val="single" w:color="BDBDBD" w:sz="1"/>
              <w:left w:val="single" w:color="BDBDBD" w:sz="1"/>
              <w:bottom w:val="single" w:color="BDBDBD" w:sz="1"/>
              <w:right w:val="single" w:color="BDBDBD" w:sz="1"/>
            </w:tcBorders>
            <w:shd w:fill="F5F5F5"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t>
            </w:r>
          </w:p>
        </w:tc>
      </w:tr>
    </w:tbl>
    <w:p>
      <w:pPr>
        <w:spacing w:before="120"/>
      </w:pPr>
    </w:p>
    <w:p>
      <w:r>
        <w:br w:type="page"/>
      </w:r>
    </w:p>
    <w:p>
      <w:pPr>
        <w:pStyle w:val="Heading1"/>
        <w:spacing w:after="120" w:before="240"/>
      </w:pPr>
      <w:r>
        <w:rPr>
          <w:rFonts w:ascii="Arial" w:cs="Arial" w:eastAsia="Arial" w:hAnsi="Arial"/>
          <w:b/>
          <w:bCs/>
          <w:color w:val="1F3864"/>
          <w:sz w:val="32"/>
          <w:szCs w:val="32"/>
        </w:rPr>
        <w:t xml:space="preserve">3. The 15-Play Spine — Top Leapfrog Trades with ClinicalTrials.gov Deep Dives</w:t>
      </w:r>
    </w:p>
    <w:p>
      <w:pPr>
        <w:spacing w:after="60" w:before="60"/>
        <w:jc w:val="left"/>
      </w:pPr>
      <w:r>
        <w:rPr>
          <w:rFonts w:ascii="Arial" w:cs="Arial" w:eastAsia="Arial" w:hAnsi="Arial"/>
          <w:b w:val="false"/>
          <w:bCs w:val="false"/>
          <w:i/>
          <w:iCs/>
          <w:color w:val="616161"/>
          <w:sz w:val="22"/>
          <w:szCs w:val="22"/>
        </w:rPr>
        <w:t xml:space="preserve">These are the 15 highest-conviction trades in chronological order. Each includes entry/exit dates, CAPR score, position size, and a bio-scientist read of the CT.gov trial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00"/>
        <w:gridCol w:w="1800"/>
        <w:gridCol w:w="800"/>
        <w:gridCol w:w="900"/>
        <w:gridCol w:w="600"/>
        <w:gridCol w:w="2260"/>
      </w:tblGrid>
      <w:tr>
        <w:trPr>
          <w:tblHeader/>
        </w:trPr>
        <w:tc>
          <w:tcPr>
            <w:tcW w:type="dxa" w:w="5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9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Ticker</w:t>
            </w:r>
          </w:p>
        </w:tc>
        <w:tc>
          <w:tcPr>
            <w:tcW w:type="dxa" w:w="16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Entry → Exit</w:t>
            </w:r>
          </w:p>
        </w:tc>
        <w:tc>
          <w:tcPr>
            <w:tcW w:type="dxa" w:w="1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Catalyst</w:t>
            </w:r>
          </w:p>
        </w:tc>
        <w:tc>
          <w:tcPr>
            <w:tcW w:type="dxa" w:w="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Mcap</w:t>
            </w:r>
          </w:p>
        </w:tc>
        <w:tc>
          <w:tcPr>
            <w:tcW w:type="dxa" w:w="9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6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CAPR</w:t>
            </w:r>
          </w:p>
        </w:tc>
        <w:tc>
          <w:tcPr>
            <w:tcW w:type="dxa" w:w="22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 @ Size</w:t>
            </w:r>
          </w:p>
        </w:tc>
      </w:tr>
      <w:tr>
        <w:tc>
          <w:tcPr>
            <w:tcW w:type="dxa" w:w="5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PLRX</w:t>
            </w:r>
          </w:p>
        </w:tc>
        <w:tc>
          <w:tcPr>
            <w:tcW w:type="dxa" w:w="1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Mar 28 → Apr 17</w:t>
            </w:r>
          </w:p>
        </w:tc>
        <w:tc>
          <w:tcPr>
            <w:tcW w:type="dxa" w:w="1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18 AACR P1</w:t>
            </w:r>
          </w:p>
        </w:tc>
        <w:tc>
          <w:tcPr>
            <w:tcW w:type="dxa" w:w="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$1.33</w:t>
            </w:r>
          </w:p>
        </w:tc>
        <w:tc>
          <w:tcPr>
            <w:tcW w:type="dxa" w:w="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226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EQUITY_ONLY @ 3%</w:t>
            </w:r>
          </w:p>
        </w:tc>
      </w:tr>
      <w:tr>
        <w:tc>
          <w:tcPr>
            <w:tcW w:type="dxa" w:w="5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XAIR</w:t>
            </w:r>
          </w:p>
        </w:tc>
        <w:tc>
          <w:tcPr>
            <w:tcW w:type="dxa" w:w="1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Mar 29 → Apr 18</w:t>
            </w:r>
          </w:p>
        </w:tc>
        <w:tc>
          <w:tcPr>
            <w:tcW w:type="dxa" w:w="1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19 AACR P1/2</w:t>
            </w:r>
          </w:p>
        </w:tc>
        <w:tc>
          <w:tcPr>
            <w:tcW w:type="dxa" w:w="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$0.50</w:t>
            </w:r>
          </w:p>
        </w:tc>
        <w:tc>
          <w:tcPr>
            <w:tcW w:type="dxa" w:w="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226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EQUITY+OPTIONS_LOTTERY @ 1%</w:t>
            </w:r>
          </w:p>
        </w:tc>
      </w:tr>
      <w:tr>
        <w:tc>
          <w:tcPr>
            <w:tcW w:type="dxa" w:w="5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GNPX</w:t>
            </w:r>
          </w:p>
        </w:tc>
        <w:tc>
          <w:tcPr>
            <w:tcW w:type="dxa" w:w="1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Mar 29 → Apr 18</w:t>
            </w:r>
          </w:p>
        </w:tc>
        <w:tc>
          <w:tcPr>
            <w:tcW w:type="dxa" w:w="1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19 AACR P1/2</w:t>
            </w:r>
          </w:p>
        </w:tc>
        <w:tc>
          <w:tcPr>
            <w:tcW w:type="dxa" w:w="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$1.34</w:t>
            </w:r>
          </w:p>
        </w:tc>
        <w:tc>
          <w:tcPr>
            <w:tcW w:type="dxa" w:w="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226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EQUITY_ONLY @ 2%</w:t>
            </w:r>
          </w:p>
        </w:tc>
      </w:tr>
      <w:tr>
        <w:tc>
          <w:tcPr>
            <w:tcW w:type="dxa" w:w="5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BCYC</w:t>
            </w:r>
          </w:p>
        </w:tc>
        <w:tc>
          <w:tcPr>
            <w:tcW w:type="dxa" w:w="1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Mar 29 → Apr 18</w:t>
            </w:r>
          </w:p>
        </w:tc>
        <w:tc>
          <w:tcPr>
            <w:tcW w:type="dxa" w:w="1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19 AACR P1/2</w:t>
            </w:r>
          </w:p>
        </w:tc>
        <w:tc>
          <w:tcPr>
            <w:tcW w:type="dxa" w:w="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$5.32</w:t>
            </w:r>
          </w:p>
        </w:tc>
        <w:tc>
          <w:tcPr>
            <w:tcW w:type="dxa" w:w="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226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EQUITY_ONLY @ 3%</w:t>
            </w:r>
          </w:p>
        </w:tc>
      </w:tr>
      <w:tr>
        <w:tc>
          <w:tcPr>
            <w:tcW w:type="dxa" w:w="5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HIND</w:t>
            </w:r>
          </w:p>
        </w:tc>
        <w:tc>
          <w:tcPr>
            <w:tcW w:type="dxa" w:w="1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01 → Apr 20</w:t>
            </w:r>
          </w:p>
        </w:tc>
        <w:tc>
          <w:tcPr>
            <w:tcW w:type="dxa" w:w="1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21 P2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$2.23</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22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EQUITY+SMALL_OPTIONS @ 2%</w:t>
            </w:r>
          </w:p>
        </w:tc>
      </w:tr>
      <w:tr>
        <w:tc>
          <w:tcPr>
            <w:tcW w:type="dxa" w:w="5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BIVI</w:t>
            </w:r>
          </w:p>
        </w:tc>
        <w:tc>
          <w:tcPr>
            <w:tcW w:type="dxa" w:w="1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26 → May 16</w:t>
            </w:r>
          </w:p>
        </w:tc>
        <w:tc>
          <w:tcPr>
            <w:tcW w:type="dxa" w:w="1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17 P2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$1.53</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22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EQUITY+SMALL_OPTIONS @ 2%</w:t>
            </w:r>
          </w:p>
        </w:tc>
      </w:tr>
      <w:tr>
        <w:tc>
          <w:tcPr>
            <w:tcW w:type="dxa" w:w="5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ALXO</w:t>
            </w:r>
          </w:p>
        </w:tc>
        <w:tc>
          <w:tcPr>
            <w:tcW w:type="dxa" w:w="1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17 → May 06</w:t>
            </w:r>
          </w:p>
        </w:tc>
        <w:tc>
          <w:tcPr>
            <w:tcW w:type="dxa" w:w="1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07 ESMO P1/2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$1.68</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22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EQUITY+OPTIONS_CORE @ 5%</w:t>
            </w:r>
          </w:p>
        </w:tc>
      </w:tr>
      <w:tr>
        <w:tc>
          <w:tcPr>
            <w:tcW w:type="dxa" w:w="5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VRCA</w:t>
            </w:r>
          </w:p>
        </w:tc>
        <w:tc>
          <w:tcPr>
            <w:tcW w:type="dxa" w:w="1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24 → May 14</w:t>
            </w:r>
          </w:p>
        </w:tc>
        <w:tc>
          <w:tcPr>
            <w:tcW w:type="dxa" w:w="1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15 P2</w:t>
            </w:r>
          </w:p>
        </w:tc>
        <w:tc>
          <w:tcPr>
            <w:tcW w:type="dxa" w:w="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$6.54</w:t>
            </w:r>
          </w:p>
        </w:tc>
        <w:tc>
          <w:tcPr>
            <w:tcW w:type="dxa" w:w="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226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EQUITY+SMALL_OPTIONS @ 3%</w:t>
            </w:r>
          </w:p>
        </w:tc>
      </w:tr>
      <w:tr>
        <w:tc>
          <w:tcPr>
            <w:tcW w:type="dxa" w:w="5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PASG</w:t>
            </w:r>
          </w:p>
        </w:tc>
        <w:tc>
          <w:tcPr>
            <w:tcW w:type="dxa" w:w="1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Jun 09 → Jun 29</w:t>
            </w:r>
          </w:p>
        </w:tc>
        <w:tc>
          <w:tcPr>
            <w:tcW w:type="dxa" w:w="1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Jun 30 P1/2</w:t>
            </w:r>
          </w:p>
        </w:tc>
        <w:tc>
          <w:tcPr>
            <w:tcW w:type="dxa" w:w="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$11.98</w:t>
            </w:r>
          </w:p>
        </w:tc>
        <w:tc>
          <w:tcPr>
            <w:tcW w:type="dxa" w:w="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226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EQUITY+OPTIONS_CORE @ 2%</w:t>
            </w:r>
          </w:p>
        </w:tc>
      </w:tr>
      <w:tr>
        <w:tc>
          <w:tcPr>
            <w:tcW w:type="dxa" w:w="5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MRKR</w:t>
            </w:r>
          </w:p>
        </w:tc>
        <w:tc>
          <w:tcPr>
            <w:tcW w:type="dxa" w:w="1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Jun 09 → Jun 29</w:t>
            </w:r>
          </w:p>
        </w:tc>
        <w:tc>
          <w:tcPr>
            <w:tcW w:type="dxa" w:w="1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Jun 30 P1</w:t>
            </w:r>
          </w:p>
        </w:tc>
        <w:tc>
          <w:tcPr>
            <w:tcW w:type="dxa" w:w="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$1.69</w:t>
            </w:r>
          </w:p>
        </w:tc>
        <w:tc>
          <w:tcPr>
            <w:tcW w:type="dxa" w:w="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226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EQUITY+OPTIONS_LOTTERY @ 1%</w:t>
            </w:r>
          </w:p>
        </w:tc>
      </w:tr>
      <w:tr>
        <w:tc>
          <w:tcPr>
            <w:tcW w:type="dxa" w:w="5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BCAB</w:t>
            </w:r>
          </w:p>
        </w:tc>
        <w:tc>
          <w:tcPr>
            <w:tcW w:type="dxa" w:w="1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Jun 09 → Jun 29</w:t>
            </w:r>
          </w:p>
        </w:tc>
        <w:tc>
          <w:tcPr>
            <w:tcW w:type="dxa" w:w="1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Jun 30 P1</w:t>
            </w:r>
          </w:p>
        </w:tc>
        <w:tc>
          <w:tcPr>
            <w:tcW w:type="dxa" w:w="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$4.85</w:t>
            </w:r>
          </w:p>
        </w:tc>
        <w:tc>
          <w:tcPr>
            <w:tcW w:type="dxa" w:w="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226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EQUITY+OPTIONS_LOTTERY @ 1%</w:t>
            </w:r>
          </w:p>
        </w:tc>
      </w:tr>
      <w:tr>
        <w:tc>
          <w:tcPr>
            <w:tcW w:type="dxa" w:w="5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PYXS</w:t>
            </w:r>
          </w:p>
        </w:tc>
        <w:tc>
          <w:tcPr>
            <w:tcW w:type="dxa" w:w="1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Aug 10 → Aug 30</w:t>
            </w:r>
          </w:p>
        </w:tc>
        <w:tc>
          <w:tcPr>
            <w:tcW w:type="dxa" w:w="1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Aug 31 P1</w:t>
            </w:r>
          </w:p>
        </w:tc>
        <w:tc>
          <w:tcPr>
            <w:tcW w:type="dxa" w:w="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$1.72</w:t>
            </w:r>
          </w:p>
        </w:tc>
        <w:tc>
          <w:tcPr>
            <w:tcW w:type="dxa" w:w="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226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EQUITY+OPTIONS_LOTTERY @ 1%</w:t>
            </w:r>
          </w:p>
        </w:tc>
      </w:tr>
      <w:tr>
        <w:tc>
          <w:tcPr>
            <w:tcW w:type="dxa" w:w="5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BOLT</w:t>
            </w:r>
          </w:p>
        </w:tc>
        <w:tc>
          <w:tcPr>
            <w:tcW w:type="dxa" w:w="1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Sep 09 → Sep 29</w:t>
            </w:r>
          </w:p>
        </w:tc>
        <w:tc>
          <w:tcPr>
            <w:tcW w:type="dxa" w:w="1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Sep 30 P1</w:t>
            </w:r>
          </w:p>
        </w:tc>
        <w:tc>
          <w:tcPr>
            <w:tcW w:type="dxa" w:w="8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$4.94</w:t>
            </w:r>
          </w:p>
        </w:tc>
        <w:tc>
          <w:tcPr>
            <w:tcW w:type="dxa" w:w="60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2260"/>
            <w:tcBorders>
              <w:top w:val="single" w:color="BDBDBD" w:sz="1"/>
              <w:left w:val="single" w:color="BDBDBD" w:sz="1"/>
              <w:bottom w:val="single" w:color="BDBDBD" w:sz="1"/>
              <w:right w:val="single" w:color="BDBDBD" w:sz="1"/>
            </w:tcBorders>
            <w:shd w:fill="C8E6C9"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EQUITY+OPTIONS_LOTTERY @ 1%</w:t>
            </w:r>
          </w:p>
        </w:tc>
      </w:tr>
      <w:tr>
        <w:tc>
          <w:tcPr>
            <w:tcW w:type="dxa" w:w="5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CHRS</w:t>
            </w:r>
          </w:p>
        </w:tc>
        <w:tc>
          <w:tcPr>
            <w:tcW w:type="dxa" w:w="1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10 → Dec 30</w:t>
            </w:r>
          </w:p>
        </w:tc>
        <w:tc>
          <w:tcPr>
            <w:tcW w:type="dxa" w:w="1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P1/2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$1.93</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22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EQUITY+OPTIONS_CORE @ 1.5%</w:t>
            </w:r>
          </w:p>
        </w:tc>
      </w:tr>
      <w:tr>
        <w:tc>
          <w:tcPr>
            <w:tcW w:type="dxa" w:w="5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IMCR</w:t>
            </w:r>
          </w:p>
        </w:tc>
        <w:tc>
          <w:tcPr>
            <w:tcW w:type="dxa" w:w="1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17 → Dec 30</w:t>
            </w:r>
          </w:p>
        </w:tc>
        <w:tc>
          <w:tcPr>
            <w:tcW w:type="dxa" w:w="1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P1/2 SABCS</w:t>
            </w:r>
          </w:p>
        </w:tc>
        <w:tc>
          <w:tcPr>
            <w:tcW w:type="dxa" w:w="8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small</w:t>
            </w:r>
          </w:p>
        </w:tc>
        <w:tc>
          <w:tcPr>
            <w:tcW w:type="dxa" w:w="9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$31.57</w:t>
            </w:r>
          </w:p>
        </w:tc>
        <w:tc>
          <w:tcPr>
            <w:tcW w:type="dxa" w:w="60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2260"/>
            <w:tcBorders>
              <w:top w:val="single" w:color="BDBDBD" w:sz="1"/>
              <w:left w:val="single" w:color="BDBDBD" w:sz="1"/>
              <w:bottom w:val="single" w:color="BDBDBD" w:sz="1"/>
              <w:right w:val="single" w:color="BDBDBD" w:sz="1"/>
            </w:tcBorders>
            <w:shd w:fill="FFE0B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EQUITY+OPTIONS_CORE @ 3.5%</w:t>
            </w:r>
          </w:p>
        </w:tc>
      </w:tr>
    </w:tbl>
    <w:p>
      <w:pPr>
        <w:spacing w:before="120"/>
      </w:pPr>
    </w:p>
    <w:p>
      <w:pPr>
        <w:pStyle w:val="Heading2"/>
        <w:spacing w:after="100" w:before="200"/>
      </w:pPr>
      <w:r>
        <w:rPr>
          <w:rFonts w:ascii="Arial" w:cs="Arial" w:eastAsia="Arial" w:hAnsi="Arial"/>
          <w:b/>
          <w:bCs/>
          <w:color w:val="1F3864"/>
          <w:sz w:val="26"/>
          <w:szCs w:val="26"/>
        </w:rPr>
        <w:t xml:space="preserve">3.x CT.gov Deep-Dive Notes</w:t>
      </w:r>
    </w:p>
    <w:p>
      <w:pPr>
        <w:pStyle w:val="Heading3"/>
        <w:spacing w:after="80" w:before="160"/>
      </w:pPr>
      <w:r>
        <w:rPr>
          <w:rFonts w:ascii="Arial" w:cs="Arial" w:eastAsia="Arial" w:hAnsi="Arial"/>
          <w:b/>
          <w:bCs/>
          <w:color w:val="1F3864"/>
          <w:sz w:val="22"/>
          <w:szCs w:val="22"/>
        </w:rPr>
        <w:t xml:space="preserve">1. PLRX — Apr 18 AACR P1</w:t>
      </w:r>
    </w:p>
    <w:p>
      <w:pPr>
        <w:spacing w:after="60" w:before="60"/>
        <w:jc w:val="left"/>
      </w:pPr>
      <w:r>
        <w:rPr>
          <w:rFonts w:ascii="Arial" w:cs="Arial" w:eastAsia="Arial" w:hAnsi="Arial"/>
          <w:b w:val="false"/>
          <w:bCs w:val="false"/>
          <w:i w:val="false"/>
          <w:iCs w:val="false"/>
          <w:color w:val="000000"/>
          <w:sz w:val="22"/>
          <w:szCs w:val="22"/>
        </w:rPr>
        <w:t xml:space="preserve">Pliant Therapeutics — AACR P1 readout. Small-cap oncology conference play. Standard BIFROST equity runup entry, no options overlay (P1 pure).</w:t>
      </w:r>
    </w:p>
    <w:p>
      <w:pPr>
        <w:pStyle w:val="Heading3"/>
        <w:spacing w:after="80" w:before="160"/>
      </w:pPr>
      <w:r>
        <w:rPr>
          <w:rFonts w:ascii="Arial" w:cs="Arial" w:eastAsia="Arial" w:hAnsi="Arial"/>
          <w:b/>
          <w:bCs/>
          <w:color w:val="1F3864"/>
          <w:sz w:val="22"/>
          <w:szCs w:val="22"/>
        </w:rPr>
        <w:t xml:space="preserve">2. XAIR — Apr 19 AACR P1/2</w:t>
      </w:r>
    </w:p>
    <w:p>
      <w:pPr>
        <w:spacing w:after="60" w:before="60"/>
        <w:jc w:val="left"/>
      </w:pPr>
      <w:r>
        <w:rPr>
          <w:rFonts w:ascii="Arial" w:cs="Arial" w:eastAsia="Arial" w:hAnsi="Arial"/>
          <w:b w:val="false"/>
          <w:bCs w:val="false"/>
          <w:i w:val="false"/>
          <w:iCs w:val="false"/>
          <w:color w:val="000000"/>
          <w:sz w:val="22"/>
          <w:szCs w:val="22"/>
        </w:rPr>
        <w:t xml:space="preserve">Beyond Air — intratumoral gaseous NO (25k/50k/100k ppm) for unresectable cutaneous/subQ tumors. NCT05351502 n=38, COMPLETED Jun 2025 — data is in the hands of the company, AACR is the public reveal. RECIST ORR at Day 21 is the money endpoint. Nano + ultra-tight float + positive data lang + AACR oral slot = CAPR profile.</w:t>
      </w:r>
    </w:p>
    <w:p>
      <w:pPr>
        <w:pStyle w:val="Heading3"/>
        <w:spacing w:after="80" w:before="160"/>
      </w:pPr>
      <w:r>
        <w:rPr>
          <w:rFonts w:ascii="Arial" w:cs="Arial" w:eastAsia="Arial" w:hAnsi="Arial"/>
          <w:b/>
          <w:bCs/>
          <w:color w:val="1F3864"/>
          <w:sz w:val="22"/>
          <w:szCs w:val="22"/>
        </w:rPr>
        <w:t xml:space="preserve">3. GNPX — Apr 19 AACR P1/2</w:t>
      </w:r>
    </w:p>
    <w:p>
      <w:pPr>
        <w:spacing w:after="60" w:before="60"/>
        <w:jc w:val="left"/>
      </w:pPr>
      <w:r>
        <w:rPr>
          <w:rFonts w:ascii="Arial" w:cs="Arial" w:eastAsia="Arial" w:hAnsi="Arial"/>
          <w:b w:val="false"/>
          <w:bCs w:val="false"/>
          <w:i w:val="false"/>
          <w:iCs w:val="false"/>
          <w:color w:val="000000"/>
          <w:sz w:val="22"/>
          <w:szCs w:val="22"/>
        </w:rPr>
        <w:t xml:space="preserve">Genprex — quaratusugene ozeplasmid (Reqorsa TUSC2 gene therapy) + osimertinib in EGFR-mut NSCLC post-osi progression. NCT04486833, Phase 2b randomized vs platinum chemo. FIRST systemic gene therapy for cancer — if it shows ORR above single-agent topo-1 ADC, stock re-rates.</w:t>
      </w:r>
    </w:p>
    <w:p>
      <w:pPr>
        <w:pStyle w:val="Heading3"/>
        <w:spacing w:after="80" w:before="160"/>
      </w:pPr>
      <w:r>
        <w:rPr>
          <w:rFonts w:ascii="Arial" w:cs="Arial" w:eastAsia="Arial" w:hAnsi="Arial"/>
          <w:b/>
          <w:bCs/>
          <w:color w:val="1F3864"/>
          <w:sz w:val="22"/>
          <w:szCs w:val="22"/>
        </w:rPr>
        <w:t xml:space="preserve">4. BCYC — Apr 19 AACR P1/2</w:t>
      </w:r>
    </w:p>
    <w:p>
      <w:pPr>
        <w:spacing w:after="60" w:before="60"/>
        <w:jc w:val="left"/>
      </w:pPr>
      <w:r>
        <w:rPr>
          <w:rFonts w:ascii="Arial" w:cs="Arial" w:eastAsia="Arial" w:hAnsi="Arial"/>
          <w:b w:val="false"/>
          <w:bCs w:val="false"/>
          <w:i w:val="false"/>
          <w:iCs w:val="false"/>
          <w:color w:val="000000"/>
          <w:sz w:val="22"/>
          <w:szCs w:val="22"/>
        </w:rPr>
        <w:t xml:space="preserve">BicycleTx — BT5528 bicyclic-peptide MMAE EphA2 ± nivo, urothelial/ovarian/NSCLC/TNBC/HNSCC/gastric. NCT04180371 active_not_recruiting, primary completion Jul 2026. Broad basket; watch for any single-indication ORR spike.</w:t>
      </w:r>
    </w:p>
    <w:p>
      <w:pPr>
        <w:pStyle w:val="Heading3"/>
        <w:spacing w:after="80" w:before="160"/>
      </w:pPr>
      <w:r>
        <w:rPr>
          <w:rFonts w:ascii="Arial" w:cs="Arial" w:eastAsia="Arial" w:hAnsi="Arial"/>
          <w:b/>
          <w:bCs/>
          <w:color w:val="1F3864"/>
          <w:sz w:val="22"/>
          <w:szCs w:val="22"/>
        </w:rPr>
        <w:t xml:space="preserve">5. HIND — Apr 21 P2</w:t>
      </w:r>
    </w:p>
    <w:p>
      <w:pPr>
        <w:spacing w:after="60" w:before="60"/>
        <w:jc w:val="left"/>
      </w:pPr>
      <w:r>
        <w:rPr>
          <w:rFonts w:ascii="Arial" w:cs="Arial" w:eastAsia="Arial" w:hAnsi="Arial"/>
          <w:b w:val="false"/>
          <w:bCs w:val="false"/>
          <w:i w:val="false"/>
          <w:iCs w:val="false"/>
          <w:color w:val="000000"/>
          <w:sz w:val="22"/>
          <w:szCs w:val="22"/>
        </w:rPr>
        <w:t xml:space="preserve">Phase 2 malignant fungating wounds — orphan indication, ultra-tight float, high insider %. CAPR 12 is elite. Size 2% equity + small options lottery. This is a rare-disease nano with positive data language in the pipeline.</w:t>
      </w:r>
    </w:p>
    <w:p>
      <w:pPr>
        <w:pStyle w:val="Heading3"/>
        <w:spacing w:after="80" w:before="160"/>
      </w:pPr>
      <w:r>
        <w:rPr>
          <w:rFonts w:ascii="Arial" w:cs="Arial" w:eastAsia="Arial" w:hAnsi="Arial"/>
          <w:b/>
          <w:bCs/>
          <w:color w:val="1F3864"/>
          <w:sz w:val="22"/>
          <w:szCs w:val="22"/>
        </w:rPr>
        <w:t xml:space="preserve">6. BIVI — May 17 P2</w:t>
      </w:r>
    </w:p>
    <w:p>
      <w:pPr>
        <w:spacing w:after="60" w:before="60"/>
        <w:jc w:val="left"/>
      </w:pPr>
      <w:r>
        <w:rPr>
          <w:rFonts w:ascii="Arial" w:cs="Arial" w:eastAsia="Arial" w:hAnsi="Arial"/>
          <w:b w:val="false"/>
          <w:bCs w:val="false"/>
          <w:i w:val="false"/>
          <w:iCs w:val="false"/>
          <w:color w:val="000000"/>
          <w:sz w:val="22"/>
          <w:szCs w:val="22"/>
        </w:rPr>
        <w:t xml:space="preserve">BioVie — P2 NE3107 Parkinson's Disease. Nano + CNS + ultra-tight float + high insider % + positive data language. Two parallel catalysts (Apr 20 AAN readout, May 17 follow-up) boost conviction. Small options overlay.</w:t>
      </w:r>
    </w:p>
    <w:p>
      <w:pPr>
        <w:pStyle w:val="Heading3"/>
        <w:spacing w:after="80" w:before="160"/>
      </w:pPr>
      <w:r>
        <w:rPr>
          <w:rFonts w:ascii="Arial" w:cs="Arial" w:eastAsia="Arial" w:hAnsi="Arial"/>
          <w:b/>
          <w:bCs/>
          <w:color w:val="1F3864"/>
          <w:sz w:val="22"/>
          <w:szCs w:val="22"/>
        </w:rPr>
        <w:t xml:space="preserve">7. ALXO — May 07 ESMO P1/2</w:t>
      </w:r>
    </w:p>
    <w:p>
      <w:pPr>
        <w:spacing w:after="60" w:before="60"/>
        <w:jc w:val="left"/>
      </w:pPr>
      <w:r>
        <w:rPr>
          <w:rFonts w:ascii="Arial" w:cs="Arial" w:eastAsia="Arial" w:hAnsi="Arial"/>
          <w:b w:val="false"/>
          <w:bCs w:val="false"/>
          <w:i w:val="false"/>
          <w:iCs w:val="false"/>
          <w:color w:val="000000"/>
          <w:sz w:val="22"/>
          <w:szCs w:val="22"/>
        </w:rPr>
        <w:t xml:space="preserve">ALX Oncology — ESMO Breast May 7, HER2 breast + solid tumor P1/2. Core ALPHA position, already owned. P1/2 positive readout at ESMO = BIFROST Options v1.2 SOLE ROBUST EDGE. ATM calls T-14→T-1. Size to full 5% equity + 2% options core = 7% total heat for this name.</w:t>
      </w:r>
    </w:p>
    <w:p>
      <w:pPr>
        <w:pStyle w:val="Heading3"/>
        <w:spacing w:after="80" w:before="160"/>
      </w:pPr>
      <w:r>
        <w:rPr>
          <w:rFonts w:ascii="Arial" w:cs="Arial" w:eastAsia="Arial" w:hAnsi="Arial"/>
          <w:b/>
          <w:bCs/>
          <w:color w:val="1F3864"/>
          <w:sz w:val="22"/>
          <w:szCs w:val="22"/>
        </w:rPr>
        <w:t xml:space="preserve">8. VRCA — May 15 P2</w:t>
      </w:r>
    </w:p>
    <w:p>
      <w:pPr>
        <w:spacing w:after="60" w:before="60"/>
        <w:jc w:val="left"/>
      </w:pPr>
      <w:r>
        <w:rPr>
          <w:rFonts w:ascii="Arial" w:cs="Arial" w:eastAsia="Arial" w:hAnsi="Arial"/>
          <w:b w:val="false"/>
          <w:bCs w:val="false"/>
          <w:i w:val="false"/>
          <w:iCs w:val="false"/>
          <w:color w:val="000000"/>
          <w:sz w:val="22"/>
          <w:szCs w:val="22"/>
        </w:rPr>
        <w:t xml:space="preserve">Verrica — VP-315 intradermal BCC, NCT05188729, n=92 COMPLETED Apr 2024 — has_results=true. Clinical and histological clearance at Day 84–91 is public. May 15 is catalyst date. Data is already released in CT.gov; runup is into an investor event or IR update.</w:t>
      </w:r>
    </w:p>
    <w:p>
      <w:pPr>
        <w:pStyle w:val="Heading3"/>
        <w:spacing w:after="80" w:before="160"/>
      </w:pPr>
      <w:r>
        <w:rPr>
          <w:rFonts w:ascii="Arial" w:cs="Arial" w:eastAsia="Arial" w:hAnsi="Arial"/>
          <w:b/>
          <w:bCs/>
          <w:color w:val="1F3864"/>
          <w:sz w:val="22"/>
          <w:szCs w:val="22"/>
        </w:rPr>
        <w:t xml:space="preserve">9. PASG — Jun 30 P1/2</w:t>
      </w:r>
    </w:p>
    <w:p>
      <w:pPr>
        <w:spacing w:after="60" w:before="60"/>
        <w:jc w:val="left"/>
      </w:pPr>
      <w:r>
        <w:rPr>
          <w:rFonts w:ascii="Arial" w:cs="Arial" w:eastAsia="Arial" w:hAnsi="Arial"/>
          <w:b w:val="false"/>
          <w:bCs w:val="false"/>
          <w:i w:val="false"/>
          <w:iCs w:val="false"/>
          <w:color w:val="000000"/>
          <w:sz w:val="22"/>
          <w:szCs w:val="22"/>
        </w:rPr>
        <w:t xml:space="preserve">Passage Bio — upliFT-D NCT04747431, AAV1-GRN gene therapy PBFT02 via ICM injection for FTD-GRN and FTD-C9orf72, n=30, 5-yr study. PGRN/NfL/MRI/CDR-FTLD endpoints. FTD gene therapy = ultra-rare + novel modality. Nano + positive data lang + P1/2 positive edge = both CAPR archetype AND the sole robust options edge. Core options position.</w:t>
      </w:r>
    </w:p>
    <w:p>
      <w:pPr>
        <w:pStyle w:val="Heading3"/>
        <w:spacing w:after="80" w:before="160"/>
      </w:pPr>
      <w:r>
        <w:rPr>
          <w:rFonts w:ascii="Arial" w:cs="Arial" w:eastAsia="Arial" w:hAnsi="Arial"/>
          <w:b/>
          <w:bCs/>
          <w:color w:val="1F3864"/>
          <w:sz w:val="22"/>
          <w:szCs w:val="22"/>
        </w:rPr>
        <w:t xml:space="preserve">10. MRKR — Jun 30 P1</w:t>
      </w:r>
    </w:p>
    <w:p>
      <w:pPr>
        <w:spacing w:after="60" w:before="60"/>
        <w:jc w:val="left"/>
      </w:pPr>
      <w:r>
        <w:rPr>
          <w:rFonts w:ascii="Arial" w:cs="Arial" w:eastAsia="Arial" w:hAnsi="Arial"/>
          <w:b w:val="false"/>
          <w:bCs w:val="false"/>
          <w:i w:val="false"/>
          <w:iCs w:val="false"/>
          <w:color w:val="000000"/>
          <w:sz w:val="22"/>
          <w:szCs w:val="22"/>
        </w:rPr>
        <w:t xml:space="preserve">Marker Therapeutics — APOLLO NCT05798897, multi-TAA-specific T cells MT-601 for R/R NHL/HL POST-CD19 CAR-T. n=79, starting dose 200×10⁶ cells, primary DLT + ORR (Lugano) + CR rate. 7 US sites, recruiting. Differentiated CAR-T salvage play — if ORR above ~30% in post-axi-cel relapsed DLBCL, stock is a multi-bagger.</w:t>
      </w:r>
    </w:p>
    <w:p>
      <w:pPr>
        <w:pStyle w:val="Heading3"/>
        <w:spacing w:after="80" w:before="160"/>
      </w:pPr>
      <w:r>
        <w:rPr>
          <w:rFonts w:ascii="Arial" w:cs="Arial" w:eastAsia="Arial" w:hAnsi="Arial"/>
          <w:b/>
          <w:bCs/>
          <w:color w:val="1F3864"/>
          <w:sz w:val="22"/>
          <w:szCs w:val="22"/>
        </w:rPr>
        <w:t xml:space="preserve">11. BCAB — Jun 30 P1</w:t>
      </w:r>
    </w:p>
    <w:p>
      <w:pPr>
        <w:spacing w:after="60" w:before="60"/>
        <w:jc w:val="left"/>
      </w:pPr>
      <w:r>
        <w:rPr>
          <w:rFonts w:ascii="Arial" w:cs="Arial" w:eastAsia="Arial" w:hAnsi="Arial"/>
          <w:b w:val="false"/>
          <w:bCs w:val="false"/>
          <w:i w:val="false"/>
          <w:iCs w:val="false"/>
          <w:color w:val="000000"/>
          <w:sz w:val="22"/>
          <w:szCs w:val="22"/>
        </w:rPr>
        <w:t xml:space="preserve">BioAtla — BA3182 bispecific EpCAM/CD3 antibody advanced adenocarcinoma. NCT05808634 n=168. Primary DLT/MTD Part 1 + ORR Part 2. Conditionally-active antibody platform; watch for single-indication ORR breakout in gastric or CRC.</w:t>
      </w:r>
    </w:p>
    <w:p>
      <w:pPr>
        <w:pStyle w:val="Heading3"/>
        <w:spacing w:after="80" w:before="160"/>
      </w:pPr>
      <w:r>
        <w:rPr>
          <w:rFonts w:ascii="Arial" w:cs="Arial" w:eastAsia="Arial" w:hAnsi="Arial"/>
          <w:b/>
          <w:bCs/>
          <w:color w:val="1F3864"/>
          <w:sz w:val="22"/>
          <w:szCs w:val="22"/>
        </w:rPr>
        <w:t xml:space="preserve">12. PYXS — Aug 31 P1</w:t>
      </w:r>
    </w:p>
    <w:p>
      <w:pPr>
        <w:spacing w:after="60" w:before="60"/>
        <w:jc w:val="left"/>
      </w:pPr>
      <w:r>
        <w:rPr>
          <w:rFonts w:ascii="Arial" w:cs="Arial" w:eastAsia="Arial" w:hAnsi="Arial"/>
          <w:b w:val="false"/>
          <w:bCs w:val="false"/>
          <w:i w:val="false"/>
          <w:iCs w:val="false"/>
          <w:color w:val="000000"/>
          <w:sz w:val="22"/>
          <w:szCs w:val="22"/>
        </w:rPr>
        <w:t xml:space="preserve">Pyxis Oncology — PYX-201 FIH advanced solid (HR+/HER2- breast post-CDK4/6, TNBC post-topo1 ADC, HNSCC). NCT05720117 n=330, primary completion Jul 2026 — data timing fits an Aug readout cleanly. DLT + ORR expansion.</w:t>
      </w:r>
    </w:p>
    <w:p>
      <w:pPr>
        <w:pStyle w:val="Heading3"/>
        <w:spacing w:after="80" w:before="160"/>
      </w:pPr>
      <w:r>
        <w:rPr>
          <w:rFonts w:ascii="Arial" w:cs="Arial" w:eastAsia="Arial" w:hAnsi="Arial"/>
          <w:b/>
          <w:bCs/>
          <w:color w:val="1F3864"/>
          <w:sz w:val="22"/>
          <w:szCs w:val="22"/>
        </w:rPr>
        <w:t xml:space="preserve">13. BOLT — Sep 30 P1</w:t>
      </w:r>
    </w:p>
    <w:p>
      <w:pPr>
        <w:spacing w:after="60" w:before="60"/>
        <w:jc w:val="left"/>
      </w:pPr>
      <w:r>
        <w:rPr>
          <w:rFonts w:ascii="Arial" w:cs="Arial" w:eastAsia="Arial" w:hAnsi="Arial"/>
          <w:b w:val="false"/>
          <w:bCs w:val="false"/>
          <w:i w:val="false"/>
          <w:iCs w:val="false"/>
          <w:color w:val="000000"/>
          <w:sz w:val="22"/>
          <w:szCs w:val="22"/>
        </w:rPr>
        <w:t xml:space="preserve">Bolt Biotherapeutics — ISAC (Immune-Stimulating Antibody Conjugate) P1 update. Nano + oncology + tight float. Watch for dose-expansion signal.</w:t>
      </w:r>
    </w:p>
    <w:p>
      <w:pPr>
        <w:pStyle w:val="Heading3"/>
        <w:spacing w:after="80" w:before="160"/>
      </w:pPr>
      <w:r>
        <w:rPr>
          <w:rFonts w:ascii="Arial" w:cs="Arial" w:eastAsia="Arial" w:hAnsi="Arial"/>
          <w:b/>
          <w:bCs/>
          <w:color w:val="1F3864"/>
          <w:sz w:val="22"/>
          <w:szCs w:val="22"/>
        </w:rPr>
        <w:t xml:space="preserve">14. CHRS — Dec 31 P1/2</w:t>
      </w:r>
    </w:p>
    <w:p>
      <w:pPr>
        <w:spacing w:after="60" w:before="60"/>
        <w:jc w:val="left"/>
      </w:pPr>
      <w:r>
        <w:rPr>
          <w:rFonts w:ascii="Arial" w:cs="Arial" w:eastAsia="Arial" w:hAnsi="Arial"/>
          <w:b w:val="false"/>
          <w:bCs w:val="false"/>
          <w:i w:val="false"/>
          <w:iCs w:val="false"/>
          <w:color w:val="000000"/>
          <w:sz w:val="22"/>
          <w:szCs w:val="22"/>
        </w:rPr>
        <w:t xml:space="preserve">Coherus — P1/2 NSCLC. CAPR 11 (micro + oncology + positive data lang + P1/2 positive edge + conference). Year-end book-it trade. Core options overlay.</w:t>
      </w:r>
    </w:p>
    <w:p>
      <w:pPr>
        <w:pStyle w:val="Heading3"/>
        <w:spacing w:after="80" w:before="160"/>
      </w:pPr>
      <w:r>
        <w:rPr>
          <w:rFonts w:ascii="Arial" w:cs="Arial" w:eastAsia="Arial" w:hAnsi="Arial"/>
          <w:b/>
          <w:bCs/>
          <w:color w:val="1F3864"/>
          <w:sz w:val="22"/>
          <w:szCs w:val="22"/>
        </w:rPr>
        <w:t xml:space="preserve">15. IMCR — Dec 31 P1/2 SABCS</w:t>
      </w:r>
    </w:p>
    <w:p>
      <w:pPr>
        <w:spacing w:after="60" w:before="60"/>
        <w:jc w:val="left"/>
      </w:pPr>
      <w:r>
        <w:rPr>
          <w:rFonts w:ascii="Arial" w:cs="Arial" w:eastAsia="Arial" w:hAnsi="Arial"/>
          <w:b w:val="false"/>
          <w:bCs w:val="false"/>
          <w:i w:val="false"/>
          <w:iCs w:val="false"/>
          <w:color w:val="000000"/>
          <w:sz w:val="22"/>
          <w:szCs w:val="22"/>
        </w:rPr>
        <w:t xml:space="preserve">Immunocore — brenetafusp (IMC-F106C) ImmTAC targeting PRAME in HLA-A*02:01 solid tumors. NCT04262466 n=410, active_not_recruiting, primary completion Oct 2026 — data matures right into Dec SABCS window. ORR + DOR readout in a validated platform (tebentafusp precedent). Small cap + P1/2 positive edge + conference = CORE options edge.</w:t>
      </w:r>
    </w:p>
    <w:p>
      <w:r>
        <w:br w:type="page"/>
      </w:r>
    </w:p>
    <w:p>
      <w:pPr>
        <w:pStyle w:val="Heading1"/>
        <w:spacing w:after="120" w:before="240"/>
      </w:pPr>
      <w:r>
        <w:rPr>
          <w:rFonts w:ascii="Arial" w:cs="Arial" w:eastAsia="Arial" w:hAnsi="Arial"/>
          <w:b/>
          <w:bCs/>
          <w:color w:val="1F3864"/>
          <w:sz w:val="32"/>
          <w:szCs w:val="32"/>
        </w:rPr>
        <w:t xml:space="preserve">4. CAPR-Alike Homerun Deep Dives</w:t>
      </w:r>
    </w:p>
    <w:p>
      <w:pPr>
        <w:spacing w:after="60" w:before="60"/>
        <w:jc w:val="left"/>
      </w:pPr>
      <w:r>
        <w:rPr>
          <w:rFonts w:ascii="Arial" w:cs="Arial" w:eastAsia="Arial" w:hAnsi="Arial"/>
          <w:b w:val="false"/>
          <w:bCs w:val="false"/>
          <w:i/>
          <w:iCs/>
          <w:color w:val="616161"/>
          <w:sz w:val="22"/>
          <w:szCs w:val="22"/>
        </w:rPr>
        <w:t xml:space="preserve">The archetype: CAPRICOR ran +500% in Dec 2025 on Phase 1/2 DMD data. The profile that set it up was nano/micro cap + orphan/BTD + rare disease + tight float + positive data language + Phase 1/2 readout edge. Fifteen 2026 names score CAPR ≥ 9 on this same filter. The ones that are Phase 1/2 positive-readout at a major conference are also eligible for the sole robust options edge.</w:t>
      </w:r>
    </w:p>
    <w:p>
      <w:pPr>
        <w:pStyle w:val="Heading2"/>
        <w:spacing w:after="100" w:before="200"/>
      </w:pPr>
      <w:r>
        <w:rPr>
          <w:rFonts w:ascii="Arial" w:cs="Arial" w:eastAsia="Arial" w:hAnsi="Arial"/>
          <w:b/>
          <w:bCs/>
          <w:color w:val="1F3864"/>
          <w:sz w:val="26"/>
          <w:szCs w:val="26"/>
        </w:rPr>
        <w:t xml:space="preserve">The CAPR-13-plus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800"/>
        <w:gridCol w:w="800"/>
        <w:gridCol w:w="900"/>
        <w:gridCol w:w="3200"/>
        <w:gridCol w:w="2160"/>
      </w:tblGrid>
      <w:tr>
        <w:trPr>
          <w:tblHeader/>
        </w:trPr>
        <w:tc>
          <w:tcPr>
            <w:tcW w:type="dxa" w:w="9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Ticker</w:t>
            </w:r>
          </w:p>
        </w:tc>
        <w:tc>
          <w:tcPr>
            <w:tcW w:type="dxa" w:w="6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CAPR</w:t>
            </w:r>
          </w:p>
        </w:tc>
        <w:tc>
          <w:tcPr>
            <w:tcW w:type="dxa" w:w="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Mcap</w:t>
            </w:r>
          </w:p>
        </w:tc>
        <w:tc>
          <w:tcPr>
            <w:tcW w:type="dxa" w:w="9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Indication</w:t>
            </w:r>
          </w:p>
        </w:tc>
        <w:tc>
          <w:tcPr>
            <w:tcW w:type="dxa" w:w="21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Catalyst Date</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NCNA</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$2.29</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Melanoma</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HIND</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$2.23</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Malignant fungating wounds</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Apr 21,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BIVI</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$1.53</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Parkinson's disease</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17,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CHRS</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$1.93</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NSCLC</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REPL</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$2.22</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Transplant recurrent cSCC</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COYA</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$4.71</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Alzheimer's Disease</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ALXO</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P1/2</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micro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$1.69</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HER2 Breast + solid tumors</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May 7,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INAB</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$1.42</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HSCT leukemias</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2026</w:t>
            </w:r>
          </w:p>
        </w:tc>
      </w:tr>
      <w:tr>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KTTA</w:t>
            </w:r>
          </w:p>
        </w:tc>
        <w:tc>
          <w:tcPr>
            <w:tcW w:type="dxa" w:w="6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P1</w:t>
            </w:r>
          </w:p>
        </w:tc>
        <w:tc>
          <w:tcPr>
            <w:tcW w:type="dxa" w:w="8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nano</w:t>
            </w:r>
          </w:p>
        </w:tc>
        <w:tc>
          <w:tcPr>
            <w:tcW w:type="dxa" w:w="9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$0.76</w:t>
            </w:r>
          </w:p>
        </w:tc>
        <w:tc>
          <w:tcPr>
            <w:tcW w:type="dxa" w:w="320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NF1 + solid tumors</w:t>
            </w:r>
          </w:p>
        </w:tc>
        <w:tc>
          <w:tcPr>
            <w:tcW w:type="dxa" w:w="2160"/>
            <w:tcBorders>
              <w:top w:val="single" w:color="BDBDBD" w:sz="1"/>
              <w:left w:val="single" w:color="BDBDBD" w:sz="1"/>
              <w:bottom w:val="single" w:color="BDBDBD" w:sz="1"/>
              <w:right w:val="single" w:color="BDBDBD" w:sz="1"/>
            </w:tcBorders>
            <w:shd w:fill="FFCDD2"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Dec 31, 2026</w:t>
            </w:r>
          </w:p>
        </w:tc>
      </w:tr>
    </w:tbl>
    <w:p>
      <w:pPr>
        <w:pStyle w:val="Heading3"/>
        <w:spacing w:after="80" w:before="160"/>
      </w:pPr>
      <w:r>
        <w:rPr>
          <w:rFonts w:ascii="Arial" w:cs="Arial" w:eastAsia="Arial" w:hAnsi="Arial"/>
          <w:b/>
          <w:bCs/>
          <w:color w:val="C62828"/>
          <w:sz w:val="22"/>
          <w:szCs w:val="22"/>
        </w:rPr>
        <w:t xml:space="preserve">Individual deep-dives</w:t>
      </w:r>
    </w:p>
    <w:p>
      <w:pPr>
        <w:spacing w:after="40" w:before="140"/>
      </w:pPr>
      <w:r>
        <w:rPr>
          <w:rFonts w:ascii="Arial" w:cs="Arial" w:eastAsia="Arial" w:hAnsi="Arial"/>
          <w:b/>
          <w:bCs/>
          <w:color w:val="C62828"/>
          <w:sz w:val="24"/>
          <w:szCs w:val="24"/>
        </w:rPr>
        <w:t xml:space="preserve">NCNA</w:t>
      </w:r>
      <w:r>
        <w:rPr>
          <w:rFonts w:ascii="Arial" w:cs="Arial" w:eastAsia="Arial" w:hAnsi="Arial"/>
          <w:sz w:val="22"/>
          <w:szCs w:val="22"/>
        </w:rPr>
        <w:t xml:space="preserve">  ·  </w:t>
      </w:r>
      <w:r>
        <w:rPr>
          <w:rFonts w:ascii="Arial" w:cs="Arial" w:eastAsia="Arial" w:hAnsi="Arial"/>
          <w:i/>
          <w:iCs/>
          <w:color w:val="616161"/>
          <w:sz w:val="22"/>
          <w:szCs w:val="22"/>
        </w:rPr>
        <w:t xml:space="preserve">NuCana · Melanoma · CAPR 14 (highest in universe)</w:t>
      </w:r>
    </w:p>
    <w:p>
      <w:pPr>
        <w:spacing w:after="60" w:before="60"/>
        <w:jc w:val="left"/>
      </w:pPr>
      <w:r>
        <w:rPr>
          <w:rFonts w:ascii="Arial" w:cs="Arial" w:eastAsia="Arial" w:hAnsi="Arial"/>
          <w:b w:val="false"/>
          <w:bCs w:val="false"/>
          <w:i w:val="false"/>
          <w:iCs w:val="false"/>
          <w:color w:val="000000"/>
          <w:sz w:val="22"/>
          <w:szCs w:val="22"/>
        </w:rPr>
        <w:t xml:space="preserve">Nano + oncology + ultra-tight float + positive data language + P1/2 positive edge + conference + low price = the strongest CAPR archetype in the 2026 universe. Dec 31 catalyst window opens late-Q4 ESMO/SABCS/ASH conference readouts. Watch CT.gov for updated primary completion before entering; size 1% lottery + 2% equity.</w:t>
      </w:r>
    </w:p>
    <w:p>
      <w:pPr>
        <w:spacing w:after="40" w:before="140"/>
      </w:pPr>
      <w:r>
        <w:rPr>
          <w:rFonts w:ascii="Arial" w:cs="Arial" w:eastAsia="Arial" w:hAnsi="Arial"/>
          <w:b/>
          <w:bCs/>
          <w:color w:val="C62828"/>
          <w:sz w:val="24"/>
          <w:szCs w:val="24"/>
        </w:rPr>
        <w:t xml:space="preserve">HIND</w:t>
      </w:r>
      <w:r>
        <w:rPr>
          <w:rFonts w:ascii="Arial" w:cs="Arial" w:eastAsia="Arial" w:hAnsi="Arial"/>
          <w:sz w:val="22"/>
          <w:szCs w:val="22"/>
        </w:rPr>
        <w:t xml:space="preserve">  ·  </w:t>
      </w:r>
      <w:r>
        <w:rPr>
          <w:rFonts w:ascii="Arial" w:cs="Arial" w:eastAsia="Arial" w:hAnsi="Arial"/>
          <w:i/>
          <w:iCs/>
          <w:color w:val="616161"/>
          <w:sz w:val="22"/>
          <w:szCs w:val="22"/>
        </w:rPr>
        <w:t xml:space="preserve">Hindlab · Malignant fungating wounds (MFW) · CAPR 12</w:t>
      </w:r>
    </w:p>
    <w:p>
      <w:pPr>
        <w:spacing w:after="60" w:before="60"/>
        <w:jc w:val="left"/>
      </w:pPr>
      <w:r>
        <w:rPr>
          <w:rFonts w:ascii="Arial" w:cs="Arial" w:eastAsia="Arial" w:hAnsi="Arial"/>
          <w:b w:val="false"/>
          <w:bCs w:val="false"/>
          <w:i w:val="false"/>
          <w:iCs w:val="false"/>
          <w:color w:val="000000"/>
          <w:sz w:val="22"/>
          <w:szCs w:val="22"/>
        </w:rPr>
        <w:t xml:space="preserve">Orphan rare indication, ultra-tight float, high insider %. Apr 21 Phase 2 readout — near-term. The orphan + high-insider signal is strong; MFW is a genuinely underserved indication. Size 2% EQUITY+SMALL_OPTIONS.</w:t>
      </w:r>
    </w:p>
    <w:p>
      <w:pPr>
        <w:spacing w:after="40" w:before="140"/>
      </w:pPr>
      <w:r>
        <w:rPr>
          <w:rFonts w:ascii="Arial" w:cs="Arial" w:eastAsia="Arial" w:hAnsi="Arial"/>
          <w:b/>
          <w:bCs/>
          <w:color w:val="C62828"/>
          <w:sz w:val="24"/>
          <w:szCs w:val="24"/>
        </w:rPr>
        <w:t xml:space="preserve">BIVI</w:t>
      </w:r>
      <w:r>
        <w:rPr>
          <w:rFonts w:ascii="Arial" w:cs="Arial" w:eastAsia="Arial" w:hAnsi="Arial"/>
          <w:sz w:val="22"/>
          <w:szCs w:val="22"/>
        </w:rPr>
        <w:t xml:space="preserve">  ·  </w:t>
      </w:r>
      <w:r>
        <w:rPr>
          <w:rFonts w:ascii="Arial" w:cs="Arial" w:eastAsia="Arial" w:hAnsi="Arial"/>
          <w:i/>
          <w:iCs/>
          <w:color w:val="616161"/>
          <w:sz w:val="22"/>
          <w:szCs w:val="22"/>
        </w:rPr>
        <w:t xml:space="preserve">BioVie · NE3107 Parkinson's · CAPR 11</w:t>
      </w:r>
    </w:p>
    <w:p>
      <w:pPr>
        <w:spacing w:after="60" w:before="60"/>
        <w:jc w:val="left"/>
      </w:pPr>
      <w:r>
        <w:rPr>
          <w:rFonts w:ascii="Arial" w:cs="Arial" w:eastAsia="Arial" w:hAnsi="Arial"/>
          <w:b w:val="false"/>
          <w:bCs w:val="false"/>
          <w:i w:val="false"/>
          <w:iCs w:val="false"/>
          <w:color w:val="000000"/>
          <w:sz w:val="22"/>
          <w:szCs w:val="22"/>
        </w:rPr>
        <w:t xml:space="preserve">P2 CNS with ultra-tight float and high insider ownership. Double catalyst structure — Apr 20 AAN conference readout and May 17 full-data update. The company has positive data language in filings and prior investor materials. Size 2% EQUITY+SMALL_OPTIONS, entry ~Apr 26, exit May 16 before catalyst.</w:t>
      </w:r>
    </w:p>
    <w:p>
      <w:pPr>
        <w:spacing w:after="40" w:before="140"/>
      </w:pPr>
      <w:r>
        <w:rPr>
          <w:rFonts w:ascii="Arial" w:cs="Arial" w:eastAsia="Arial" w:hAnsi="Arial"/>
          <w:b/>
          <w:bCs/>
          <w:color w:val="C62828"/>
          <w:sz w:val="24"/>
          <w:szCs w:val="24"/>
        </w:rPr>
        <w:t xml:space="preserve">CHRS</w:t>
      </w:r>
      <w:r>
        <w:rPr>
          <w:rFonts w:ascii="Arial" w:cs="Arial" w:eastAsia="Arial" w:hAnsi="Arial"/>
          <w:sz w:val="22"/>
          <w:szCs w:val="22"/>
        </w:rPr>
        <w:t xml:space="preserve">  ·  </w:t>
      </w:r>
      <w:r>
        <w:rPr>
          <w:rFonts w:ascii="Arial" w:cs="Arial" w:eastAsia="Arial" w:hAnsi="Arial"/>
          <w:i/>
          <w:iCs/>
          <w:color w:val="616161"/>
          <w:sz w:val="22"/>
          <w:szCs w:val="22"/>
        </w:rPr>
        <w:t xml:space="preserve">Coherus BioSciences · NSCLC · CAPR 11</w:t>
      </w:r>
    </w:p>
    <w:p>
      <w:pPr>
        <w:spacing w:after="60" w:before="60"/>
        <w:jc w:val="left"/>
      </w:pPr>
      <w:r>
        <w:rPr>
          <w:rFonts w:ascii="Arial" w:cs="Arial" w:eastAsia="Arial" w:hAnsi="Arial"/>
          <w:b w:val="false"/>
          <w:bCs w:val="false"/>
          <w:i w:val="false"/>
          <w:iCs w:val="false"/>
          <w:color w:val="000000"/>
          <w:sz w:val="22"/>
          <w:szCs w:val="22"/>
        </w:rPr>
        <w:t xml:space="preserve">Micro + oncology + positive data language + P1/2 positive edge + conference. Dec 31 readout hits a late-year conference window. CAPR 11 + P1/2 positive = BOTH homerun AND sole robust options edge. Core options position 1.5% + 2% equity.</w:t>
      </w:r>
    </w:p>
    <w:p>
      <w:pPr>
        <w:spacing w:after="40" w:before="140"/>
      </w:pPr>
      <w:r>
        <w:rPr>
          <w:rFonts w:ascii="Arial" w:cs="Arial" w:eastAsia="Arial" w:hAnsi="Arial"/>
          <w:b/>
          <w:bCs/>
          <w:color w:val="C62828"/>
          <w:sz w:val="24"/>
          <w:szCs w:val="24"/>
        </w:rPr>
        <w:t xml:space="preserve">REPL</w:t>
      </w:r>
      <w:r>
        <w:rPr>
          <w:rFonts w:ascii="Arial" w:cs="Arial" w:eastAsia="Arial" w:hAnsi="Arial"/>
          <w:sz w:val="22"/>
          <w:szCs w:val="22"/>
        </w:rPr>
        <w:t xml:space="preserve">  ·  </w:t>
      </w:r>
      <w:r>
        <w:rPr>
          <w:rFonts w:ascii="Arial" w:cs="Arial" w:eastAsia="Arial" w:hAnsi="Arial"/>
          <w:i/>
          <w:iCs/>
          <w:color w:val="616161"/>
          <w:sz w:val="22"/>
          <w:szCs w:val="22"/>
        </w:rPr>
        <w:t xml:space="preserve">Replimune · Transplant recurrent cSCC · CAPR 11</w:t>
      </w:r>
    </w:p>
    <w:p>
      <w:pPr>
        <w:spacing w:after="60" w:before="60"/>
        <w:jc w:val="left"/>
      </w:pPr>
      <w:r>
        <w:rPr>
          <w:rFonts w:ascii="Arial" w:cs="Arial" w:eastAsia="Arial" w:hAnsi="Arial"/>
          <w:b w:val="false"/>
          <w:bCs w:val="false"/>
          <w:i w:val="false"/>
          <w:iCs w:val="false"/>
          <w:color w:val="000000"/>
          <w:sz w:val="22"/>
          <w:szCs w:val="22"/>
        </w:rPr>
        <w:t xml:space="preserve">Micro + oncology + rare indication (post-transplant cSCC) + positive data language + P1/2 positive edge. RP1 oncolytic vaccinia platform with recent FDA activity. Size 1.5% options core + 2% equity.</w:t>
      </w:r>
    </w:p>
    <w:p>
      <w:pPr>
        <w:spacing w:after="40" w:before="140"/>
      </w:pPr>
      <w:r>
        <w:rPr>
          <w:rFonts w:ascii="Arial" w:cs="Arial" w:eastAsia="Arial" w:hAnsi="Arial"/>
          <w:b/>
          <w:bCs/>
          <w:color w:val="C62828"/>
          <w:sz w:val="24"/>
          <w:szCs w:val="24"/>
        </w:rPr>
        <w:t xml:space="preserve">COYA</w:t>
      </w:r>
      <w:r>
        <w:rPr>
          <w:rFonts w:ascii="Arial" w:cs="Arial" w:eastAsia="Arial" w:hAnsi="Arial"/>
          <w:sz w:val="22"/>
          <w:szCs w:val="22"/>
        </w:rPr>
        <w:t xml:space="preserve">  ·  </w:t>
      </w:r>
      <w:r>
        <w:rPr>
          <w:rFonts w:ascii="Arial" w:cs="Arial" w:eastAsia="Arial" w:hAnsi="Arial"/>
          <w:i/>
          <w:iCs/>
          <w:color w:val="616161"/>
          <w:sz w:val="22"/>
          <w:szCs w:val="22"/>
        </w:rPr>
        <w:t xml:space="preserve">Coya Therapeutics · Alzheimer's · CAPR 11</w:t>
      </w:r>
    </w:p>
    <w:p>
      <w:pPr>
        <w:spacing w:after="60" w:before="60"/>
        <w:jc w:val="left"/>
      </w:pPr>
      <w:r>
        <w:rPr>
          <w:rFonts w:ascii="Arial" w:cs="Arial" w:eastAsia="Arial" w:hAnsi="Arial"/>
          <w:b w:val="false"/>
          <w:bCs w:val="false"/>
          <w:i w:val="false"/>
          <w:iCs w:val="false"/>
          <w:color w:val="000000"/>
          <w:sz w:val="22"/>
          <w:szCs w:val="22"/>
        </w:rPr>
        <w:t xml:space="preserve">Micro + CNS + tight float + positive data language + P1/2 positive edge + conference. Treg immunomodulation in AD — contrarian MOA but early data signals support it. Dec 31 readout timing aligns with late-year AD conference circuit.</w:t>
      </w:r>
    </w:p>
    <w:p>
      <w:pPr>
        <w:spacing w:after="40" w:before="140"/>
      </w:pPr>
      <w:r>
        <w:rPr>
          <w:rFonts w:ascii="Arial" w:cs="Arial" w:eastAsia="Arial" w:hAnsi="Arial"/>
          <w:b/>
          <w:bCs/>
          <w:color w:val="C62828"/>
          <w:sz w:val="24"/>
          <w:szCs w:val="24"/>
        </w:rPr>
        <w:t xml:space="preserve">ALXO</w:t>
      </w:r>
      <w:r>
        <w:rPr>
          <w:rFonts w:ascii="Arial" w:cs="Arial" w:eastAsia="Arial" w:hAnsi="Arial"/>
          <w:sz w:val="22"/>
          <w:szCs w:val="22"/>
        </w:rPr>
        <w:t xml:space="preserve">  ·  </w:t>
      </w:r>
      <w:r>
        <w:rPr>
          <w:rFonts w:ascii="Arial" w:cs="Arial" w:eastAsia="Arial" w:hAnsi="Arial"/>
          <w:i/>
          <w:iCs/>
          <w:color w:val="616161"/>
          <w:sz w:val="22"/>
          <w:szCs w:val="22"/>
        </w:rPr>
        <w:t xml:space="preserve">ALX Oncology · HER2 breast + solid · CAPR 11 · INV SCORE 100.0</w:t>
      </w:r>
    </w:p>
    <w:p>
      <w:pPr>
        <w:spacing w:after="60" w:before="60"/>
        <w:jc w:val="left"/>
      </w:pPr>
      <w:r>
        <w:rPr>
          <w:rFonts w:ascii="Arial" w:cs="Arial" w:eastAsia="Arial" w:hAnsi="Arial"/>
          <w:b w:val="false"/>
          <w:bCs w:val="false"/>
          <w:i w:val="false"/>
          <w:iCs w:val="false"/>
          <w:color w:val="000000"/>
          <w:sz w:val="22"/>
          <w:szCs w:val="22"/>
        </w:rPr>
        <w:t xml:space="preserve">Highest investment score in the universe (100.0). P1/2 positive readout at ESMO Breast May 7 = sole robust options edge. Currently owned in portfolio. Size to full 5% equity + 2% options core. T-14 entry was Apr 23 — already in window.</w:t>
      </w:r>
    </w:p>
    <w:p>
      <w:pPr>
        <w:spacing w:after="40" w:before="140"/>
      </w:pPr>
      <w:r>
        <w:rPr>
          <w:rFonts w:ascii="Arial" w:cs="Arial" w:eastAsia="Arial" w:hAnsi="Arial"/>
          <w:b/>
          <w:bCs/>
          <w:color w:val="C62828"/>
          <w:sz w:val="24"/>
          <w:szCs w:val="24"/>
        </w:rPr>
        <w:t xml:space="preserve">INAB</w:t>
      </w:r>
      <w:r>
        <w:rPr>
          <w:rFonts w:ascii="Arial" w:cs="Arial" w:eastAsia="Arial" w:hAnsi="Arial"/>
          <w:sz w:val="22"/>
          <w:szCs w:val="22"/>
        </w:rPr>
        <w:t xml:space="preserve">  ·  </w:t>
      </w:r>
      <w:r>
        <w:rPr>
          <w:rFonts w:ascii="Arial" w:cs="Arial" w:eastAsia="Arial" w:hAnsi="Arial"/>
          <w:i/>
          <w:iCs/>
          <w:color w:val="616161"/>
          <w:sz w:val="22"/>
          <w:szCs w:val="22"/>
        </w:rPr>
        <w:t xml:space="preserve">IN8bio · HSCT leukemias · CAPR 11</w:t>
      </w:r>
    </w:p>
    <w:p>
      <w:pPr>
        <w:spacing w:after="60" w:before="60"/>
        <w:jc w:val="left"/>
      </w:pPr>
      <w:r>
        <w:rPr>
          <w:rFonts w:ascii="Arial" w:cs="Arial" w:eastAsia="Arial" w:hAnsi="Arial"/>
          <w:b w:val="false"/>
          <w:bCs w:val="false"/>
          <w:i w:val="false"/>
          <w:iCs w:val="false"/>
          <w:color w:val="000000"/>
          <w:sz w:val="22"/>
          <w:szCs w:val="22"/>
        </w:rPr>
        <w:t xml:space="preserve">Allogeneic gamma-delta T cells for leukemias undergoing haploidentical stem cell transplant. Nano + oncology + rare indication + ultra-tight float + high insider + conference. Differentiated platform. Size 1% lottery.</w:t>
      </w:r>
    </w:p>
    <w:p>
      <w:pPr>
        <w:spacing w:after="40" w:before="140"/>
      </w:pPr>
      <w:r>
        <w:rPr>
          <w:rFonts w:ascii="Arial" w:cs="Arial" w:eastAsia="Arial" w:hAnsi="Arial"/>
          <w:b/>
          <w:bCs/>
          <w:color w:val="C62828"/>
          <w:sz w:val="24"/>
          <w:szCs w:val="24"/>
        </w:rPr>
        <w:t xml:space="preserve">KTTA</w:t>
      </w:r>
      <w:r>
        <w:rPr>
          <w:rFonts w:ascii="Arial" w:cs="Arial" w:eastAsia="Arial" w:hAnsi="Arial"/>
          <w:sz w:val="22"/>
          <w:szCs w:val="22"/>
        </w:rPr>
        <w:t xml:space="preserve">  ·  </w:t>
      </w:r>
      <w:r>
        <w:rPr>
          <w:rFonts w:ascii="Arial" w:cs="Arial" w:eastAsia="Arial" w:hAnsi="Arial"/>
          <w:i/>
          <w:iCs/>
          <w:color w:val="616161"/>
          <w:sz w:val="22"/>
          <w:szCs w:val="22"/>
        </w:rPr>
        <w:t xml:space="preserve">Pasithea Therapeutics · NF1 + solid tumors · CAPR 11</w:t>
      </w:r>
    </w:p>
    <w:p>
      <w:pPr>
        <w:spacing w:after="60" w:before="60"/>
        <w:jc w:val="left"/>
      </w:pPr>
      <w:r>
        <w:rPr>
          <w:rFonts w:ascii="Arial" w:cs="Arial" w:eastAsia="Arial" w:hAnsi="Arial"/>
          <w:b w:val="false"/>
          <w:bCs w:val="false"/>
          <w:i w:val="false"/>
          <w:iCs w:val="false"/>
          <w:color w:val="000000"/>
          <w:sz w:val="22"/>
          <w:szCs w:val="22"/>
        </w:rPr>
        <w:t xml:space="preserve">Nano + oncology + CNS + fast-track designation + tight float + positive data language + low price ($0.76). NF1 is a rare genetic disorder with a small existing approved-drug competitive landscape. Size 1% lottery.</w:t>
      </w:r>
    </w:p>
    <w:p>
      <w:r>
        <w:br w:type="page"/>
      </w:r>
    </w:p>
    <w:p>
      <w:pPr>
        <w:pStyle w:val="Heading1"/>
        <w:spacing w:after="120" w:before="240"/>
      </w:pPr>
      <w:r>
        <w:rPr>
          <w:rFonts w:ascii="Arial" w:cs="Arial" w:eastAsia="Arial" w:hAnsi="Arial"/>
          <w:b/>
          <w:bCs/>
          <w:color w:val="1F3864"/>
          <w:sz w:val="32"/>
          <w:szCs w:val="32"/>
        </w:rPr>
        <w:t xml:space="preserve">5. Options Strategy — BIFROST v1.2 Guardrails</w:t>
      </w:r>
    </w:p>
    <w:p>
      <w:pPr>
        <w:spacing w:after="60" w:before="60"/>
        <w:jc w:val="left"/>
      </w:pPr>
      <w:r>
        <w:rPr>
          <w:rFonts w:ascii="Arial" w:cs="Arial" w:eastAsia="Arial" w:hAnsi="Arial"/>
          <w:b w:val="false"/>
          <w:bCs w:val="false"/>
          <w:i/>
          <w:iCs/>
          <w:color w:val="616161"/>
          <w:sz w:val="22"/>
          <w:szCs w:val="22"/>
        </w:rPr>
        <w:t xml:space="preserve">The April 18 Red Team memo overturned five v1.1 assumptions. This section is binding: it tells us exactly which option trades to enter and which to avoid.</w:t>
      </w:r>
    </w:p>
    <w:p>
      <w:pPr>
        <w:pStyle w:val="Heading2"/>
        <w:spacing w:after="100" w:before="200"/>
      </w:pPr>
      <w:r>
        <w:rPr>
          <w:rFonts w:ascii="Arial" w:cs="Arial" w:eastAsia="Arial" w:hAnsi="Arial"/>
          <w:b/>
          <w:bCs/>
          <w:color w:val="1F3864"/>
          <w:sz w:val="26"/>
          <w:szCs w:val="26"/>
        </w:rPr>
        <w:t xml:space="preserve">5.1 The only robust options edge (keep)</w:t>
      </w:r>
    </w:p>
    <w:p>
      <w:pPr>
        <w:spacing w:after="60" w:before="60"/>
        <w:jc w:val="left"/>
      </w:pPr>
      <w:r>
        <w:rPr>
          <w:rFonts w:ascii="Arial" w:cs="Arial" w:eastAsia="Arial" w:hAnsi="Arial"/>
          <w:b/>
          <w:bCs/>
          <w:i w:val="false"/>
          <w:iCs w:val="false"/>
          <w:color w:val="00838F"/>
          <w:sz w:val="22"/>
          <w:szCs w:val="22"/>
        </w:rPr>
        <w:t xml:space="preserve">Phase 1/2 positive readout ATM calls, T-14 → T-1, n=36: +45.0% MID [CI +12.0, +80.5], +33.7% at REAL_40, 58.3% win rate. Ex-top-5 still +16.4%. CI entirely above zero at both fill models. This is the one trade to keep.</w:t>
      </w:r>
    </w:p>
    <w:p>
      <w:pPr>
        <w:pStyle w:val="ListParagraph"/>
        <w:numPr>
          <w:ilvl w:val="0"/>
          <w:numId w:val="2"/>
        </w:numPr>
        <w:spacing w:after="40" w:before="40"/>
      </w:pPr>
      <w:r>
        <w:rPr>
          <w:rFonts w:ascii="Arial" w:cs="Arial" w:eastAsia="Arial" w:hAnsi="Arial"/>
          <w:sz w:val="22"/>
          <w:szCs w:val="22"/>
        </w:rPr>
        <w:t xml:space="preserve">ALXO ESMO Breast May 7 — position already open.</w:t>
      </w:r>
    </w:p>
    <w:p>
      <w:pPr>
        <w:pStyle w:val="ListParagraph"/>
        <w:numPr>
          <w:ilvl w:val="0"/>
          <w:numId w:val="2"/>
        </w:numPr>
        <w:spacing w:after="40" w:before="40"/>
      </w:pPr>
      <w:r>
        <w:rPr>
          <w:rFonts w:ascii="Arial" w:cs="Arial" w:eastAsia="Arial" w:hAnsi="Arial"/>
          <w:sz w:val="22"/>
          <w:szCs w:val="22"/>
        </w:rPr>
        <w:t xml:space="preserve">PASG upliFT-D FTD gene therapy — P1/2 positive edge, Jun 30.</w:t>
      </w:r>
    </w:p>
    <w:p>
      <w:pPr>
        <w:pStyle w:val="ListParagraph"/>
        <w:numPr>
          <w:ilvl w:val="0"/>
          <w:numId w:val="2"/>
        </w:numPr>
        <w:spacing w:after="40" w:before="40"/>
      </w:pPr>
      <w:r>
        <w:rPr>
          <w:rFonts w:ascii="Arial" w:cs="Arial" w:eastAsia="Arial" w:hAnsi="Arial"/>
          <w:sz w:val="22"/>
          <w:szCs w:val="22"/>
        </w:rPr>
        <w:t xml:space="preserve">CHRS NSCLC — P1/2 positive, Dec 31.</w:t>
      </w:r>
    </w:p>
    <w:p>
      <w:pPr>
        <w:pStyle w:val="ListParagraph"/>
        <w:numPr>
          <w:ilvl w:val="0"/>
          <w:numId w:val="2"/>
        </w:numPr>
        <w:spacing w:after="40" w:before="40"/>
      </w:pPr>
      <w:r>
        <w:rPr>
          <w:rFonts w:ascii="Arial" w:cs="Arial" w:eastAsia="Arial" w:hAnsi="Arial"/>
          <w:sz w:val="22"/>
          <w:szCs w:val="22"/>
        </w:rPr>
        <w:t xml:space="preserve">COYA Alzheimer's P1/2 positive — Dec 31.</w:t>
      </w:r>
    </w:p>
    <w:p>
      <w:pPr>
        <w:pStyle w:val="ListParagraph"/>
        <w:numPr>
          <w:ilvl w:val="0"/>
          <w:numId w:val="2"/>
        </w:numPr>
        <w:spacing w:after="40" w:before="40"/>
      </w:pPr>
      <w:r>
        <w:rPr>
          <w:rFonts w:ascii="Arial" w:cs="Arial" w:eastAsia="Arial" w:hAnsi="Arial"/>
          <w:sz w:val="22"/>
          <w:szCs w:val="22"/>
        </w:rPr>
        <w:t xml:space="preserve">GANX GBA1 Parkinson's P1/2 positive — Dec 31.</w:t>
      </w:r>
    </w:p>
    <w:p>
      <w:pPr>
        <w:pStyle w:val="ListParagraph"/>
        <w:numPr>
          <w:ilvl w:val="0"/>
          <w:numId w:val="2"/>
        </w:numPr>
        <w:spacing w:after="40" w:before="40"/>
      </w:pPr>
      <w:r>
        <w:rPr>
          <w:rFonts w:ascii="Arial" w:cs="Arial" w:eastAsia="Arial" w:hAnsi="Arial"/>
          <w:sz w:val="22"/>
          <w:szCs w:val="22"/>
        </w:rPr>
        <w:t xml:space="preserve">IMCR brenetafusp SABCS — P1/2 positive, Dec 31.</w:t>
      </w:r>
    </w:p>
    <w:p>
      <w:pPr>
        <w:pStyle w:val="ListParagraph"/>
        <w:numPr>
          <w:ilvl w:val="0"/>
          <w:numId w:val="2"/>
        </w:numPr>
        <w:spacing w:after="40" w:before="40"/>
      </w:pPr>
      <w:r>
        <w:rPr>
          <w:rFonts w:ascii="Arial" w:cs="Arial" w:eastAsia="Arial" w:hAnsi="Arial"/>
          <w:sz w:val="22"/>
          <w:szCs w:val="22"/>
        </w:rPr>
        <w:t xml:space="preserve">CLLS Non-Hodgkin Lymphoma P1/2 positive — Dec 31.</w:t>
      </w:r>
    </w:p>
    <w:p>
      <w:pPr>
        <w:pStyle w:val="ListParagraph"/>
        <w:numPr>
          <w:ilvl w:val="0"/>
          <w:numId w:val="2"/>
        </w:numPr>
        <w:spacing w:after="40" w:before="40"/>
      </w:pPr>
      <w:r>
        <w:rPr>
          <w:rFonts w:ascii="Arial" w:cs="Arial" w:eastAsia="Arial" w:hAnsi="Arial"/>
          <w:sz w:val="22"/>
          <w:szCs w:val="22"/>
        </w:rPr>
        <w:t xml:space="preserve">REPL transplant cSCC P1/2 positive — Dec 31.</w:t>
      </w:r>
    </w:p>
    <w:p>
      <w:pPr>
        <w:pStyle w:val="Heading2"/>
        <w:spacing w:after="100" w:before="200"/>
      </w:pPr>
      <w:r>
        <w:rPr>
          <w:rFonts w:ascii="Arial" w:cs="Arial" w:eastAsia="Arial" w:hAnsi="Arial"/>
          <w:b/>
          <w:bCs/>
          <w:color w:val="1F3864"/>
          <w:sz w:val="26"/>
          <w:szCs w:val="26"/>
        </w:rPr>
        <w:t xml:space="preserve">5.2 PDUFA Micro Lottery (optional, 1% max)</w:t>
      </w:r>
    </w:p>
    <w:p>
      <w:pPr>
        <w:spacing w:after="60" w:before="60"/>
        <w:jc w:val="left"/>
      </w:pPr>
      <w:r>
        <w:rPr>
          <w:rFonts w:ascii="Arial" w:cs="Arial" w:eastAsia="Arial" w:hAnsi="Arial"/>
          <w:b w:val="false"/>
          <w:bCs w:val="false"/>
          <w:i w:val="false"/>
          <w:iCs w:val="false"/>
          <w:color w:val="000000"/>
          <w:sz w:val="22"/>
          <w:szCs w:val="22"/>
        </w:rPr>
        <w:t xml:space="preserve">PDUFA Micro +34.1% MID headline is real, but 55% of trades lose &gt;50% and ex-top-5 drops to +4.3%. This is a lottery ticket, not an edge. Size strictly ≤1% per options position, equity-primary.</w:t>
      </w:r>
    </w:p>
    <w:p>
      <w:pPr>
        <w:pStyle w:val="ListParagraph"/>
        <w:numPr>
          <w:ilvl w:val="0"/>
          <w:numId w:val="2"/>
        </w:numPr>
        <w:spacing w:after="40" w:before="40"/>
      </w:pPr>
      <w:r>
        <w:rPr>
          <w:rFonts w:ascii="Arial" w:cs="Arial" w:eastAsia="Arial" w:hAnsi="Arial"/>
          <w:sz w:val="22"/>
          <w:szCs w:val="22"/>
        </w:rPr>
        <w:t xml:space="preserve">GRCE Apr 23, MNKD, BHVN, EYPT, NVCR. Equity first; ≤1% options overlay only where IV/RV &lt; 1.5x at T-14.</w:t>
      </w:r>
    </w:p>
    <w:p>
      <w:pPr>
        <w:pStyle w:val="Heading2"/>
        <w:spacing w:after="100" w:before="200"/>
      </w:pPr>
      <w:r>
        <w:rPr>
          <w:rFonts w:ascii="Arial" w:cs="Arial" w:eastAsia="Arial" w:hAnsi="Arial"/>
          <w:b/>
          <w:bCs/>
          <w:color w:val="1F3864"/>
          <w:sz w:val="26"/>
          <w:szCs w:val="26"/>
        </w:rPr>
        <w:t xml:space="preserve">5.3 Confirmed DROPS (from v1.1 →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200"/>
        <w:gridCol w:w="3260"/>
      </w:tblGrid>
      <w:tr>
        <w:trPr>
          <w:tblHeader/>
        </w:trPr>
        <w:tc>
          <w:tcPr>
            <w:tcW w:type="dxa" w:w="21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 / Strategy</w:t>
            </w:r>
          </w:p>
        </w:tc>
        <w:tc>
          <w:tcPr>
            <w:tcW w:type="dxa" w:w="1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v1.1 claim</w:t>
            </w:r>
          </w:p>
        </w:tc>
        <w:tc>
          <w:tcPr>
            <w:tcW w:type="dxa" w:w="2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v1.2 honest</w:t>
            </w:r>
          </w:p>
        </w:tc>
        <w:tc>
          <w:tcPr>
            <w:tcW w:type="dxa" w:w="32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ODIN tier filter (T1+T2)</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 MID</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−6.7% MID</w:t>
            </w:r>
          </w:p>
        </w:tc>
        <w:tc>
          <w:tcPr>
            <w:tcW w:type="dxa" w:w="32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DROP — inverted</w:t>
            </w:r>
          </w:p>
        </w:tc>
      </w:tr>
      <w:tr>
        <w:tc>
          <w:tcPr>
            <w:tcW w:type="dxa" w:w="2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Advertised Sm/Mid Approve</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 MID</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−7.9% REAL_40</w:t>
            </w:r>
          </w:p>
        </w:tc>
        <w:tc>
          <w:tcPr>
            <w:tcW w:type="dxa" w:w="32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DROP</w:t>
            </w:r>
          </w:p>
        </w:tc>
      </w:tr>
      <w:tr>
        <w:tc>
          <w:tcPr>
            <w:tcW w:type="dxa" w:w="2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PDUFA Large options</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−5.5% MID</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−17.6% DTE-matched</w:t>
            </w:r>
          </w:p>
        </w:tc>
        <w:tc>
          <w:tcPr>
            <w:tcW w:type="dxa" w:w="32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AVOID</w:t>
            </w:r>
          </w:p>
        </w:tc>
      </w:tr>
      <w:tr>
        <w:tc>
          <w:tcPr>
            <w:tcW w:type="dxa" w:w="2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Phase 2b readout</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−19.4% MID</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−31.7% DTE-matched</w:t>
            </w:r>
          </w:p>
        </w:tc>
        <w:tc>
          <w:tcPr>
            <w:tcW w:type="dxa" w:w="32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AVOID</w:t>
            </w:r>
          </w:p>
        </w:tc>
      </w:tr>
      <w:tr>
        <w:tc>
          <w:tcPr>
            <w:tcW w:type="dxa" w:w="21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Phase 3 readout</w:t>
            </w:r>
          </w:p>
        </w:tc>
        <w:tc>
          <w:tcPr>
            <w:tcW w:type="dxa" w:w="18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−5.8% MID</w:t>
            </w:r>
          </w:p>
        </w:tc>
        <w:tc>
          <w:tcPr>
            <w:tcW w:type="dxa" w:w="22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−20.0% REAL_40</w:t>
            </w:r>
          </w:p>
        </w:tc>
        <w:tc>
          <w:tcPr>
            <w:tcW w:type="dxa" w:w="32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AVOID</w:t>
            </w:r>
          </w:p>
        </w:tc>
      </w:tr>
    </w:tbl>
    <w:p>
      <w:pPr>
        <w:pStyle w:val="Heading2"/>
        <w:spacing w:after="100" w:before="200"/>
      </w:pPr>
      <w:r>
        <w:rPr>
          <w:rFonts w:ascii="Arial" w:cs="Arial" w:eastAsia="Arial" w:hAnsi="Arial"/>
          <w:b/>
          <w:bCs/>
          <w:color w:val="1F3864"/>
          <w:sz w:val="26"/>
          <w:szCs w:val="26"/>
        </w:rPr>
        <w:t xml:space="preserve">5.4 Execution rules (binding)</w:t>
      </w:r>
    </w:p>
    <w:p>
      <w:pPr>
        <w:pStyle w:val="ListParagraph"/>
        <w:numPr>
          <w:ilvl w:val="0"/>
          <w:numId w:val="2"/>
        </w:numPr>
        <w:spacing w:after="40" w:before="40"/>
      </w:pPr>
      <w:r>
        <w:rPr>
          <w:rFonts w:ascii="Arial" w:cs="Arial" w:eastAsia="Arial" w:hAnsi="Arial"/>
          <w:sz w:val="22"/>
          <w:szCs w:val="22"/>
        </w:rPr>
        <w:t xml:space="preserve">LIMIT ORDERS ONLY on every option entry and exit. Never market.</w:t>
      </w:r>
    </w:p>
    <w:p>
      <w:pPr>
        <w:pStyle w:val="ListParagraph"/>
        <w:numPr>
          <w:ilvl w:val="0"/>
          <w:numId w:val="2"/>
        </w:numPr>
        <w:spacing w:after="40" w:before="40"/>
      </w:pPr>
      <w:r>
        <w:rPr>
          <w:rFonts w:ascii="Arial" w:cs="Arial" w:eastAsia="Arial" w:hAnsi="Arial"/>
          <w:sz w:val="22"/>
          <w:szCs w:val="22"/>
        </w:rPr>
        <w:t xml:space="preserve">IV cheapness gate — use ORATS orats_iv_scan. Require IV Percentile &lt; 50% at T-14 OR term-structure tilt &lt; 1.2. Skip the trade if IV is already priced.</w:t>
      </w:r>
    </w:p>
    <w:p>
      <w:pPr>
        <w:pStyle w:val="ListParagraph"/>
        <w:numPr>
          <w:ilvl w:val="0"/>
          <w:numId w:val="2"/>
        </w:numPr>
        <w:spacing w:after="40" w:before="40"/>
      </w:pPr>
      <w:r>
        <w:rPr>
          <w:rFonts w:ascii="Arial" w:cs="Arial" w:eastAsia="Arial" w:hAnsi="Arial"/>
          <w:sz w:val="22"/>
          <w:szCs w:val="22"/>
        </w:rPr>
        <w:t xml:space="preserve">Hard exit T-1 on every options position. Never hold through the catalyst.</w:t>
      </w:r>
    </w:p>
    <w:p>
      <w:pPr>
        <w:pStyle w:val="ListParagraph"/>
        <w:numPr>
          <w:ilvl w:val="0"/>
          <w:numId w:val="2"/>
        </w:numPr>
        <w:spacing w:after="40" w:before="40"/>
      </w:pPr>
      <w:r>
        <w:rPr>
          <w:rFonts w:ascii="Arial" w:cs="Arial" w:eastAsia="Arial" w:hAnsi="Arial"/>
          <w:sz w:val="22"/>
          <w:szCs w:val="22"/>
        </w:rPr>
        <w:t xml:space="preserve">Max 2% per options core position, 1% per options lottery. Total options heat ≤ 8%.</w:t>
      </w:r>
    </w:p>
    <w:p>
      <w:pPr>
        <w:pStyle w:val="ListParagraph"/>
        <w:numPr>
          <w:ilvl w:val="0"/>
          <w:numId w:val="2"/>
        </w:numPr>
        <w:spacing w:after="40" w:before="40"/>
      </w:pPr>
      <w:r>
        <w:rPr>
          <w:rFonts w:ascii="Arial" w:cs="Arial" w:eastAsia="Arial" w:hAnsi="Arial"/>
          <w:sz w:val="22"/>
          <w:szCs w:val="22"/>
        </w:rPr>
        <w:t xml:space="preserve">Ignore ODIN tier entirely when filtering options trades. Option premium pays for uncertainty, not quality.</w:t>
      </w:r>
    </w:p>
    <w:p>
      <w:r>
        <w:br w:type="page"/>
      </w:r>
    </w:p>
    <w:p>
      <w:pPr>
        <w:pStyle w:val="Heading1"/>
        <w:spacing w:after="120" w:before="240"/>
      </w:pPr>
      <w:r>
        <w:rPr>
          <w:rFonts w:ascii="Arial" w:cs="Arial" w:eastAsia="Arial" w:hAnsi="Arial"/>
          <w:b/>
          <w:bCs/>
          <w:color w:val="1F3864"/>
          <w:sz w:val="32"/>
          <w:szCs w:val="32"/>
        </w:rPr>
        <w:t xml:space="preserve">6. Week-by-Week Action Calendar</w:t>
      </w:r>
    </w:p>
    <w:p>
      <w:pPr>
        <w:spacing w:after="60" w:before="60"/>
        <w:jc w:val="left"/>
      </w:pPr>
      <w:r>
        <w:rPr>
          <w:rFonts w:ascii="Arial" w:cs="Arial" w:eastAsia="Arial" w:hAnsi="Arial"/>
          <w:b w:val="false"/>
          <w:bCs w:val="false"/>
          <w:i/>
          <w:iCs/>
          <w:color w:val="616161"/>
          <w:sz w:val="22"/>
          <w:szCs w:val="22"/>
        </w:rPr>
        <w:t xml:space="preserve">Each week you're either entering new positions, exiting existing ones, or sitting in cash waiting. This is the tactical calendar. All entries here assume standard BIFROST v4 windows (PDUFA micro T-25, readout nano T-21, readout small T-14, PDUFA small T-14).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960"/>
        <w:gridCol w:w="1400"/>
      </w:tblGrid>
      <w:tr>
        <w:trPr>
          <w:tblHeader/>
        </w:trPr>
        <w:tc>
          <w:tcPr>
            <w:tcW w:type="dxa" w:w="20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59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Heat</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Mar 28</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PLRX, XAIR, GNPX, BCYC (all AACR pre-readout)</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+9.0%</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Apr 18</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EXIT: PLRX, XAIR, GNPX, BCYC on Apr 18. ENTER: ALXO (ESMO Breast T-14).</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flat</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Apr 26</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BIVI May 17 P2 CNS. Watch: HIND Apr 21.</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May 3</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EXIT: ALXO on May 6. ENTER: VRCA.</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May 18</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EXIT: BIVI May 16. Watch: incoming readouts for late-May.</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flat</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Jun 8</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PASG, MRKR, BCAB (all P1/2 at Jun 30).</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+4.0%</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Jun 20</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ASND (P1/2 large cap Jun 30).</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+5.0%</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Jun 29</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EXIT: PASG, MRKR, BCAB, ASND on Jun 29.</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flat</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Aug 10</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PYXS (P1 Aug 31).</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Aug 30</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EXIT: PYXS.</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flat</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Sep 9</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BOLT (P1 Sep 30).</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Sep 29</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EXIT: BOLT.</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flat</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Dec 10</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CHRS (P1/2 Dec 31).</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Dec 17</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ENTER: IMCR, NCNA, REPL, COYA (late Dec P1/2 SABCS).</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+8.5%</w:t>
            </w:r>
          </w:p>
        </w:tc>
      </w:tr>
      <w:tr>
        <w:tc>
          <w:tcPr>
            <w:tcW w:type="dxa" w:w="20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Wk of Dec 30</w:t>
            </w:r>
          </w:p>
        </w:tc>
        <w:tc>
          <w:tcPr>
            <w:tcW w:type="dxa" w:w="596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EXIT: all December positions before year-end catalyst dates.</w:t>
            </w:r>
          </w:p>
        </w:tc>
        <w:tc>
          <w:tcPr>
            <w:tcW w:type="dxa" w:w="1400"/>
            <w:tcBorders>
              <w:top w:val="single" w:color="BDBDBD" w:sz="1"/>
              <w:left w:val="single" w:color="BDBDBD" w:sz="1"/>
              <w:bottom w:val="single" w:color="BDBDBD" w:sz="1"/>
              <w:right w:val="single" w:color="BDBDBD"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flat</w:t>
            </w:r>
          </w:p>
        </w:tc>
      </w:tr>
    </w:tbl>
    <w:p>
      <w:r>
        <w:br w:type="page"/>
      </w:r>
    </w:p>
    <w:p>
      <w:pPr>
        <w:pStyle w:val="Heading1"/>
        <w:spacing w:after="120" w:before="240"/>
      </w:pPr>
      <w:r>
        <w:rPr>
          <w:rFonts w:ascii="Arial" w:cs="Arial" w:eastAsia="Arial" w:hAnsi="Arial"/>
          <w:b/>
          <w:bCs/>
          <w:color w:val="1F3864"/>
          <w:sz w:val="32"/>
          <w:szCs w:val="32"/>
        </w:rPr>
        <w:t xml:space="preserve">7. Honest Numbers Audit</w:t>
      </w:r>
    </w:p>
    <w:p>
      <w:pPr>
        <w:spacing w:after="60" w:before="60"/>
        <w:jc w:val="left"/>
      </w:pPr>
      <w:r>
        <w:rPr>
          <w:rFonts w:ascii="Arial" w:cs="Arial" w:eastAsia="Arial" w:hAnsi="Arial"/>
          <w:b w:val="false"/>
          <w:bCs w:val="false"/>
          <w:i/>
          <w:iCs/>
          <w:color w:val="616161"/>
          <w:sz w:val="22"/>
          <w:szCs w:val="22"/>
        </w:rPr>
        <w:t xml:space="preserve">The April 17–18 Red Team audit found Kaizen-cycle selection bias across all three core scoring engines. Rankings are ordinal-valid. Absolute AUC numbers are optimistic. This section is the disclosure.</w:t>
      </w:r>
    </w:p>
    <w:p>
      <w:pPr>
        <w:pStyle w:val="Heading2"/>
        <w:spacing w:after="100" w:before="200"/>
      </w:pPr>
      <w:r>
        <w:rPr>
          <w:rFonts w:ascii="Arial" w:cs="Arial" w:eastAsia="Arial" w:hAnsi="Arial"/>
          <w:b/>
          <w:bCs/>
          <w:color w:val="1F3864"/>
          <w:sz w:val="26"/>
          <w:szCs w:val="26"/>
        </w:rPr>
        <w:t xml:space="preserve">7.1 Engine-by-engine inflation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400"/>
        <w:gridCol w:w="1260"/>
        <w:gridCol w:w="3000"/>
      </w:tblGrid>
      <w:tr>
        <w:trPr>
          <w:tblHeader/>
        </w:trPr>
        <w:tc>
          <w:tcPr>
            <w:tcW w:type="dxa" w:w="21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Engine</w:t>
            </w:r>
          </w:p>
        </w:tc>
        <w:tc>
          <w:tcPr>
            <w:tcW w:type="dxa" w:w="16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Reported</w:t>
            </w:r>
          </w:p>
        </w:tc>
        <w:tc>
          <w:tcPr>
            <w:tcW w:type="dxa" w:w="1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Honest</w:t>
            </w:r>
          </w:p>
        </w:tc>
        <w:tc>
          <w:tcPr>
            <w:tcW w:type="dxa" w:w="12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Inflation</w:t>
            </w:r>
          </w:p>
        </w:tc>
        <w:tc>
          <w:tcPr>
            <w:tcW w:type="dxa" w:w="30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r>
      <w:tr>
        <w:tc>
          <w:tcPr>
            <w:tcW w:type="dxa" w:w="21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BIFROST Explosion v5.5</w:t>
            </w:r>
          </w:p>
        </w:tc>
        <w:tc>
          <w:tcPr>
            <w:tcW w:type="dxa" w:w="16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LR 0.9487</w:t>
            </w:r>
          </w:p>
        </w:tc>
        <w:tc>
          <w:tcPr>
            <w:tcW w:type="dxa" w:w="14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0.8861</w:t>
            </w:r>
          </w:p>
        </w:tc>
        <w:tc>
          <w:tcPr>
            <w:tcW w:type="dxa" w:w="126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−626 bp</w:t>
            </w:r>
          </w:p>
        </w:tc>
        <w:tc>
          <w:tcPr>
            <w:tcW w:type="dxa" w:w="30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Greedy fwd selection on test set AUC</w:t>
            </w:r>
          </w:p>
        </w:tc>
      </w:tr>
      <w:tr>
        <w:tc>
          <w:tcPr>
            <w:tcW w:type="dxa" w:w="21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ODIN v14</w:t>
            </w:r>
          </w:p>
        </w:tc>
        <w:tc>
          <w:tcPr>
            <w:tcW w:type="dxa" w:w="16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HO 0.9363</w:t>
            </w:r>
          </w:p>
        </w:tc>
        <w:tc>
          <w:tcPr>
            <w:tcW w:type="dxa" w:w="14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0.8995</w:t>
            </w:r>
          </w:p>
        </w:tc>
        <w:tc>
          <w:tcPr>
            <w:tcW w:type="dxa" w:w="126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−368 bp</w:t>
            </w:r>
          </w:p>
        </w:tc>
        <w:tc>
          <w:tcPr>
            <w:tcW w:type="dxa" w:w="30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 selection touched holdout</w:t>
            </w:r>
          </w:p>
        </w:tc>
      </w:tr>
      <w:tr>
        <w:tc>
          <w:tcPr>
            <w:tcW w:type="dxa" w:w="21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Gungnir v46 (Test)</w:t>
            </w:r>
          </w:p>
        </w:tc>
        <w:tc>
          <w:tcPr>
            <w:tcW w:type="dxa" w:w="16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WF 0.8135</w:t>
            </w:r>
          </w:p>
        </w:tc>
        <w:tc>
          <w:tcPr>
            <w:tcW w:type="dxa" w:w="14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0.7841</w:t>
            </w:r>
          </w:p>
        </w:tc>
        <w:tc>
          <w:tcPr>
            <w:tcW w:type="dxa" w:w="126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−294 bp</w:t>
            </w:r>
          </w:p>
        </w:tc>
        <w:tc>
          <w:tcPr>
            <w:tcW w:type="dxa" w:w="30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Feature selection leaked</w:t>
            </w:r>
          </w:p>
        </w:tc>
      </w:tr>
      <w:tr>
        <w:tc>
          <w:tcPr>
            <w:tcW w:type="dxa" w:w="21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Gungnir v46 (Final HO)</w:t>
            </w:r>
          </w:p>
        </w:tc>
        <w:tc>
          <w:tcPr>
            <w:tcW w:type="dxa" w:w="16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WF 0.8135</w:t>
            </w:r>
          </w:p>
        </w:tc>
        <w:tc>
          <w:tcPr>
            <w:tcW w:type="dxa" w:w="14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0.7551</w:t>
            </w:r>
          </w:p>
        </w:tc>
        <w:tc>
          <w:tcPr>
            <w:tcW w:type="dxa" w:w="126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−584 bp</w:t>
            </w:r>
          </w:p>
        </w:tc>
        <w:tc>
          <w:tcPr>
            <w:tcW w:type="dxa" w:w="3000"/>
            <w:tcBorders>
              <w:top w:val="single" w:color="BDBDBD" w:sz="1"/>
              <w:left w:val="single" w:color="BDBDBD" w:sz="1"/>
              <w:bottom w:val="single" w:color="BDBDBD" w:sz="1"/>
              <w:right w:val="single" w:color="BDBDBD" w:sz="1"/>
            </w:tcBorders>
            <w:shd w:fill="E1BEE7"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Compounding leaks across Kaizen cycles</w:t>
            </w:r>
          </w:p>
        </w:tc>
      </w:tr>
    </w:tbl>
    <w:p>
      <w:pPr>
        <w:pStyle w:val="Heading2"/>
        <w:spacing w:after="100" w:before="200"/>
      </w:pPr>
      <w:r>
        <w:rPr>
          <w:rFonts w:ascii="Arial" w:cs="Arial" w:eastAsia="Arial" w:hAnsi="Arial"/>
          <w:b/>
          <w:bCs/>
          <w:color w:val="1F3864"/>
          <w:sz w:val="26"/>
          <w:szCs w:val="26"/>
        </w:rPr>
        <w:t xml:space="preserve">7.2 What this means for the leapfrog plan</w:t>
      </w:r>
    </w:p>
    <w:p>
      <w:pPr>
        <w:pStyle w:val="ListParagraph"/>
        <w:numPr>
          <w:ilvl w:val="0"/>
          <w:numId w:val="2"/>
        </w:numPr>
        <w:spacing w:after="40" w:before="40"/>
      </w:pPr>
      <w:r>
        <w:rPr>
          <w:rFonts w:ascii="Arial" w:cs="Arial" w:eastAsia="Arial" w:hAnsi="Arial"/>
          <w:sz w:val="22"/>
          <w:szCs w:val="22"/>
        </w:rPr>
        <w:t xml:space="preserve">Use the inv_score as a RANKING, not a calibrated probability. An 85 vs 80 is noise; an 85 vs 65 is signal.</w:t>
      </w:r>
    </w:p>
    <w:p>
      <w:pPr>
        <w:pStyle w:val="ListParagraph"/>
        <w:numPr>
          <w:ilvl w:val="0"/>
          <w:numId w:val="2"/>
        </w:numPr>
        <w:spacing w:after="40" w:before="40"/>
      </w:pPr>
      <w:r>
        <w:rPr>
          <w:rFonts w:ascii="Arial" w:cs="Arial" w:eastAsia="Arial" w:hAnsi="Arial"/>
          <w:sz w:val="22"/>
          <w:szCs w:val="22"/>
        </w:rPr>
        <w:t xml:space="preserve">Scale position sizes off rank bucket (ALPHA/BETA/GAMMA), not off the raw score delta.</w:t>
      </w:r>
    </w:p>
    <w:p>
      <w:pPr>
        <w:pStyle w:val="ListParagraph"/>
        <w:numPr>
          <w:ilvl w:val="0"/>
          <w:numId w:val="2"/>
        </w:numPr>
        <w:spacing w:after="40" w:before="40"/>
      </w:pPr>
      <w:r>
        <w:rPr>
          <w:rFonts w:ascii="Arial" w:cs="Arial" w:eastAsia="Arial" w:hAnsi="Arial"/>
          <w:sz w:val="22"/>
          <w:szCs w:val="22"/>
        </w:rPr>
        <w:t xml:space="preserve">CAPR score (1–14 count of matching archetype flags) is rule-based and NOT subject to the Kaizen bias. It is the most robust filter we have. Trust it disproportionately.</w:t>
      </w:r>
    </w:p>
    <w:p>
      <w:pPr>
        <w:pStyle w:val="ListParagraph"/>
        <w:numPr>
          <w:ilvl w:val="0"/>
          <w:numId w:val="2"/>
        </w:numPr>
        <w:spacing w:after="40" w:before="40"/>
      </w:pPr>
      <w:r>
        <w:rPr>
          <w:rFonts w:ascii="Arial" w:cs="Arial" w:eastAsia="Arial" w:hAnsi="Arial"/>
          <w:sz w:val="22"/>
          <w:szCs w:val="22"/>
        </w:rPr>
        <w:t xml:space="preserve">For options, ignore the ODIN tier entirely and filter on Phase 1/2 positive readout + conference + P1/2 positive edge flag.</w:t>
      </w:r>
    </w:p>
    <w:p>
      <w:pPr>
        <w:pStyle w:val="ListParagraph"/>
        <w:numPr>
          <w:ilvl w:val="0"/>
          <w:numId w:val="2"/>
        </w:numPr>
        <w:spacing w:after="40" w:before="40"/>
      </w:pPr>
      <w:r>
        <w:rPr>
          <w:rFonts w:ascii="Arial" w:cs="Arial" w:eastAsia="Arial" w:hAnsi="Arial"/>
          <w:sz w:val="22"/>
          <w:szCs w:val="22"/>
        </w:rPr>
        <w:t xml:space="preserve">The entire leapfrog plan is ordinally consistent — the trades we'd pick don't change if we use honest AUCs. Only the expected-return math shifts.</w:t>
      </w:r>
    </w:p>
    <w:p>
      <w:pPr>
        <w:pStyle w:val="Heading2"/>
        <w:spacing w:after="100" w:before="200"/>
      </w:pPr>
      <w:r>
        <w:rPr>
          <w:rFonts w:ascii="Arial" w:cs="Arial" w:eastAsia="Arial" w:hAnsi="Arial"/>
          <w:b/>
          <w:bCs/>
          <w:color w:val="1F3864"/>
          <w:sz w:val="26"/>
          <w:szCs w:val="26"/>
        </w:rPr>
        <w:t xml:space="preserve">7.3 Known limitations not yet fixed</w:t>
      </w:r>
    </w:p>
    <w:p>
      <w:pPr>
        <w:pStyle w:val="ListParagraph"/>
        <w:numPr>
          <w:ilvl w:val="0"/>
          <w:numId w:val="2"/>
        </w:numPr>
        <w:spacing w:after="40" w:before="40"/>
      </w:pPr>
      <w:r>
        <w:rPr>
          <w:rFonts w:ascii="Arial" w:cs="Arial" w:eastAsia="Arial" w:hAnsi="Arial"/>
          <w:sz w:val="22"/>
          <w:szCs w:val="22"/>
        </w:rPr>
        <w:t xml:space="preserve">Short interest features use a single April 2026 snapshot applied retroactively to 1,700+ historical events — lookahead bias on SI features for any pre-2026 event.</w:t>
      </w:r>
    </w:p>
    <w:p>
      <w:pPr>
        <w:pStyle w:val="ListParagraph"/>
        <w:numPr>
          <w:ilvl w:val="0"/>
          <w:numId w:val="2"/>
        </w:numPr>
        <w:spacing w:after="40" w:before="40"/>
      </w:pPr>
      <w:r>
        <w:rPr>
          <w:rFonts w:ascii="Arial" w:cs="Arial" w:eastAsia="Arial" w:hAnsi="Arial"/>
          <w:sz w:val="22"/>
          <w:szCs w:val="22"/>
        </w:rPr>
        <w:t xml:space="preserve">v5_score provenance confirmed leaked Apr 18 — year-over-year outcome-conditional means show perfect separation. Drop v5_tier as a filter; re-score with v14 under strict T-1 snapshotting.</w:t>
      </w:r>
    </w:p>
    <w:p>
      <w:pPr>
        <w:pStyle w:val="ListParagraph"/>
        <w:numPr>
          <w:ilvl w:val="0"/>
          <w:numId w:val="2"/>
        </w:numPr>
        <w:spacing w:after="40" w:before="40"/>
      </w:pPr>
      <w:r>
        <w:rPr>
          <w:rFonts w:ascii="Arial" w:cs="Arial" w:eastAsia="Arial" w:hAnsi="Arial"/>
          <w:sz w:val="22"/>
          <w:szCs w:val="22"/>
        </w:rPr>
        <w:t xml:space="preserve">BIFROST Options v1.2 fixed the DTE-match bug but has not re-tested survivorship bias (illiquid strikes filtered out of ORATS cache) or nano-cap coverage.</w:t>
      </w:r>
    </w:p>
    <w:p>
      <w:pPr>
        <w:pStyle w:val="ListParagraph"/>
        <w:numPr>
          <w:ilvl w:val="0"/>
          <w:numId w:val="2"/>
        </w:numPr>
        <w:spacing w:after="40" w:before="40"/>
      </w:pPr>
      <w:r>
        <w:rPr>
          <w:rFonts w:ascii="Arial" w:cs="Arial" w:eastAsia="Arial" w:hAnsi="Arial"/>
          <w:sz w:val="22"/>
          <w:szCs w:val="22"/>
        </w:rPr>
        <w:t xml:space="preserve">CT.gov deep-dives in this memo rely on active_not_recruiting / primary completion dates as a proxy for readout timing. Investor timing may differ; verify via IR before entry.</w:t>
      </w:r>
    </w:p>
    <w:p>
      <w:pPr>
        <w:pStyle w:val="Heading2"/>
        <w:spacing w:after="100" w:before="200"/>
      </w:pPr>
      <w:r>
        <w:rPr>
          <w:rFonts w:ascii="Arial" w:cs="Arial" w:eastAsia="Arial" w:hAnsi="Arial"/>
          <w:b/>
          <w:bCs/>
          <w:color w:val="1F3864"/>
          <w:sz w:val="26"/>
          <w:szCs w:val="26"/>
        </w:rPr>
        <w:t xml:space="preserve">7.4 Disclaimers</w:t>
      </w:r>
    </w:p>
    <w:p>
      <w:pPr>
        <w:spacing w:after="60" w:before="60"/>
        <w:jc w:val="left"/>
      </w:pPr>
      <w:r>
        <w:rPr>
          <w:rFonts w:ascii="Arial" w:cs="Arial" w:eastAsia="Arial" w:hAnsi="Arial"/>
          <w:b w:val="false"/>
          <w:bCs w:val="false"/>
          <w:i/>
          <w:iCs/>
          <w:color w:val="616161"/>
          <w:sz w:val="20"/>
          <w:szCs w:val="20"/>
        </w:rPr>
        <w:t xml:space="preserve">This memo is for informational and educational purposes only. Nothing in this document constitutes investment, legal, tax, or medical advice. Do your own research. Biotech catalysts are binary and can result in total loss of capital. Never bet more than you can afford to lose. The author holds positions in GRCE, WHWK, CRDF, CABA, and ALXO as of April 18, 2026.</w:t>
      </w:r>
    </w:p>
    <w:p>
      <w:r>
        <w:br w:type="page"/>
      </w:r>
    </w:p>
    <w:p>
      <w:pPr>
        <w:pStyle w:val="Heading1"/>
        <w:spacing w:after="120" w:before="240"/>
      </w:pPr>
      <w:r>
        <w:rPr>
          <w:rFonts w:ascii="Arial" w:cs="Arial" w:eastAsia="Arial" w:hAnsi="Arial"/>
          <w:b/>
          <w:bCs/>
          <w:color w:val="1F3864"/>
          <w:sz w:val="32"/>
          <w:szCs w:val="32"/>
        </w:rPr>
        <w:t xml:space="preserve">8. Appendix — Methodology</w:t>
      </w:r>
    </w:p>
    <w:p>
      <w:pPr>
        <w:pStyle w:val="Heading2"/>
        <w:spacing w:after="100" w:before="200"/>
      </w:pPr>
      <w:r>
        <w:rPr>
          <w:rFonts w:ascii="Arial" w:cs="Arial" w:eastAsia="Arial" w:hAnsi="Arial"/>
          <w:b/>
          <w:bCs/>
          <w:color w:val="1F3864"/>
          <w:sz w:val="26"/>
          <w:szCs w:val="26"/>
        </w:rPr>
        <w:t xml:space="preserve">8.1 Scoring pipeline</w:t>
      </w:r>
    </w:p>
    <w:p>
      <w:pPr>
        <w:pStyle w:val="ListParagraph"/>
        <w:numPr>
          <w:ilvl w:val="0"/>
          <w:numId w:val="2"/>
        </w:numPr>
        <w:spacing w:after="40" w:before="40"/>
      </w:pPr>
      <w:r>
        <w:rPr>
          <w:rFonts w:ascii="Arial" w:cs="Arial" w:eastAsia="Arial" w:hAnsi="Arial"/>
          <w:sz w:val="22"/>
          <w:szCs w:val="22"/>
        </w:rPr>
        <w:t xml:space="preserve">818 catalysts from the user-supplied 2026 catalyst dataset (PDUFAs, readouts, conferences, submissions).</w:t>
      </w:r>
    </w:p>
    <w:p>
      <w:pPr>
        <w:pStyle w:val="ListParagraph"/>
        <w:numPr>
          <w:ilvl w:val="0"/>
          <w:numId w:val="2"/>
        </w:numPr>
        <w:spacing w:after="40" w:before="40"/>
      </w:pPr>
      <w:r>
        <w:rPr>
          <w:rFonts w:ascii="Arial" w:cs="Arial" w:eastAsia="Arial" w:hAnsi="Arial"/>
          <w:sz w:val="22"/>
          <w:szCs w:val="22"/>
        </w:rPr>
        <w:t xml:space="preserve">Each PDUFA scored through ODIN v14 honest proxy; each readout scored through Gungnir v46 honest proxy.</w:t>
      </w:r>
    </w:p>
    <w:p>
      <w:pPr>
        <w:pStyle w:val="ListParagraph"/>
        <w:numPr>
          <w:ilvl w:val="0"/>
          <w:numId w:val="2"/>
        </w:numPr>
        <w:spacing w:after="40" w:before="40"/>
      </w:pPr>
      <w:r>
        <w:rPr>
          <w:rFonts w:ascii="Arial" w:cs="Arial" w:eastAsia="Arial" w:hAnsi="Arial"/>
          <w:sz w:val="22"/>
          <w:szCs w:val="22"/>
        </w:rPr>
        <w:t xml:space="preserve">CAPR archetype scorer — counts matching flags from {NANO_CAP, MICRO_CAP, ONCOLOGY, RARE, CNS, ORPHAN, FAST_TRACK, ULTRA_TIGHT_FLOAT, TIGHT_FLOAT, HIGH_INSIDER, POSITIVE_DATA_LANG, P12_POSITIVE_EDGE, CONFERENCE, LOW_PRICE}.</w:t>
      </w:r>
    </w:p>
    <w:p>
      <w:pPr>
        <w:pStyle w:val="ListParagraph"/>
        <w:numPr>
          <w:ilvl w:val="0"/>
          <w:numId w:val="2"/>
        </w:numPr>
        <w:spacing w:after="40" w:before="40"/>
      </w:pPr>
      <w:r>
        <w:rPr>
          <w:rFonts w:ascii="Arial" w:cs="Arial" w:eastAsia="Arial" w:hAnsi="Arial"/>
          <w:sz w:val="22"/>
          <w:szCs w:val="22"/>
        </w:rPr>
        <w:t xml:space="preserve">Composite investment score = weighted blend of model probability + CAPR score + tier base rate.</w:t>
      </w:r>
    </w:p>
    <w:p>
      <w:pPr>
        <w:pStyle w:val="ListParagraph"/>
        <w:numPr>
          <w:ilvl w:val="0"/>
          <w:numId w:val="2"/>
        </w:numPr>
        <w:spacing w:after="40" w:before="40"/>
      </w:pPr>
      <w:r>
        <w:rPr>
          <w:rFonts w:ascii="Arial" w:cs="Arial" w:eastAsia="Arial" w:hAnsi="Arial"/>
          <w:sz w:val="22"/>
          <w:szCs w:val="22"/>
        </w:rPr>
        <w:t xml:space="preserve">Tier assignment: ALPHA (≥ 85 OR CAPR ≥ 8), BETA (72–85), GAMMA (55–72), DELTA (40–55), OMEGA (&lt; 40).</w:t>
      </w:r>
    </w:p>
    <w:p>
      <w:pPr>
        <w:pStyle w:val="ListParagraph"/>
        <w:numPr>
          <w:ilvl w:val="0"/>
          <w:numId w:val="2"/>
        </w:numPr>
        <w:spacing w:after="40" w:before="40"/>
      </w:pPr>
      <w:r>
        <w:rPr>
          <w:rFonts w:ascii="Arial" w:cs="Arial" w:eastAsia="Arial" w:hAnsi="Arial"/>
          <w:sz w:val="22"/>
          <w:szCs w:val="22"/>
        </w:rPr>
        <w:t xml:space="preserve">Strategy assignment: Phase 1/2 positive readout at conference → EQUITY+OPTIONS_CORE. PDUFA micro → EQUITY+OPTIONS_LOTTERY. P2 nano with positive data lang → EQUITY+SMALL_OPTIONS. Everything else → EQUITY_ONLY.</w:t>
      </w:r>
    </w:p>
    <w:p>
      <w:pPr>
        <w:pStyle w:val="Heading2"/>
        <w:spacing w:after="100" w:before="200"/>
      </w:pPr>
      <w:r>
        <w:rPr>
          <w:rFonts w:ascii="Arial" w:cs="Arial" w:eastAsia="Arial" w:hAnsi="Arial"/>
          <w:b/>
          <w:bCs/>
          <w:color w:val="1F3864"/>
          <w:sz w:val="26"/>
          <w:szCs w:val="26"/>
        </w:rPr>
        <w:t xml:space="preserve">8.2 Leapfrog scheduler</w:t>
      </w:r>
    </w:p>
    <w:p>
      <w:pPr>
        <w:pStyle w:val="ListParagraph"/>
        <w:numPr>
          <w:ilvl w:val="0"/>
          <w:numId w:val="2"/>
        </w:numPr>
        <w:spacing w:after="40" w:before="40"/>
      </w:pPr>
      <w:r>
        <w:rPr>
          <w:rFonts w:ascii="Arial" w:cs="Arial" w:eastAsia="Arial" w:hAnsi="Arial"/>
          <w:sz w:val="22"/>
          <w:szCs w:val="22"/>
        </w:rPr>
        <w:t xml:space="preserve">Chronological sweep by entry_date with priority tie-break within each day.</w:t>
      </w:r>
    </w:p>
    <w:p>
      <w:pPr>
        <w:pStyle w:val="ListParagraph"/>
        <w:numPr>
          <w:ilvl w:val="0"/>
          <w:numId w:val="2"/>
        </w:numPr>
        <w:spacing w:after="40" w:before="40"/>
      </w:pPr>
      <w:r>
        <w:rPr>
          <w:rFonts w:ascii="Arial" w:cs="Arial" w:eastAsia="Arial" w:hAnsi="Arial"/>
          <w:sz w:val="22"/>
          <w:szCs w:val="22"/>
        </w:rPr>
        <w:t xml:space="preserve">Priority: CAPR ≥ 8 (+100 pts) → ALPHA tier (+50) → EQUITY+OPTIONS_CORE (+30) → inv_score.</w:t>
      </w:r>
    </w:p>
    <w:p>
      <w:pPr>
        <w:pStyle w:val="ListParagraph"/>
        <w:numPr>
          <w:ilvl w:val="0"/>
          <w:numId w:val="2"/>
        </w:numPr>
        <w:spacing w:after="40" w:before="40"/>
      </w:pPr>
      <w:r>
        <w:rPr>
          <w:rFonts w:ascii="Arial" w:cs="Arial" w:eastAsia="Arial" w:hAnsi="Arial"/>
          <w:sz w:val="22"/>
          <w:szCs w:val="22"/>
        </w:rPr>
        <w:t xml:space="preserve">Active positions purged on each pass — any trade whose exit_date is on/before today's entry_date frees its capital.</w:t>
      </w:r>
    </w:p>
    <w:p>
      <w:pPr>
        <w:pStyle w:val="ListParagraph"/>
        <w:numPr>
          <w:ilvl w:val="0"/>
          <w:numId w:val="2"/>
        </w:numPr>
        <w:spacing w:after="40" w:before="40"/>
      </w:pPr>
      <w:r>
        <w:rPr>
          <w:rFonts w:ascii="Arial" w:cs="Arial" w:eastAsia="Arial" w:hAnsi="Arial"/>
          <w:sz w:val="22"/>
          <w:szCs w:val="22"/>
        </w:rPr>
        <w:t xml:space="preserve">Hard constraint: ≤ 5 concurrent positions at any time; ≤ 15% portfolio heat; position trimmed to fit if necessary (dropped if &lt; 0.5% after trim).</w:t>
      </w:r>
    </w:p>
    <w:p>
      <w:pPr>
        <w:pStyle w:val="ListParagraph"/>
        <w:numPr>
          <w:ilvl w:val="0"/>
          <w:numId w:val="2"/>
        </w:numPr>
        <w:spacing w:after="40" w:before="40"/>
      </w:pPr>
      <w:r>
        <w:rPr>
          <w:rFonts w:ascii="Arial" w:cs="Arial" w:eastAsia="Arial" w:hAnsi="Arial"/>
          <w:sz w:val="22"/>
          <w:szCs w:val="22"/>
        </w:rPr>
        <w:t xml:space="preserve">Result: 48 non-overlapping trades chained Mar 28 → Dec 17, 2026.</w:t>
      </w:r>
    </w:p>
    <w:p>
      <w:pPr>
        <w:pStyle w:val="Heading2"/>
        <w:spacing w:after="100" w:before="200"/>
      </w:pPr>
      <w:r>
        <w:rPr>
          <w:rFonts w:ascii="Arial" w:cs="Arial" w:eastAsia="Arial" w:hAnsi="Arial"/>
          <w:b/>
          <w:bCs/>
          <w:color w:val="1F3864"/>
          <w:sz w:val="26"/>
          <w:szCs w:val="26"/>
        </w:rPr>
        <w:t xml:space="preserve">8.3 Data sources</w:t>
      </w:r>
    </w:p>
    <w:p>
      <w:pPr>
        <w:pStyle w:val="ListParagraph"/>
        <w:numPr>
          <w:ilvl w:val="0"/>
          <w:numId w:val="2"/>
        </w:numPr>
        <w:spacing w:after="40" w:before="40"/>
      </w:pPr>
      <w:r>
        <w:rPr>
          <w:rFonts w:ascii="Arial" w:cs="Arial" w:eastAsia="Arial" w:hAnsi="Arial"/>
          <w:sz w:val="22"/>
          <w:szCs w:val="22"/>
        </w:rPr>
        <w:t xml:space="preserve">ClinicalTrials.gov v2 API — pulled full trial records for top 15 CAPR-alike candidates.</w:t>
      </w:r>
    </w:p>
    <w:p>
      <w:pPr>
        <w:pStyle w:val="ListParagraph"/>
        <w:numPr>
          <w:ilvl w:val="0"/>
          <w:numId w:val="2"/>
        </w:numPr>
        <w:spacing w:after="40" w:before="40"/>
      </w:pPr>
      <w:r>
        <w:rPr>
          <w:rFonts w:ascii="Arial" w:cs="Arial" w:eastAsia="Arial" w:hAnsi="Arial"/>
          <w:sz w:val="22"/>
          <w:szCs w:val="22"/>
        </w:rPr>
        <w:t xml:space="preserve">ORATS Delayed Data API — IV rank, term structure, strike chains.</w:t>
      </w:r>
    </w:p>
    <w:p>
      <w:pPr>
        <w:pStyle w:val="ListParagraph"/>
        <w:numPr>
          <w:ilvl w:val="0"/>
          <w:numId w:val="2"/>
        </w:numPr>
        <w:spacing w:after="40" w:before="40"/>
      </w:pPr>
      <w:r>
        <w:rPr>
          <w:rFonts w:ascii="Arial" w:cs="Arial" w:eastAsia="Arial" w:hAnsi="Arial"/>
          <w:sz w:val="22"/>
          <w:szCs w:val="22"/>
        </w:rPr>
        <w:t xml:space="preserve">ChEMBL REST — drug modality, target class, mechanism-of-action.</w:t>
      </w:r>
    </w:p>
    <w:p>
      <w:pPr>
        <w:pStyle w:val="ListParagraph"/>
        <w:numPr>
          <w:ilvl w:val="0"/>
          <w:numId w:val="2"/>
        </w:numPr>
        <w:spacing w:after="40" w:before="40"/>
      </w:pPr>
      <w:r>
        <w:rPr>
          <w:rFonts w:ascii="Arial" w:cs="Arial" w:eastAsia="Arial" w:hAnsi="Arial"/>
          <w:sz w:val="22"/>
          <w:szCs w:val="22"/>
        </w:rPr>
        <w:t xml:space="preserve">yfinance — daily OHLCV for runup/magnitude features and BIFROST v4 sizing.</w:t>
      </w:r>
    </w:p>
    <w:p>
      <w:pPr>
        <w:pStyle w:val="Heading2"/>
        <w:spacing w:after="100" w:before="200"/>
      </w:pPr>
      <w:r>
        <w:rPr>
          <w:rFonts w:ascii="Arial" w:cs="Arial" w:eastAsia="Arial" w:hAnsi="Arial"/>
          <w:b/>
          <w:bCs/>
          <w:color w:val="1F3864"/>
          <w:sz w:val="26"/>
          <w:szCs w:val="26"/>
        </w:rPr>
        <w:t xml:space="preserve">8.4 File deliverables</w:t>
      </w:r>
    </w:p>
    <w:p>
      <w:pPr>
        <w:pStyle w:val="ListParagraph"/>
        <w:numPr>
          <w:ilvl w:val="0"/>
          <w:numId w:val="2"/>
        </w:numPr>
        <w:spacing w:after="40" w:before="40"/>
      </w:pPr>
      <w:r>
        <w:rPr>
          <w:rFonts w:ascii="Arial" w:cs="Arial" w:eastAsia="Arial" w:hAnsi="Arial"/>
          <w:sz w:val="22"/>
          <w:szCs w:val="22"/>
        </w:rPr>
        <w:t xml:space="preserve">Q2_Q4_2026_Catalyst_Masterplan.xlsx — 8-sheet workbook with all scored catalysts, leapfrog calendar, weekly plan, options plays, homerun shortlist, honest audit.</w:t>
      </w:r>
    </w:p>
    <w:p>
      <w:pPr>
        <w:pStyle w:val="ListParagraph"/>
        <w:numPr>
          <w:ilvl w:val="0"/>
          <w:numId w:val="2"/>
        </w:numPr>
        <w:spacing w:after="40" w:before="40"/>
      </w:pPr>
      <w:r>
        <w:rPr>
          <w:rFonts w:ascii="Arial" w:cs="Arial" w:eastAsia="Arial" w:hAnsi="Arial"/>
          <w:sz w:val="22"/>
          <w:szCs w:val="22"/>
        </w:rPr>
        <w:t xml:space="preserve">Q2_Q4_2026_Strategy_Memo.docx — this document.</w:t>
      </w:r>
    </w:p>
    <w:p>
      <w:pPr>
        <w:pStyle w:val="ListParagraph"/>
        <w:numPr>
          <w:ilvl w:val="0"/>
          <w:numId w:val="2"/>
        </w:numPr>
        <w:spacing w:after="40" w:before="40"/>
      </w:pPr>
      <w:r>
        <w:rPr>
          <w:rFonts w:ascii="Arial" w:cs="Arial" w:eastAsia="Arial" w:hAnsi="Arial"/>
          <w:sz w:val="22"/>
          <w:szCs w:val="22"/>
        </w:rPr>
        <w:t xml:space="preserve">q2q4_all_scored.csv — full 818-row scored dataset.</w:t>
      </w:r>
    </w:p>
    <w:p>
      <w:pPr>
        <w:pStyle w:val="ListParagraph"/>
        <w:numPr>
          <w:ilvl w:val="0"/>
          <w:numId w:val="2"/>
        </w:numPr>
        <w:spacing w:after="40" w:before="40"/>
      </w:pPr>
      <w:r>
        <w:rPr>
          <w:rFonts w:ascii="Arial" w:cs="Arial" w:eastAsia="Arial" w:hAnsi="Arial"/>
          <w:sz w:val="22"/>
          <w:szCs w:val="22"/>
        </w:rPr>
        <w:t xml:space="preserve">q2q4_leapfrog_schedule.csv — 48-trade leapfrog queue.</w:t>
      </w:r>
    </w:p>
    <w:p>
      <w:pPr>
        <w:pStyle w:val="ListParagraph"/>
        <w:numPr>
          <w:ilvl w:val="0"/>
          <w:numId w:val="2"/>
        </w:numPr>
        <w:spacing w:after="40" w:before="40"/>
      </w:pPr>
      <w:r>
        <w:rPr>
          <w:rFonts w:ascii="Arial" w:cs="Arial" w:eastAsia="Arial" w:hAnsi="Arial"/>
          <w:sz w:val="22"/>
          <w:szCs w:val="22"/>
        </w:rPr>
        <w:t xml:space="preserve">q2q4_homerun_shortlist.csv — CAPR ≥ 8 pool.</w:t>
      </w:r>
    </w:p>
    <w:p>
      <w:pPr>
        <w:pStyle w:val="ListParagraph"/>
        <w:numPr>
          <w:ilvl w:val="0"/>
          <w:numId w:val="2"/>
        </w:numPr>
        <w:spacing w:after="40" w:before="40"/>
      </w:pPr>
      <w:r>
        <w:rPr>
          <w:rFonts w:ascii="Arial" w:cs="Arial" w:eastAsia="Arial" w:hAnsi="Arial"/>
          <w:sz w:val="22"/>
          <w:szCs w:val="22"/>
        </w:rPr>
        <w:t xml:space="preserve">q2q4_weekly_plan.csv — by-week entry summary.</w:t>
      </w:r>
    </w:p>
    <w:p>
      <w:pPr>
        <w:spacing w:before="400"/>
        <w:jc w:val="center"/>
      </w:pPr>
      <w:r>
        <w:rPr>
          <w:rFonts w:ascii="Arial" w:cs="Arial" w:eastAsia="Arial" w:hAnsi="Arial"/>
          <w:i/>
          <w:iCs/>
          <w:color w:val="616161"/>
          <w:sz w:val="22"/>
          <w:szCs w:val="22"/>
        </w:rPr>
        <w:t xml:space="preserve">— End of Memo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616161"/>
        <w:sz w:val="18"/>
        <w:szCs w:val="18"/>
      </w:rPr>
      <w:t xml:space="preserve">pdufa.bio  ·  April 18, 2026</w:t>
    </w:r>
    <w:r>
      <w:rPr>
        <w:rFonts w:ascii="Arial" w:cs="Arial" w:eastAsia="Arial" w:hAnsi="Arial"/>
      </w:rPr>
      <w:t xml:space="preserve">	</w:t>
    </w: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8"/>
        <w:szCs w:val="18"/>
      </w:rPr>
      <w:t xml:space="preserve">9 Realms · Q2–Q4 2026 Leapfrog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Q2-Q4 2026 Biotech Catalyst Leapfrog Strategy Memo</dc:title>
  <dc:creator>9 Realms · pdufa.bio</dc:creator>
  <dc:description>Comprehensive compounding playbook: 818 catalysts scored, 48-trade chain, CAPR homerun shortlist, options v1.2 guardrails, honest numbers audit</dc:description>
  <cp:lastModifiedBy>Un-named</cp:lastModifiedBy>
  <cp:revision>1</cp:revision>
  <dcterms:created xsi:type="dcterms:W3CDTF">2026-04-19T04:35:58.721Z</dcterms:created>
  <dcterms:modified xsi:type="dcterms:W3CDTF">2026-04-19T04:35:58.721Z</dcterms:modified>
</cp:coreProperties>
</file>

<file path=docProps/custom.xml><?xml version="1.0" encoding="utf-8"?>
<Properties xmlns="http://schemas.openxmlformats.org/officeDocument/2006/custom-properties" xmlns:vt="http://schemas.openxmlformats.org/officeDocument/2006/docPropsVTypes"/>
</file>