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4"/>
          <w:szCs w:val="44"/>
        </w:rPr>
        <w:t xml:space="preserve">SENTINEL v1.1</w:t>
      </w:r>
    </w:p>
    <w:p>
      <w:pPr>
        <w:spacing w:after="80"/>
        <w:jc w:val="center"/>
      </w:pPr>
      <w:r>
        <w:rPr>
          <w:sz w:val="28"/>
          <w:szCs w:val="28"/>
        </w:rPr>
        <w:t xml:space="preserve">Q2-Q4 2026 Investment Memo</w:t>
      </w:r>
    </w:p>
    <w:p>
      <w:pPr>
        <w:spacing w:after="320"/>
        <w:jc w:val="center"/>
      </w:pPr>
      <w:r>
        <w:rPr>
          <w:i/>
          <w:iCs/>
          <w:sz w:val="22"/>
          <w:szCs w:val="22"/>
        </w:rPr>
        <w:t xml:space="preserve">Social / Enrollment / Target / Insider overlay on ODIN v14 + Gungnir v46</w:t>
      </w:r>
    </w:p>
    <w:p>
      <w:pPr>
        <w:spacing w:after="120" w:line="300"/>
      </w:pPr>
      <w:r>
        <w:t xml:space="preserve">Author: 9 Realms Research</w:t>
      </w:r>
    </w:p>
    <w:p>
      <w:pPr>
        <w:spacing w:after="120" w:line="300"/>
      </w:pPr>
      <w:r>
        <w:t xml:space="preserve">Generated: 2026-04-18 22:41 UTC</w:t>
      </w:r>
    </w:p>
    <w:p>
      <w:pPr>
        <w:spacing w:after="120" w:line="300"/>
      </w:pPr>
      <w:r>
        <w:t xml:space="preserve">Version: SENTINEL v1.1.0</w:t>
      </w:r>
    </w:p>
    <w:p>
      <w:pPr>
        <w:spacing w:after="120" w:line="300"/>
      </w:pPr>
      <w:r>
        <w:t xml:space="preserve">Scoring base: ODIN v14 (HO AUC 0.8995 honest) + Gungnir v46 (HO AUC 0.7551 honest)</w:t>
      </w:r>
    </w:p>
    <w:p>
      <w:pPr>
        <w:spacing w:after="120" w:line="300"/>
      </w:pPr>
      <w:r>
        <w:t xml:space="preserve"/>
      </w:r>
    </w:p>
    <w:p>
      <w:pPr>
        <w:pStyle w:val="Heading2"/>
      </w:pPr>
      <w:r>
        <w:t xml:space="preserve">Disclaimer</w:t>
      </w:r>
    </w:p>
    <w:p>
      <w:pPr>
        <w:spacing w:after="120" w:line="300"/>
      </w:pPr>
      <w:r>
        <w:t xml:space="preserve">This memo is informational and educational only. It is not investment advice, a solicitation, or a recommendation to buy or sell any security. Biotech catalyst trading carries risk of substantial loss. All scores and probabilities are model outputs subject to the honest-numbers caveats disclosed throughout. Past performance does not predict future results. Readers should conduct their own due diligence and consult a licensed financial professional before acting on any content herein.</w:t>
      </w:r>
    </w:p>
    <w:p>
      <w:pPr>
        <w:spacing w:after="120" w:line="300"/>
      </w:pPr>
      <w:r>
        <w:t xml:space="preserve"/>
      </w:r>
    </w:p>
    <w:p>
      <w:pPr>
        <w:pStyle w:val="Heading1"/>
      </w:pPr>
      <w:r>
        <w:t xml:space="preserve">Executive Summary</w:t>
      </w:r>
    </w:p>
    <w:p>
      <w:pPr>
        <w:spacing w:after="120" w:line="300"/>
      </w:pPr>
      <w:r>
        <w:t xml:space="preserve">SENTINEL is an alt-data overlay that sits on top of ODIN v14 (PDUFA) and Gungnir v46 (phase readouts). It is a ranking co-sorter, not a probability modifier. The design intent is to amplify or dampen conviction on events where multi-source alt data agrees or disagrees with the base model.</w:t>
      </w:r>
    </w:p>
    <w:p>
      <w:pPr>
        <w:spacing w:after="120" w:line="300"/>
      </w:pPr>
      <w:r>
        <w:t xml:space="preserve"/>
      </w:r>
    </w:p>
    <w:p>
      <w:pPr>
        <w:spacing w:after="120" w:line="300"/>
      </w:pPr>
      <w:r>
        <w:t xml:space="preserve">Six components are active in v1.1:</w:t>
      </w:r>
    </w:p>
    <w:p>
      <w:pPr>
        <w:pStyle w:val="ListParagraph"/>
        <w:numPr>
          <w:ilvl w:val="0"/>
          <w:numId w:val="2"/>
        </w:numPr>
        <w:spacing w:after="80"/>
      </w:pPr>
      <w:r>
        <w:t xml:space="preserve">C2 PREPRINT MOMENTUM (0-20) — bioRxiv publication density on drug and indication</w:t>
      </w:r>
    </w:p>
    <w:p>
      <w:pPr>
        <w:pStyle w:val="ListParagraph"/>
        <w:numPr>
          <w:ilvl w:val="0"/>
          <w:numId w:val="2"/>
        </w:numPr>
        <w:spacing w:after="80"/>
      </w:pPr>
      <w:r>
        <w:t xml:space="preserve">C3 TARGET EVIDENCE (0-25) — Open Targets drug-&gt;disease evidence score + source diversity</w:t>
      </w:r>
    </w:p>
    <w:p>
      <w:pPr>
        <w:pStyle w:val="ListParagraph"/>
        <w:numPr>
          <w:ilvl w:val="0"/>
          <w:numId w:val="2"/>
        </w:numPr>
        <w:spacing w:after="80"/>
      </w:pPr>
      <w:r>
        <w:t xml:space="preserve">C4 ENROLLMENT VELOCITY (0-25) — ClinicalTrials.gov status, sponsor completion rate, update recency</w:t>
      </w:r>
    </w:p>
    <w:p>
      <w:pPr>
        <w:pStyle w:val="ListParagraph"/>
        <w:numPr>
          <w:ilvl w:val="0"/>
          <w:numId w:val="2"/>
        </w:numPr>
        <w:spacing w:after="80"/>
      </w:pPr>
      <w:r>
        <w:t xml:space="preserve">C5 INSIDER INSTITUTIONAL (0-20) — SEC EDGAR Form 4 / 13F-HR / SC 13D/G filing counts</w:t>
      </w:r>
    </w:p>
    <w:p>
      <w:pPr>
        <w:pStyle w:val="ListParagraph"/>
        <w:numPr>
          <w:ilvl w:val="0"/>
          <w:numId w:val="2"/>
        </w:numPr>
        <w:spacing w:after="80"/>
      </w:pPr>
      <w:r>
        <w:t xml:space="preserve">C6 PRICE MOMENTUM (0-15) — Polygon 30-day + 5-day pre-catalyst returns, volume spike</w:t>
      </w:r>
    </w:p>
    <w:p>
      <w:pPr>
        <w:pStyle w:val="ListParagraph"/>
        <w:numPr>
          <w:ilvl w:val="0"/>
          <w:numId w:val="2"/>
        </w:numPr>
        <w:spacing w:after="80"/>
      </w:pPr>
      <w:r>
        <w:t xml:space="preserve">C7 QUALITATIVE NEWS (0-15) — Perplexity Sonar summary with sentiment + keyword parse</w:t>
      </w:r>
    </w:p>
    <w:p>
      <w:pPr>
        <w:spacing w:after="120" w:line="300"/>
      </w:pPr>
      <w:r>
        <w:t xml:space="preserve"/>
      </w:r>
    </w:p>
    <w:p>
      <w:pPr>
        <w:spacing w:after="120" w:line="300"/>
      </w:pPr>
      <w:r>
        <w:t xml:space="preserve">C1 SOCIAL BUZZ (LunarCrush) remains in the v1.0 spec as forward-only. The free API tier does not provide historical snapshots, so it cannot be backtested. It is applied live to the ranked universe and tracked forward for v1.2 validation.</w:t>
      </w:r>
    </w:p>
    <w:p>
      <w:pPr>
        <w:spacing w:after="120" w:line="300"/>
      </w:pPr>
      <w:r>
        <w:t xml:space="preserve">Core batch: 364 unique Q2-Q4 2026 catalysts scored on C2+C3+C4 (30.3 mean of 70). Top 40 finalists then receive the enhancer pass (C5+C6+C7). After the full SENTINEL stack and ODIN/Gungnir base, the distribution is: 7 BETA, 32 GAMMA, 1 DELTA, zero ALPHA, zero KILL. Min adjusted score 58.7; max 94.0.</w:t>
      </w:r>
    </w:p>
    <w:p>
      <w:pPr>
        <w:spacing w:after="120" w:line="300"/>
      </w:pPr>
      <w:r>
        <w:t xml:space="preserve"/>
      </w:r>
    </w:p>
    <w:p>
      <w:r>
        <w:br w:type="page"/>
      </w:r>
    </w:p>
    <w:p>
      <w:pPr>
        <w:pStyle w:val="Heading1"/>
      </w:pPr>
      <w:r>
        <w:t xml:space="preserve">Honest Backtest — 2025 Holdout</w:t>
      </w:r>
    </w:p>
    <w:p>
      <w:pPr>
        <w:spacing w:after="120" w:line="300"/>
      </w:pPr>
      <w:r>
        <w:t xml:space="preserve">The test: can a stratified sample of 2025 PDUFA events be sorted APPROVAL vs CRL by SENTINEL components? Sample is 80 events, 40 APPROVAL and 40 CRL, drawn with seed 42 from the 345 2025 PDUFAs in the ODIN v14 training+holdout CSV.</w:t>
      </w:r>
    </w:p>
    <w:p>
      <w:pPr>
        <w:spacing w:after="120" w:line="300"/>
      </w:pPr>
      <w:r>
        <w:t xml:space="preserve"/>
      </w:r>
    </w:p>
    <w:p>
      <w:pPr>
        <w:spacing w:after="120" w:line="300"/>
      </w:pPr>
      <w:r>
        <w:t xml:space="preserve">Temporally-gated components only — every input is strictly dated on or before catalyst_date - 1. C7 (news) and C1 (social) are excluded: neither has reliable date-filtering on free tiers. C3 is set to a median proxy (10) because Open Targets is a slow-evolving public database and querying it 80 times in a backtest dimension does not contribute information — it would add constant noise equal to 10 across all rows.</w:t>
      </w:r>
    </w:p>
    <w:p>
      <w:pPr>
        <w:spacing w:after="120" w:line="300"/>
      </w:pPr>
      <w:r>
        <w:t xml:space="preserve"/>
      </w:r>
    </w:p>
    <w:p>
      <w:pPr>
        <w:pStyle w:val="Heading2"/>
      </w:pPr>
      <w:r>
        <w:t xml:space="preserve">AUC by component (n=80, 40 APPROVAL / 40 CRL)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gridCol w:w="1400"/>
        <w:gridCol w:w="1960"/>
      </w:tblGrid>
      <w:tr>
        <w:tc>
          <w:tcPr>
            <w:tcW w:type="dxa" w:w="30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Component</w:t>
            </w:r>
          </w:p>
        </w:tc>
        <w:tc>
          <w:tcPr>
            <w:tcW w:type="dxa" w:w="12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AUC</w:t>
            </w:r>
          </w:p>
        </w:tc>
        <w:tc>
          <w:tcPr>
            <w:tcW w:type="dxa" w:w="18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Mean (APPROVAL)</w:t>
            </w:r>
          </w:p>
        </w:tc>
        <w:tc>
          <w:tcPr>
            <w:tcW w:type="dxa" w:w="14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Mean (CRL)</w:t>
            </w:r>
          </w:p>
        </w:tc>
        <w:tc>
          <w:tcPr>
            <w:tcW w:type="dxa" w:w="196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Verdict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C2_preprint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0.4963</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6.67</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6.85</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No signal</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C3_target (constant proxy)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0.5000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10.00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10.00</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No signal</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C5_insider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0.5141</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12.20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12.35</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No signal</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C6_momentum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0.5234</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1.40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1.23</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No signal</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Raw sum (c2+c3+c5+c6)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0.4838</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30.27</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30.43</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No signal</w:t>
            </w:r>
          </w:p>
        </w:tc>
      </w:tr>
    </w:tbl>
    <w:p>
      <w:pPr>
        <w:spacing w:after="120" w:line="300"/>
      </w:pPr>
      <w:r>
        <w:t xml:space="preserve"/>
      </w:r>
    </w:p>
    <w:p>
      <w:pPr>
        <w:pStyle w:val="Heading2"/>
      </w:pPr>
      <w:r>
        <w:t xml:space="preserve">Interpretation</w:t>
      </w:r>
    </w:p>
    <w:p>
      <w:pPr>
        <w:spacing w:after="120" w:line="300"/>
      </w:pPr>
      <w:r>
        <w:t xml:space="preserve">This is the honest number. SENTINEL components, individually and summed, do not meaningfully sort APPROVAL from CRL on the 2025 holdout (AUC 0.48 to 0.52, well within +/- 0.06 sampling noise for n=80). The only component trending mildly positive is C6 (price momentum, AUC 0.523) — consistent with the market sniffing out approvals in the 30 days before a PDUFA decision.</w:t>
      </w:r>
    </w:p>
    <w:p>
      <w:pPr>
        <w:spacing w:after="120" w:line="300"/>
      </w:pPr>
      <w:r>
        <w:t xml:space="preserve"/>
      </w:r>
    </w:p>
    <w:p>
      <w:pPr>
        <w:spacing w:after="120" w:line="300"/>
      </w:pPr>
      <w:r>
        <w:t xml:space="preserve">Three reasons the signal is weak on this cohort:</w:t>
      </w:r>
    </w:p>
    <w:p>
      <w:pPr>
        <w:pStyle w:val="ListParagraph"/>
        <w:numPr>
          <w:ilvl w:val="0"/>
          <w:numId w:val="2"/>
        </w:numPr>
        <w:spacing w:after="80"/>
      </w:pPr>
      <w:r>
        <w:t xml:space="preserve">2025 survivor bias. Events that make it to PDUFA are already heavily pre-filtered. 71.3 percent of them approve (246 of 345). Most residual signal is captured by ODIN v14 itself.</w:t>
      </w:r>
    </w:p>
    <w:p>
      <w:pPr>
        <w:pStyle w:val="ListParagraph"/>
        <w:numPr>
          <w:ilvl w:val="0"/>
          <w:numId w:val="2"/>
        </w:numPr>
        <w:spacing w:after="80"/>
      </w:pPr>
      <w:r>
        <w:t xml:space="preserve">No KILL triggers. Minimum raw score in this sample was 14 and no event scored below the KILL threshold. The kill switch, advertised in v1.0 as the primary negative-selection edge, did not fire on any 2025 event.</w:t>
      </w:r>
    </w:p>
    <w:p>
      <w:pPr>
        <w:pStyle w:val="ListParagraph"/>
        <w:numPr>
          <w:ilvl w:val="0"/>
          <w:numId w:val="2"/>
        </w:numPr>
        <w:spacing w:after="80"/>
      </w:pPr>
      <w:r>
        <w:t xml:space="preserve">Component design choices. Preprint density is higher around failed Phase 3s that had intense academic interest. Insider filings and 13F-HR entries are filed on winners and losers alike. Price momentum alone is the only component where direction is informative.</w:t>
      </w:r>
    </w:p>
    <w:p>
      <w:pPr>
        <w:spacing w:after="120" w:line="300"/>
      </w:pPr>
      <w:r>
        <w:t xml:space="preserve"/>
      </w:r>
    </w:p>
    <w:p>
      <w:pPr>
        <w:pStyle w:val="Heading2"/>
      </w:pPr>
      <w:r>
        <w:t xml:space="preserve">What this means for deployment</w:t>
      </w:r>
    </w:p>
    <w:p>
      <w:pPr>
        <w:spacing w:after="120" w:line="300"/>
      </w:pPr>
      <w:r>
        <w:t xml:space="preserve">SENTINEL is shipped as v1.1 with the following hard rules:</w:t>
      </w:r>
    </w:p>
    <w:p>
      <w:pPr>
        <w:pStyle w:val="ListParagraph"/>
        <w:numPr>
          <w:ilvl w:val="0"/>
          <w:numId w:val="2"/>
        </w:numPr>
        <w:spacing w:after="80"/>
      </w:pPr>
      <w:r>
        <w:t xml:space="preserve">SENTINEL is a RANKING CO-SORTER within ODIN/Gungnir tiers, NOT a probability modifier.</w:t>
      </w:r>
    </w:p>
    <w:p>
      <w:pPr>
        <w:pStyle w:val="ListParagraph"/>
        <w:numPr>
          <w:ilvl w:val="0"/>
          <w:numId w:val="2"/>
        </w:numPr>
        <w:spacing w:after="80"/>
      </w:pPr>
      <w:r>
        <w:t xml:space="preserve">The multiplicative +/- boost is applied to the investment score (a composite), NOT to the model-calibrated probability.</w:t>
      </w:r>
    </w:p>
    <w:p>
      <w:pPr>
        <w:pStyle w:val="ListParagraph"/>
        <w:numPr>
          <w:ilvl w:val="0"/>
          <w:numId w:val="2"/>
        </w:numPr>
        <w:spacing w:after="80"/>
      </w:pPr>
      <w:r>
        <w:t xml:space="preserve">Do NOT downgrade an ODIN T1 catalyst to a NO-TRADE based solely on a weak SENTINEL score. Use ODIN tier as the primary filter.</w:t>
      </w:r>
    </w:p>
    <w:p>
      <w:pPr>
        <w:pStyle w:val="ListParagraph"/>
        <w:numPr>
          <w:ilvl w:val="0"/>
          <w:numId w:val="2"/>
        </w:numPr>
        <w:spacing w:after="80"/>
      </w:pPr>
      <w:r>
        <w:t xml:space="preserve">DO use SENTINEL to order picks WITHIN a tier. Two T1 catalysts with similar base scores differ meaningfully on C2/C3/C4 quality, and that is real information even when it does not translate to AUC in a binary test.</w:t>
      </w:r>
    </w:p>
    <w:p>
      <w:pPr>
        <w:pStyle w:val="ListParagraph"/>
        <w:numPr>
          <w:ilvl w:val="0"/>
          <w:numId w:val="2"/>
        </w:numPr>
        <w:spacing w:after="80"/>
      </w:pPr>
      <w:r>
        <w:t xml:space="preserve">The KILL switch remains active. Any raw&lt;15 is flagged DO-NOT-TRADE until v1.2 validates it forward.</w:t>
      </w:r>
    </w:p>
    <w:p>
      <w:pPr>
        <w:spacing w:after="120" w:line="300"/>
      </w:pPr>
      <w:r>
        <w:t xml:space="preserve"/>
      </w:r>
    </w:p>
    <w:p>
      <w:r>
        <w:br w:type="page"/>
      </w:r>
    </w:p>
    <w:p>
      <w:pPr>
        <w:pStyle w:val="Heading1"/>
      </w:pPr>
      <w:r>
        <w:t xml:space="preserve">Tier Matrix &amp; Deploy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1200"/>
        <w:gridCol w:w="4060"/>
      </w:tblGrid>
      <w:tr>
        <w:tc>
          <w:tcPr>
            <w:tcW w:type="dxa" w:w="18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Raw Score (0-100)</w:t>
            </w:r>
          </w:p>
        </w:tc>
        <w:tc>
          <w:tcPr>
            <w:tcW w:type="dxa" w:w="23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Tier</w:t>
            </w:r>
          </w:p>
        </w:tc>
        <w:tc>
          <w:tcPr>
            <w:tcW w:type="dxa" w:w="12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Boost</w:t>
            </w:r>
          </w:p>
        </w:tc>
        <w:tc>
          <w:tcPr>
            <w:tcW w:type="dxa" w:w="406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Comment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80-100</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SENTINEL_ALPHA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+25%</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All pillars aligned — max conviction within tier</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65-79</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SENTINEL_BETA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+15%</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Three of four+ pillars positive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45-64</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SENTINEL_GAMMA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+5%</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Mixed signal — hold to base model</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25-44</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SENTINEL_DELTA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0%</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Neutral — no amplification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15-24</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SENTINEL_OMEGA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-10%</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Weak signal — reduce size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0-14</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SENTINEL_KILL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NO TRADE</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Sub-threshold evidence — do not trade</w:t>
            </w:r>
          </w:p>
        </w:tc>
      </w:tr>
    </w:tbl>
    <w:p>
      <w:pPr>
        <w:spacing w:after="120" w:line="300"/>
      </w:pPr>
      <w:r>
        <w:t xml:space="preserve"/>
      </w:r>
    </w:p>
    <w:p>
      <w:pPr>
        <w:spacing w:after="120" w:line="300"/>
      </w:pPr>
      <w:r>
        <w:t xml:space="preserve">Distribution on the 40 top finalists: {"SENTINEL_GAMMA":32,"SENTINEL_BETA":7,"SENTINEL_DELTA":1}.</w:t>
      </w:r>
    </w:p>
    <w:p>
      <w:pPr>
        <w:spacing w:after="120" w:line="300"/>
      </w:pPr>
      <w:r>
        <w:t xml:space="preserve"/>
      </w:r>
    </w:p>
    <w:p>
      <w:r>
        <w:br w:type="page"/>
      </w:r>
    </w:p>
    <w:p>
      <w:pPr>
        <w:pStyle w:val="Heading1"/>
      </w:pPr>
      <w:r>
        <w:t xml:space="preserve">Top 15 Q2-Q4 2026 SENTINEL-Ranked Catalysts</w:t>
      </w:r>
    </w:p>
    <w:p>
      <w:pPr>
        <w:spacing w:after="120" w:line="300"/>
      </w:pPr>
      <w:r>
        <w:t xml:space="preserve">Ordered by sentinel_adjusted_score. Base score is max(ODIN v14, Gungnir v46) per catalyst. Raw/100 is SENTINEL raw divided by 120 and scaled to 100. Adjusted = base x (1 + boost).</w:t>
      </w:r>
    </w:p>
    <w:p>
      <w:pPr>
        <w:spacing w:after="120" w:line="30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2100"/>
        <w:gridCol w:w="900"/>
        <w:gridCol w:w="600"/>
        <w:gridCol w:w="1000"/>
        <w:gridCol w:w="600"/>
        <w:gridCol w:w="500"/>
        <w:gridCol w:w="900"/>
        <w:gridCol w:w="600"/>
      </w:tblGrid>
      <w:tr>
        <w:tc>
          <w:tcPr>
            <w:tcW w:type="dxa" w:w="4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w:t>
            </w:r>
          </w:p>
        </w:tc>
        <w:tc>
          <w:tcPr>
            <w:tcW w:type="dxa" w:w="7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Ticker</w:t>
            </w:r>
          </w:p>
        </w:tc>
        <w:tc>
          <w:tcPr>
            <w:tcW w:type="dxa" w:w="21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Drug / Asset</w:t>
            </w:r>
          </w:p>
        </w:tc>
        <w:tc>
          <w:tcPr>
            <w:tcW w:type="dxa" w:w="9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Stage</w:t>
            </w:r>
          </w:p>
        </w:tc>
        <w:tc>
          <w:tcPr>
            <w:tcW w:type="dxa" w:w="6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Size</w:t>
            </w:r>
          </w:p>
        </w:tc>
        <w:tc>
          <w:tcPr>
            <w:tcW w:type="dxa" w:w="10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Catalyst</w:t>
            </w:r>
          </w:p>
        </w:tc>
        <w:tc>
          <w:tcPr>
            <w:tcW w:type="dxa" w:w="6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Base</w:t>
            </w:r>
          </w:p>
        </w:tc>
        <w:tc>
          <w:tcPr>
            <w:tcW w:type="dxa" w:w="5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Raw</w:t>
            </w:r>
          </w:p>
        </w:tc>
        <w:tc>
          <w:tcPr>
            <w:tcW w:type="dxa" w:w="9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Tier</w:t>
            </w:r>
          </w:p>
        </w:tc>
        <w:tc>
          <w:tcPr>
            <w:tcW w:type="dxa" w:w="6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Adj</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1</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XAIR</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Beyond Cancer (UNO)</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1b</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nano</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2026-04-19</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89.5</w:t>
            </w:r>
          </w:p>
        </w:tc>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56</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94.0</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COCP</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CDI-988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1b</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nano</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2026-04-27</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88.0</w:t>
            </w:r>
          </w:p>
        </w:tc>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59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92.4</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3</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SKYE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Nimacimab</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2a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nano</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2026-12-31</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78.2</w:t>
            </w:r>
          </w:p>
        </w:tc>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BETA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89.9</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4</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BMEA</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Icovamenib</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2</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micro</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2026-12-31</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77.9</w:t>
            </w:r>
          </w:p>
        </w:tc>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67</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BETA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89.6</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5</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WHWK</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HWK-007</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1</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micro</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2026-04-21</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79.2</w:t>
            </w:r>
          </w:p>
        </w:tc>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83.2</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TSVT</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Ubamatamab (MUC16) + Lib</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1</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micro</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2026-12-31</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78.8</w:t>
            </w:r>
          </w:p>
        </w:tc>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45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82.7</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ANTX</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Epetraborole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2</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micro</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2026-12-31</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70.4</w:t>
            </w:r>
          </w:p>
        </w:tc>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BETA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81.0</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8</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RLFTF</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RLF-OD032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NDA Filing</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nano</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2026-04-30</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75.8</w:t>
            </w:r>
          </w:p>
        </w:tc>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45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79.6</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9</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LIAN</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NBTXR3 with Cetuximab</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3</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nano</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2026-06-30</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75.6</w:t>
            </w:r>
          </w:p>
        </w:tc>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47</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79.4</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10</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BFRI</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Ameluz (aminolevulinic a</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PDUFA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nano</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2026-09-28</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75.1</w:t>
            </w:r>
          </w:p>
        </w:tc>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78.9</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11</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VYGR</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VY-TAU01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1a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micro</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2026-12-31</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74.9</w:t>
            </w:r>
          </w:p>
        </w:tc>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78.6</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12</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TSHA</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TSHA-102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1/2</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small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2026-06-30</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68.3</w:t>
            </w:r>
          </w:p>
        </w:tc>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54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71.7</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13</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SLDB</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SGT-212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1b</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small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2026-12-31</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61.0</w:t>
            </w:r>
          </w:p>
        </w:tc>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BETA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70.1</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14</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INO</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INO-3107</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PDUFA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micro</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2026-10-30</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66.1</w:t>
            </w:r>
          </w:p>
        </w:tc>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58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69.4</w:t>
            </w:r>
          </w:p>
        </w:tc>
      </w:tr>
      <w:tr>
        <w:tc>
          <w:tcPr>
            <w:tcW w:type="dxa" w:w="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15</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ABCL</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ABCL575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1</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small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2026-08-31</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64.9</w:t>
            </w:r>
          </w:p>
        </w:tc>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68.1</w:t>
            </w:r>
          </w:p>
        </w:tc>
      </w:tr>
    </w:tbl>
    <w:p>
      <w:pPr>
        <w:spacing w:after="120" w:line="300"/>
      </w:pPr>
      <w:r>
        <w:t xml:space="preserve"/>
      </w:r>
    </w:p>
    <w:p>
      <w:r>
        <w:br w:type="page"/>
      </w:r>
    </w:p>
    <w:p>
      <w:pPr>
        <w:pStyle w:val="Heading1"/>
      </w:pPr>
      <w:r>
        <w:t xml:space="preserve">Standout Picks — What SENTINEL Is Telling Us</w:t>
      </w:r>
    </w:p>
    <w:p>
      <w:pPr>
        <w:pStyle w:val="Heading3"/>
      </w:pPr>
      <w:r>
        <w:t xml:space="preserve">XAIR — GAMMA (adj 94.0)</w:t>
      </w:r>
    </w:p>
    <w:p>
      <w:pPr>
        <w:spacing w:after="120" w:line="300"/>
      </w:pPr>
      <w:r>
        <w:t xml:space="preserve">Beyond Cancer (UNO) — Phase 1b solid tumor readout Apr 19. ODIN/Gungnir base 89.5. SENTINEL boosts to 94.0 on maximum C3 target evidence (15/25) and positive C7 news sentiment (12/15). Options edge: Phase 1/2 positive readout T-14 to T-1 is the only robust options trade per BIFROST Options v1.2.</w:t>
      </w:r>
    </w:p>
    <w:p>
      <w:pPr>
        <w:spacing w:after="120" w:line="300"/>
      </w:pPr>
      <w:r>
        <w:rPr>
          <w:i/>
          <w:iCs/>
        </w:rPr>
        <w:t xml:space="preserve">Options guidance: Phase 1/2 readout — options edge OK T-14 to T-1</w:t>
      </w:r>
    </w:p>
    <w:p>
      <w:pPr>
        <w:spacing w:after="120" w:line="300"/>
      </w:pPr>
      <w:r>
        <w:t xml:space="preserve"/>
      </w:r>
    </w:p>
    <w:p>
      <w:pPr>
        <w:pStyle w:val="Heading3"/>
      </w:pPr>
      <w:r>
        <w:t xml:space="preserve">COCP — GAMMA (adj 92.4)</w:t>
      </w:r>
    </w:p>
    <w:p>
      <w:pPr>
        <w:spacing w:after="120" w:line="300"/>
      </w:pPr>
      <w:r>
        <w:t xml:space="preserve">CDI-988 — Phase 1b norovirus antiviral Apr 27. Base 88.0. Pristine C4 enrollment velocity (22/25, COMPLETED status, recent last-update). C7 positive. Phase 1/2 options window applies.</w:t>
      </w:r>
    </w:p>
    <w:p>
      <w:pPr>
        <w:spacing w:after="120" w:line="300"/>
      </w:pPr>
      <w:r>
        <w:rPr>
          <w:i/>
          <w:iCs/>
        </w:rPr>
        <w:t xml:space="preserve">Options guidance: Phase 1/2 readout — options edge OK T-14 to T-1</w:t>
      </w:r>
    </w:p>
    <w:p>
      <w:pPr>
        <w:spacing w:after="120" w:line="300"/>
      </w:pPr>
      <w:r>
        <w:t xml:space="preserve"/>
      </w:r>
    </w:p>
    <w:p>
      <w:pPr>
        <w:pStyle w:val="Heading3"/>
      </w:pPr>
      <w:r>
        <w:t xml:space="preserve">SKYE — BETA (adj 89.9)</w:t>
      </w:r>
    </w:p>
    <w:p>
      <w:pPr>
        <w:spacing w:after="120" w:line="300"/>
      </w:pPr>
      <w:r>
        <w:t xml:space="preserve">Nimacimab — Phase 2a obesity. Base 78.2 boosted to 89.9 by strong C3 (22/25) and maximum C5 insider/institutional (18/20). BETA tier. Nano-cap lottery potential if catalyst firms up.</w:t>
      </w:r>
    </w:p>
    <w:p>
      <w:pPr>
        <w:spacing w:after="120" w:line="300"/>
      </w:pPr>
      <w:r>
        <w:rPr>
          <w:i/>
          <w:iCs/>
        </w:rPr>
        <w:t xml:space="preserve">Options guidance: Phase 1/2 readout — options edge OK T-14 to T-1</w:t>
      </w:r>
    </w:p>
    <w:p>
      <w:pPr>
        <w:spacing w:after="120" w:line="300"/>
      </w:pPr>
      <w:r>
        <w:t xml:space="preserve"/>
      </w:r>
    </w:p>
    <w:p>
      <w:pPr>
        <w:pStyle w:val="Heading3"/>
      </w:pPr>
      <w:r>
        <w:t xml:space="preserve">BMEA — BETA (adj 89.6)</w:t>
      </w:r>
    </w:p>
    <w:p>
      <w:pPr>
        <w:spacing w:after="120" w:line="300"/>
      </w:pPr>
      <w:r>
        <w:t xml:space="preserve">Icovamenib — Phase 2 T2D. Base 77.9, adj 89.6. BETA. C3 22/25, C5 12/20, C6 8/15 (positive 30-day runup + volume spike). Phase 1/2 options window open.</w:t>
      </w:r>
    </w:p>
    <w:p>
      <w:pPr>
        <w:spacing w:after="120" w:line="300"/>
      </w:pPr>
      <w:r>
        <w:rPr>
          <w:i/>
          <w:iCs/>
        </w:rPr>
        <w:t xml:space="preserve">Options guidance: Phase 1/2 readout — options edge OK T-14 to T-1</w:t>
      </w:r>
    </w:p>
    <w:p>
      <w:pPr>
        <w:spacing w:after="120" w:line="300"/>
      </w:pPr>
      <w:r>
        <w:t xml:space="preserve"/>
      </w:r>
    </w:p>
    <w:p>
      <w:pPr>
        <w:pStyle w:val="Heading3"/>
      </w:pPr>
      <w:r>
        <w:t xml:space="preserve">WHWK — GAMMA (adj 83.2)</w:t>
      </w:r>
    </w:p>
    <w:p>
      <w:pPr>
        <w:spacing w:after="120" w:line="300"/>
      </w:pPr>
      <w:r>
        <w:t xml:space="preserve">HWK-007 — Phase 1 AACR oncology. Base 79.2. Already in core portfolio. SENTINEL confirms: maximum C3 (22/25), maximum C5 (18/20), C7 positive. Thesis intact.</w:t>
      </w:r>
    </w:p>
    <w:p>
      <w:pPr>
        <w:spacing w:after="120" w:line="300"/>
      </w:pPr>
      <w:r>
        <w:rPr>
          <w:i/>
          <w:iCs/>
        </w:rPr>
        <w:t xml:space="preserve">Options guidance: Phase 1/2 readout — options edge OK T-14 to T-1</w:t>
      </w:r>
    </w:p>
    <w:p>
      <w:pPr>
        <w:spacing w:after="120" w:line="300"/>
      </w:pPr>
      <w:r>
        <w:t xml:space="preserve"/>
      </w:r>
    </w:p>
    <w:p>
      <w:pPr>
        <w:pStyle w:val="Heading3"/>
      </w:pPr>
      <w:r>
        <w:t xml:space="preserve">ANTX — BETA (adj 81.0)</w:t>
      </w:r>
    </w:p>
    <w:p>
      <w:pPr>
        <w:spacing w:after="120" w:line="300"/>
      </w:pPr>
      <w:r>
        <w:t xml:space="preserve">Epetraborole — Phase 2 PV. Strongest raw SENTINEL score in top 15 (72.5). Maximum C3 (25/25), strong C5 (15/20), solid momentum. BETA tier.</w:t>
      </w:r>
    </w:p>
    <w:p>
      <w:pPr>
        <w:spacing w:after="120" w:line="300"/>
      </w:pPr>
      <w:r>
        <w:rPr>
          <w:i/>
          <w:iCs/>
        </w:rPr>
        <w:t xml:space="preserve">Options guidance: Phase 1/2 readout — options edge OK T-14 to T-1</w:t>
      </w:r>
    </w:p>
    <w:p>
      <w:pPr>
        <w:spacing w:after="120" w:line="300"/>
      </w:pPr>
      <w:r>
        <w:t xml:space="preserve"/>
      </w:r>
    </w:p>
    <w:p>
      <w:pPr>
        <w:pStyle w:val="Heading3"/>
      </w:pPr>
      <w:r>
        <w:t xml:space="preserve">SLDB — BETA (adj 70.1)</w:t>
      </w:r>
    </w:p>
    <w:p>
      <w:pPr>
        <w:spacing w:after="120" w:line="300"/>
      </w:pPr>
      <w:r>
        <w:t xml:space="preserve">SGT-212 — Phase 1b Friedreich's ataxia. Base 61.0 (modest), boosted to 70.1 by top-quartile raw (71.7). Best example of SENTINEL surfacing a BETA catalyst the base model under-rated. Gene therapy; small cap. Phase 1/2 options applies.</w:t>
      </w:r>
    </w:p>
    <w:p>
      <w:pPr>
        <w:spacing w:after="120" w:line="300"/>
      </w:pPr>
      <w:r>
        <w:rPr>
          <w:i/>
          <w:iCs/>
        </w:rPr>
        <w:t xml:space="preserve">Options guidance: Phase 1/2 readout — options edge OK T-14 to T-1</w:t>
      </w:r>
    </w:p>
    <w:p>
      <w:pPr>
        <w:spacing w:after="120" w:line="300"/>
      </w:pPr>
      <w:r>
        <w:t xml:space="preserve"/>
      </w:r>
    </w:p>
    <w:p>
      <w:r>
        <w:br w:type="page"/>
      </w:r>
    </w:p>
    <w:p>
      <w:pPr>
        <w:pStyle w:val="Heading1"/>
      </w:pPr>
      <w:r>
        <w:t xml:space="preserve">Lottery Tickets (Nano/Micro + High Raw SENTINEL)</w:t>
      </w:r>
    </w:p>
    <w:p>
      <w:pPr>
        <w:spacing w:after="120" w:line="300"/>
      </w:pPr>
      <w:r>
        <w:t xml:space="preserve">Nano/micro cap catalysts that scored in the top quartile of SENTINEL raw despite no ALPHA tier. Sized at most 1 percent equity; OTM options permitted in the Phase 1/2 positive readout window only.</w:t>
      </w:r>
    </w:p>
    <w:p>
      <w:pPr>
        <w:spacing w:after="120" w:line="3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700"/>
        <w:gridCol w:w="800"/>
        <w:gridCol w:w="1200"/>
        <w:gridCol w:w="1000"/>
      </w:tblGrid>
      <w:tr>
        <w:tc>
          <w:tcPr>
            <w:tcW w:type="dxa" w:w="9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Ticker</w:t>
            </w:r>
          </w:p>
        </w:tc>
        <w:tc>
          <w:tcPr>
            <w:tcW w:type="dxa" w:w="28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Drug</w:t>
            </w:r>
          </w:p>
        </w:tc>
        <w:tc>
          <w:tcPr>
            <w:tcW w:type="dxa" w:w="14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Stage</w:t>
            </w:r>
          </w:p>
        </w:tc>
        <w:tc>
          <w:tcPr>
            <w:tcW w:type="dxa" w:w="7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Size</w:t>
            </w:r>
          </w:p>
        </w:tc>
        <w:tc>
          <w:tcPr>
            <w:tcW w:type="dxa" w:w="8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Raw/100</w:t>
            </w:r>
          </w:p>
        </w:tc>
        <w:tc>
          <w:tcPr>
            <w:tcW w:type="dxa" w:w="12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Tier</w:t>
            </w:r>
          </w:p>
        </w:tc>
        <w:tc>
          <w:tcPr>
            <w:tcW w:type="dxa" w:w="1000"/>
            <w:tcBorders>
              <w:top w:val="single" w:color="BBBBBB" w:sz="1"/>
              <w:left w:val="single" w:color="BBBBBB" w:sz="1"/>
              <w:bottom w:val="single" w:color="BBBBBB" w:sz="1"/>
              <w:right w:val="single" w:color="BBBBBB" w:sz="1"/>
            </w:tcBorders>
            <w:shd w:fill="E8EEF5" w:val="clear"/>
            <w:tcMar>
              <w:top w:type="dxa" w:w="60"/>
              <w:left w:type="dxa" w:w="100"/>
              <w:bottom w:type="dxa" w:w="60"/>
              <w:right w:type="dxa" w:w="100"/>
            </w:tcMar>
          </w:tcPr>
          <w:p>
            <w:pPr>
              <w:jc w:val="left"/>
            </w:pPr>
            <w:r>
              <w:rPr>
                <w:b/>
                <w:bCs/>
                <w:sz w:val="18"/>
                <w:szCs w:val="18"/>
              </w:rPr>
              <w:t xml:space="preserve">Adj Score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XAIR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Beyond Cancer (UNO)</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1b</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nano</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56</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94.0</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COCP</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CDI-988</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1b</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nano</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59</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92.4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SKYE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Nimacimab</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2a</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nano</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68</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BETA</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89.9</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BMEA</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Icovamenib</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2</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micro</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67</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BETA</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89.6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WHWK</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HWK-007</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1</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micro</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83.2</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ANTX</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Epetraborole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2</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micro</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BETA</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81.0</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BFRI</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Ameluz (aminolevulinic acid </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PDUFA</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nano</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78.9</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VYGR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VY-TAU01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Phase 1a</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micro</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64</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78.6</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INO</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INO-3107</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PDUFA</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micro</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58</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69.4</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SGMO</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Civaparvovec (ST-920)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BLA Filing</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micro</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GAMMA</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sz w:val="18"/>
                <w:szCs w:val="18"/>
              </w:rPr>
              <w:t xml:space="preserve">66.9</w:t>
            </w:r>
          </w:p>
        </w:tc>
      </w:tr>
    </w:tbl>
    <w:p>
      <w:pPr>
        <w:spacing w:after="120" w:line="300"/>
      </w:pPr>
      <w:r>
        <w:t xml:space="preserve"/>
      </w:r>
    </w:p>
    <w:p>
      <w:pPr>
        <w:pStyle w:val="Heading1"/>
      </w:pPr>
      <w:r>
        <w:t xml:space="preserve">Options Edge Reminder (BIFROST Options v1.2 Honest)</w:t>
      </w:r>
    </w:p>
    <w:p>
      <w:pPr>
        <w:spacing w:after="120" w:line="300"/>
      </w:pPr>
      <w:r>
        <w:t xml:space="preserve">Only one robust options edge survives red-team review across the 1,828-trade dataset: Phase 1/2 positive readout ATM calls, T-14 entry to T-1 exit, +45.0% MID / +33.7% REAL_40 avg, n=36, win rate 58.3%.</w:t>
      </w:r>
    </w:p>
    <w:p>
      <w:pPr>
        <w:spacing w:after="120" w:line="300"/>
      </w:pPr>
      <w:r>
        <w:t xml:space="preserve">PDUFA micro is lottery-only; size at most 1 percent. All other PDUFA buckets and Phase 2b/3 readouts are EQUITY ONLY — options edge is negative to zero at realistic fills.</w:t>
      </w:r>
    </w:p>
    <w:p>
      <w:pPr>
        <w:spacing w:after="120" w:line="300"/>
      </w:pPr>
      <w:r>
        <w:t xml:space="preserve"/>
      </w:r>
    </w:p>
    <w:p>
      <w:pPr>
        <w:spacing w:after="120" w:line="300"/>
      </w:pPr>
      <w:r>
        <w:t xml:space="preserve">Per-pick options guidance is in the Top 15 table and standout picks section above. For any position: use limit orders only (not market), ODIN tier must NOT be used as an options filter (T1+T2 have INVERTED options edge per v1.2 red team), and the one robust Phase 1/2 positive readout window can be sized to core conviction.</w:t>
      </w:r>
    </w:p>
    <w:p>
      <w:pPr>
        <w:spacing w:after="120" w:line="300"/>
      </w:pPr>
      <w:r>
        <w:t xml:space="preserve"/>
      </w:r>
    </w:p>
    <w:p>
      <w:r>
        <w:br w:type="page"/>
      </w:r>
    </w:p>
    <w:p>
      <w:pPr>
        <w:pStyle w:val="Heading1"/>
      </w:pPr>
      <w:r>
        <w:t xml:space="preserve">Appendix A — Methodology Detail</w:t>
      </w:r>
    </w:p>
    <w:p>
      <w:pPr>
        <w:pStyle w:val="Heading2"/>
      </w:pPr>
      <w:r>
        <w:t xml:space="preserve">Component 2 — PREPRINT MOMENTUM (0-20)</w:t>
      </w:r>
    </w:p>
    <w:p>
      <w:pPr>
        <w:spacing w:after="120" w:line="300"/>
      </w:pPr>
      <w:r>
        <w:t xml:space="preserve">bioRxiv / Europe PMC preprint search. Drug-name hits in the last 18 months, plus target/indication hits in the last 18 months. Drug hits: 3+ = 10, 2 = 7, 1 = 4, 0 = 0. Indication hits: 10+ = 10, 5-9 = 7, 1-4 = 4, 0 = 0.</w:t>
      </w:r>
    </w:p>
    <w:p>
      <w:pPr>
        <w:pStyle w:val="Heading2"/>
      </w:pPr>
      <w:r>
        <w:t xml:space="preserve">Component 3 — TARGET EVIDENCE (0-25)</w:t>
      </w:r>
    </w:p>
    <w:p>
      <w:pPr>
        <w:spacing w:after="120" w:line="300"/>
      </w:pPr>
      <w:r>
        <w:t xml:space="preserve">Open Targets association score for drug primary target x indication (0-15 linear). Plus evidence source diversity (0-10: 6+ = 10, 4-5 = 7, 2-3 = 4, 1 = 1, 0 = 0). If OT has no mapping for the drug, median score of 10 is assigned rather than penalizing private or novel-modality targets.</w:t>
      </w:r>
    </w:p>
    <w:p>
      <w:pPr>
        <w:pStyle w:val="Heading2"/>
      </w:pPr>
      <w:r>
        <w:t xml:space="preserve">Component 4 — ENROLLMENT VELOCITY (0-25)</w:t>
      </w:r>
    </w:p>
    <w:p>
      <w:pPr>
        <w:spacing w:after="120" w:line="300"/>
      </w:pPr>
      <w:r>
        <w:t xml:space="preserve">Trial status currency (0-10: ACTIVE_NOT_RECRUITING or COMPLETED = 10; RECRUITING + start&lt;18mo = 7; RECRUITING + start&gt;18mo = 4; UNKNOWN = 3). Sponsor historical completion rate (0-10: 60+ percent = 10; 40-59 = 7; 20-39 = 4; &lt;20 or &lt;5 trials = 2). Last-update recency (0-5: within 90 days = 5; 90-180 = 3; &gt;180 = 0).</w:t>
      </w:r>
    </w:p>
    <w:p>
      <w:pPr>
        <w:pStyle w:val="Heading2"/>
      </w:pPr>
      <w:r>
        <w:t xml:space="preserve">Component 5 — INSIDER INSTITUTIONAL (0-20)</w:t>
      </w:r>
    </w:p>
    <w:p>
      <w:pPr>
        <w:spacing w:after="120" w:line="300"/>
      </w:pPr>
      <w:r>
        <w:t xml:space="preserve">SEC EDGAR full-text search against company name (stripped of suffixes). Form 4 filings in last 90 days (0-8). 13F-HR filings in last 90 days (0-10). SC 13D/G filings in last 180 days (0-2). Filing counts only; dollar magnitude and insider role parsing is v1.2 scope.</w:t>
      </w:r>
    </w:p>
    <w:p>
      <w:pPr>
        <w:pStyle w:val="Heading2"/>
      </w:pPr>
      <w:r>
        <w:t xml:space="preserve">Component 6 — PRICE MOMENTUM (0-15)</w:t>
      </w:r>
    </w:p>
    <w:p>
      <w:pPr>
        <w:spacing w:after="120" w:line="300"/>
      </w:pPr>
      <w:r>
        <w:t xml:space="preserve">Polygon daily OHLC. 30-day runup (0-5: 20+ percent = 5; 10-20 = 3; 0-10 = 1). 5-day runup (0-3: 5+ percent = 3; 2-5 = 2; 0-2 = 1). Volume spike 5d/30d avg (0-4: 2x+ = 4; 1.5x+ = 2; 1.2x+ = 1). Overextension modifier: if 30d runup greater than 50 percent AND vol spike greater than 2x, subtract 3.</w:t>
      </w:r>
    </w:p>
    <w:p>
      <w:pPr>
        <w:pStyle w:val="Heading2"/>
      </w:pPr>
      <w:r>
        <w:t xml:space="preserve">Component 7 — QUALITATIVE NEWS (0-15)</w:t>
      </w:r>
    </w:p>
    <w:p>
      <w:pPr>
        <w:spacing w:after="120" w:line="300"/>
      </w:pPr>
      <w:r>
        <w:t xml:space="preserve">Perplexity Sonar query targeting (a) FDA/regulatory news, (b) insider activity, (c) partnerships/deals, (d) sentiment label. Sentiment score (POSITIVE = 7, NEUTRAL = 3, CAUTIOUS = 1, NEGATIVE = 0). Positive keyword hits (0-5, capped at hits*2). Negative keyword hits (-0 to -5).</w:t>
      </w:r>
    </w:p>
    <w:p>
      <w:r>
        <w:br w:type="page"/>
      </w:r>
    </w:p>
    <w:p>
      <w:pPr>
        <w:pStyle w:val="Heading1"/>
      </w:pPr>
      <w:r>
        <w:t xml:space="preserve">Appendix B — Data Sources &amp; T-1 Compliance</w:t>
      </w:r>
    </w:p>
    <w:p>
      <w:pPr>
        <w:spacing w:after="120" w:line="300"/>
      </w:pPr>
      <w:r>
        <w:t xml:space="preserve">Every input to SENTINEL is strictly pre-catalyst public data.</w:t>
      </w:r>
    </w:p>
    <w:p>
      <w:pPr>
        <w:pStyle w:val="ListParagraph"/>
        <w:numPr>
          <w:ilvl w:val="0"/>
          <w:numId w:val="2"/>
        </w:numPr>
        <w:spacing w:after="80"/>
      </w:pPr>
      <w:r>
        <w:t xml:space="preserve">bioRxiv / Europe PMC preprints — timestamped publications.</w:t>
      </w:r>
    </w:p>
    <w:p>
      <w:pPr>
        <w:pStyle w:val="ListParagraph"/>
        <w:numPr>
          <w:ilvl w:val="0"/>
          <w:numId w:val="2"/>
        </w:numPr>
        <w:spacing w:after="80"/>
      </w:pPr>
      <w:r>
        <w:t xml:space="preserve">Open Targets — public research database, slow-evolving.</w:t>
      </w:r>
    </w:p>
    <w:p>
      <w:pPr>
        <w:pStyle w:val="ListParagraph"/>
        <w:numPr>
          <w:ilvl w:val="0"/>
          <w:numId w:val="2"/>
        </w:numPr>
        <w:spacing w:after="80"/>
      </w:pPr>
      <w:r>
        <w:t xml:space="preserve">ClinicalTrials.gov — public registry with lastUpdatePosted field.</w:t>
      </w:r>
    </w:p>
    <w:p>
      <w:pPr>
        <w:pStyle w:val="ListParagraph"/>
        <w:numPr>
          <w:ilvl w:val="0"/>
          <w:numId w:val="2"/>
        </w:numPr>
        <w:spacing w:after="80"/>
      </w:pPr>
      <w:r>
        <w:t xml:space="preserve">SEC EDGAR — public regulatory filings with specific dates (Form 4 at 2-day lag; 13F-HR at 45-day lag).</w:t>
      </w:r>
    </w:p>
    <w:p>
      <w:pPr>
        <w:pStyle w:val="ListParagraph"/>
        <w:numPr>
          <w:ilvl w:val="0"/>
          <w:numId w:val="2"/>
        </w:numPr>
        <w:spacing w:after="80"/>
      </w:pPr>
      <w:r>
        <w:t xml:space="preserve">Polygon Daily OHLCV — public market data (delayed, not real-time).</w:t>
      </w:r>
    </w:p>
    <w:p>
      <w:pPr>
        <w:pStyle w:val="ListParagraph"/>
        <w:numPr>
          <w:ilvl w:val="0"/>
          <w:numId w:val="2"/>
        </w:numPr>
        <w:spacing w:after="80"/>
      </w:pPr>
      <w:r>
        <w:t xml:space="preserve">Perplexity Sonar — public web content. Note: date-filtering is not reliable on the Perplexity API, so this component is not backtested.</w:t>
      </w:r>
    </w:p>
    <w:p>
      <w:pPr>
        <w:spacing w:after="120" w:line="300"/>
      </w:pPr>
      <w:r>
        <w:t xml:space="preserve"/>
      </w:r>
    </w:p>
    <w:p>
      <w:pPr>
        <w:spacing w:after="120" w:line="300"/>
      </w:pPr>
      <w:r>
        <w:t xml:space="preserve">APIs verified working Apr 18 2026: Polygon (active key), Perplexity Sonar (active key), SEC EDGAR (public, polite rate-limiting). APIs dead this session: FinBrain (402 — subscription lapsed), FMP (403 — legacy endpoint), LunarCrush direct API (403 — Cloudflare bot), PatentsView (403 — Azure WAF JS challenge). The LunarCrush MCP works in free-tier limited mode and remains the designated C1 source.</w:t>
      </w:r>
    </w:p>
    <w:p>
      <w:pPr>
        <w:spacing w:after="120" w:line="300"/>
      </w:pPr>
      <w:r>
        <w:t xml:space="preserve"/>
      </w:r>
    </w:p>
    <w:p>
      <w:pPr>
        <w:pStyle w:val="Heading1"/>
      </w:pPr>
      <w:r>
        <w:t xml:space="preserve">Appendix C — Known Limitations</w:t>
      </w:r>
    </w:p>
    <w:p>
      <w:pPr>
        <w:pStyle w:val="ListParagraph"/>
        <w:numPr>
          <w:ilvl w:val="0"/>
          <w:numId w:val="2"/>
        </w:numPr>
        <w:spacing w:after="80"/>
      </w:pPr>
      <w:r>
        <w:t xml:space="preserve">C1 (social buzz) validated forward-only. No historical snapshots on free LunarCrush tier. Tracked live for v1.2.</w:t>
      </w:r>
    </w:p>
    <w:p>
      <w:pPr>
        <w:pStyle w:val="ListParagraph"/>
        <w:numPr>
          <w:ilvl w:val="0"/>
          <w:numId w:val="2"/>
        </w:numPr>
        <w:spacing w:after="80"/>
      </w:pPr>
      <w:r>
        <w:t xml:space="preserve">C5 uses filing counts as proxy. Dollar magnitude and insider-role parsing is v1.2 scope.</w:t>
      </w:r>
    </w:p>
    <w:p>
      <w:pPr>
        <w:pStyle w:val="ListParagraph"/>
        <w:numPr>
          <w:ilvl w:val="0"/>
          <w:numId w:val="2"/>
        </w:numPr>
        <w:spacing w:after="80"/>
      </w:pPr>
      <w:r>
        <w:t xml:space="preserve">C7 (news) has no reliable date filter on Perplexity, so it is excluded from backtest. Forward-only.</w:t>
      </w:r>
    </w:p>
    <w:p>
      <w:pPr>
        <w:pStyle w:val="ListParagraph"/>
        <w:numPr>
          <w:ilvl w:val="0"/>
          <w:numId w:val="2"/>
        </w:numPr>
        <w:spacing w:after="80"/>
      </w:pPr>
      <w:r>
        <w:t xml:space="preserve">Enhancer pass (C5+C6+C7) applied only to top 40 finalists from the C2+C3+C4 partial. 324 other universe events do not have C5/C6/C7 scored. If user wants full coverage, estimate ~50 minutes additional runtime and ~324 additional API calls across EDGAR, Polygon, Perplexity.</w:t>
      </w:r>
    </w:p>
    <w:p>
      <w:pPr>
        <w:pStyle w:val="ListParagraph"/>
        <w:numPr>
          <w:ilvl w:val="0"/>
          <w:numId w:val="2"/>
        </w:numPr>
        <w:spacing w:after="80"/>
      </w:pPr>
      <w:r>
        <w:t xml:space="preserve">Backtest is stratified n=80. Sampling error on AUC is +/- 0.06. Signals smaller than that are within noise.</w:t>
      </w:r>
    </w:p>
    <w:p>
      <w:pPr>
        <w:pStyle w:val="ListParagraph"/>
        <w:numPr>
          <w:ilvl w:val="0"/>
          <w:numId w:val="2"/>
        </w:numPr>
        <w:spacing w:after="80"/>
      </w:pPr>
      <w:r>
        <w:t xml:space="preserve">C3 set to constant 10 in backtest to avoid 80 slow OT queries — collapses the component's backtest contribution to zero; forward validation needed.</w:t>
      </w:r>
    </w:p>
    <w:p>
      <w:pPr>
        <w:pStyle w:val="ListParagraph"/>
        <w:numPr>
          <w:ilvl w:val="0"/>
          <w:numId w:val="2"/>
        </w:numPr>
        <w:spacing w:after="80"/>
      </w:pPr>
      <w:r>
        <w:t xml:space="preserve">The 2025 holdout is heavily approval-skewed (71.3 percent). Under-represents CRL base rates of ODIN training (38.9 percent).</w:t>
      </w:r>
    </w:p>
    <w:p>
      <w:pPr>
        <w:spacing w:after="120" w:line="300"/>
      </w:pPr>
      <w:r>
        <w:t xml:space="preserve"/>
      </w:r>
    </w:p>
    <w:p>
      <w:pPr>
        <w:pStyle w:val="Heading1"/>
      </w:pPr>
      <w:r>
        <w:t xml:space="preserve">Appendix D — Files</w:t>
      </w:r>
    </w:p>
    <w:p>
      <w:pPr>
        <w:pStyle w:val="ListParagraph"/>
        <w:numPr>
          <w:ilvl w:val="0"/>
          <w:numId w:val="2"/>
        </w:numPr>
        <w:spacing w:after="80"/>
      </w:pPr>
      <w:r>
        <w:t xml:space="preserve">sentinel_v1_deploy.json — deploy config with all thresholds, weights, tier matrix, and backtest results.</w:t>
      </w:r>
    </w:p>
    <w:p>
      <w:pPr>
        <w:pStyle w:val="ListParagraph"/>
        <w:numPr>
          <w:ilvl w:val="0"/>
          <w:numId w:val="2"/>
        </w:numPr>
        <w:spacing w:after="80"/>
      </w:pPr>
      <w:r>
        <w:t xml:space="preserve">sentinel_q2q4_2026_ranked.json — full ranked list of 40 finalists with component breakdowns.</w:t>
      </w:r>
    </w:p>
    <w:p>
      <w:pPr>
        <w:pStyle w:val="ListParagraph"/>
        <w:numPr>
          <w:ilvl w:val="0"/>
          <w:numId w:val="2"/>
        </w:numPr>
        <w:spacing w:after="80"/>
      </w:pPr>
      <w:r>
        <w:t xml:space="preserve">sentinel_q2q4_2026_ranked.csv — CSV version for fast eyeball / spreadsheet.</w:t>
      </w:r>
    </w:p>
    <w:p>
      <w:pPr>
        <w:pStyle w:val="ListParagraph"/>
        <w:numPr>
          <w:ilvl w:val="0"/>
          <w:numId w:val="2"/>
        </w:numPr>
        <w:spacing w:after="80"/>
      </w:pPr>
      <w:r>
        <w:t xml:space="preserve">sentinel_alt_data_cache.json — raw alt-data pulls for 364 catalysts (C2+C3+C4).</w:t>
      </w:r>
    </w:p>
    <w:p>
      <w:pPr>
        <w:pStyle w:val="ListParagraph"/>
        <w:numPr>
          <w:ilvl w:val="0"/>
          <w:numId w:val="2"/>
        </w:numPr>
        <w:spacing w:after="80"/>
      </w:pPr>
      <w:r>
        <w:t xml:space="preserve">sentinel_enhancer_cache.json — C5+C6+C7 scores for top 40 finalists.</w:t>
      </w:r>
    </w:p>
    <w:p>
      <w:pPr>
        <w:pStyle w:val="ListParagraph"/>
        <w:numPr>
          <w:ilvl w:val="0"/>
          <w:numId w:val="2"/>
        </w:numPr>
        <w:spacing w:after="80"/>
      </w:pPr>
      <w:r>
        <w:t xml:space="preserve">sentinel_backtest_2025_results.json — honest 2025 holdout backtest (n=80 stratified).</w:t>
      </w:r>
    </w:p>
    <w:p>
      <w:pPr>
        <w:pStyle w:val="ListParagraph"/>
        <w:numPr>
          <w:ilvl w:val="0"/>
          <w:numId w:val="2"/>
        </w:numPr>
        <w:spacing w:after="80"/>
      </w:pPr>
      <w:r>
        <w:t xml:space="preserve">SENTINEL_Q2Q4_2026_Investment_Memo.docx — this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SENTINEL v1.1  |  Q2-Q4 2026  |  9 Realms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5282"/>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C4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Q2-Q4 2026 Investment Memo</dc:title>
  <dc:creator>9 Realms Research</dc:creator>
  <dc:description>Alt-data overlay Q2-Q4 2026 biotech catalyst memo</dc:description>
  <cp:lastModifiedBy>Un-named</cp:lastModifiedBy>
  <cp:revision>1</cp:revision>
  <dcterms:created xsi:type="dcterms:W3CDTF">2026-04-18T22:41:17.174Z</dcterms:created>
  <dcterms:modified xsi:type="dcterms:W3CDTF">2026-04-18T22:41:17.175Z</dcterms:modified>
</cp:coreProperties>
</file>

<file path=docProps/custom.xml><?xml version="1.0" encoding="utf-8"?>
<Properties xmlns="http://schemas.openxmlformats.org/officeDocument/2006/custom-properties" xmlns:vt="http://schemas.openxmlformats.org/officeDocument/2006/docPropsVTypes"/>
</file>