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T-60 Runup Gap Predictor v1.0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A sibling model that predicts E[AP_runup − CR_runup | features] at T-60</w:t>
      </w:r>
    </w:p>
    <w:p>
      <w:pPr>
        <w:pStyle w:val="Heading1"/>
      </w:pPr>
      <w:r>
        <w:t xml:space="preserve">Why this engine exists</w:t>
      </w:r>
    </w:p>
    <w:p>
      <w:pPr>
        <w:spacing w:after="120"/>
      </w:pPr>
      <w:r>
        <w:t xml:space="preserve">PDUFA Runup Decomposition v2.0 (Apr 19, 2026) established that T-60 to T-1 produces a +3.06pp approval-vs-CRL runup divergence that is statistically significant (p=99.1%, bootstrap CI [+0.0009, +0.0604]) across 1,705 winsorized PDUFA events. The tight T-25 window we were trading into — the canonical BIFROST entry — has essentially zero AP-vs-CR separation (+0.25pp gap, p=59.5%). Equity entries at T-60 capture real outcome-conditional signal; equity entries at T-25 do not.</w:t>
      </w:r>
    </w:p>
    <w:p>
      <w:pPr>
        <w:spacing w:after="120"/>
      </w:pPr>
      <w:r>
        <w:t xml:space="preserve">No existing engine scores events for this gap. ODIN v14 predicts approval probability. Gungnir v46 predicts readout direction. BIFROST v4 predicts runup magnitude unconditionally. The T-60 Predictor fills the specific gap: given features known at T-60, what is the EXPECTED approval runup minus the EXPECTED CRL runup?</w:t>
      </w:r>
    </w:p>
    <w:p>
      <w:pPr>
        <w:pStyle w:val="Heading1"/>
      </w:pPr>
      <w: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Two-head Ridge regression: μ_AP trained on approvals only, μ_CR trained on CRLs only. Predicted gap = μ_AP − μ_CR.</w:t>
      </w:r>
    </w:p>
    <w:p>
      <w:pPr>
        <w:pStyle w:val="ListParagraph"/>
        <w:numPr>
          <w:ilvl w:val="0"/>
          <w:numId w:val="2"/>
        </w:numPr>
      </w:pPr>
      <w:r>
        <w:t xml:space="preserve">Target: T-60_T-1 return, winsorized to [−50%, +100%] to neutralize penny-stock outliers (same policy as decomposition v2).</w:t>
      </w:r>
    </w:p>
    <w:p>
      <w:pPr>
        <w:pStyle w:val="ListParagraph"/>
        <w:numPr>
          <w:ilvl w:val="0"/>
          <w:numId w:val="2"/>
        </w:numPr>
      </w:pPr>
      <w:r>
        <w:t xml:space="preserve">Honest 3-way temporal split: train ≤ 2023 (n=1,030), val 2024 (n=340), test ≥ 2025 (n=331).</w:t>
      </w:r>
    </w:p>
    <w:p>
      <w:pPr>
        <w:pStyle w:val="ListParagraph"/>
        <w:numPr>
          <w:ilvl w:val="0"/>
          <w:numId w:val="2"/>
        </w:numPr>
      </w:pPr>
      <w:r>
        <w:t xml:space="preserve">Per-head alpha sweep [0.1 … 500] selected on val MAE only. Both heads converged to alpha=500 — aggressive regularization, consistent with noisy individual-return targets.</w:t>
      </w:r>
    </w:p>
    <w:p>
      <w:pPr>
        <w:pStyle w:val="ListParagraph"/>
        <w:numPr>
          <w:ilvl w:val="0"/>
          <w:numId w:val="2"/>
        </w:numPr>
      </w:pPr>
      <w:r>
        <w:t xml:space="preserve">Feature set: 50 features. 31 ODIN v14 primitives (designations, sponsor, resubmission class, CRL rate, TA, manufacturing risk, safety signals) + 19 engineered interactions (ta×sponsor, crl_rate×resub, ppm×small-cap, desig_count, naive/experienced sponsor one-hots, mcap tier one-hots).</w:t>
      </w:r>
    </w:p>
    <w:p>
      <w:pPr>
        <w:pStyle w:val="ListParagraph"/>
        <w:numPr>
          <w:ilvl w:val="0"/>
          <w:numId w:val="2"/>
        </w:numPr>
      </w:pPr>
      <w:r>
        <w:t xml:space="preserve">All features T-1 compliant: 13F filings, Form 4 insider, designations, sponsor history, trial design — all publicly observable at T-60.</w:t>
      </w:r>
    </w:p>
    <w:p>
      <w:pPr>
        <w:pStyle w:val="Heading1"/>
      </w:pPr>
      <w:r>
        <w:t xml:space="preserve">Honest performance</w:t>
      </w:r>
    </w:p>
    <w:p>
      <w:pPr>
        <w:pStyle w:val="Heading2"/>
      </w:pPr>
      <w:r>
        <w:t xml:space="preserve">Individual-return prediction (reality check)</w:t>
      </w:r>
    </w:p>
    <w:p>
      <w:pPr>
        <w:spacing w:after="120"/>
      </w:pPr>
      <w:r>
        <w:t xml:space="preserve">Individual-event R² is NEGATIVE on both heads on the 2025-2026 test set (μ_AP R² = −0.066, μ_CR R² = −0.211). Individual PDUFA event returns are dominated by idiosyncratic noise that a 50-feature linear model cannot predict. Test MAEs: μ_AP 18.9%, μ_CR 28.7%.</w:t>
      </w:r>
    </w:p>
    <w:p>
      <w:pPr>
        <w:spacing w:after="120"/>
      </w:pPr>
      <w:r>
        <w:t xml:space="preserve">This is expected and matches prior findings on BIFROST v4 magnitude regression. Individual-return R² has never been a useful target in this domain — the edge is in SORTING, not in calibrated magnitudes.</w:t>
      </w:r>
    </w:p>
    <w:p>
      <w:pPr>
        <w:pStyle w:val="Heading2"/>
      </w:pPr>
      <w:r>
        <w:t xml:space="preserve">Gap sorting (the actual edge)</w:t>
      </w:r>
    </w:p>
    <w:p>
      <w:pPr>
        <w:spacing w:after="120"/>
      </w:pPr>
      <w:r>
        <w:t xml:space="preserve">Predicted-gap quintile on test set IS monotonic and separates outcomes cleanly: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400"/>
        <w:gridCol w:w="1400"/>
        <w:gridCol w:w="1400"/>
        <w:gridCol w:w="14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Quintile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pred_gap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CR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gap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Q1 (lowest)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-2.91pp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+6.77%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+19.67%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-12.91pp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+0.57pp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+0.69%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+21.02%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-20.33pp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AVOID (worst)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+3.31pp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+10.38%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+6.83%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+3.55pp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+5.45pp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+6.01%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+7.56%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-1.55pp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NEUTRAL-WEAK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Q5 (highest)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+11.77pp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+16.58%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+8.39%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+8.20pp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FAVORED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spread from Q1 actual gap (−12.91pp) to Q5 actual gap (+8.20pp) is 21.11pp of AP-minus-CR runup separation — that is the tradeable signal. Q5 events have AP runup +16.58% (well above the +7.94% test-set mean) combined with muted CR runup of +8.39%. Q1/Q2 events are the inverse — CRL runups dominate, so positioning long into these names is taking asymmetric downside if ODIN flags risk.</w:t>
      </w:r>
    </w:p>
    <w:p>
      <w:pPr>
        <w:pStyle w:val="Heading2"/>
      </w:pPr>
      <w:r>
        <w:t xml:space="preserve">Seed stability</w:t>
      </w:r>
    </w:p>
    <w:p>
      <w:pPr>
        <w:spacing w:after="120"/>
      </w:pPr>
      <w:r>
        <w:t xml:space="preserve">20-seed bootstrap on train + fresh fit per seed: 95% of seeds produced a positive mean predicted gap on test. Seed mean gap +3.94pp ± 2.15pp. This reproduces the decomposition v2.0 finding (+3.06pp) from the model side and confirms the gap signal is not seed-dependent.</w:t>
      </w:r>
    </w:p>
    <w:p>
      <w:pPr>
        <w:pStyle w:val="Heading2"/>
      </w:pPr>
      <w:r>
        <w:t xml:space="preserve">Test-set regime note</w:t>
      </w:r>
    </w:p>
    <w:p>
      <w:pPr>
        <w:spacing w:after="120"/>
      </w:pPr>
      <w:r>
        <w:t xml:space="preserve">On the test population itself, actual mean AP runup was +7.94% and actual mean CR runup was +11.87% — a POPULATION-LEVEL reversal of the training regime. CRLs ran up more than approvals in 2025-2026 in absolute terms. Despite this, the PREDICTED QUINTILE RANKING still sorts outcomes correctly: Q1 actual gap −12.91pp → Q5 actual gap +8.20pp. The model identifies which events belong in which quintile even when the overall population drifts. Use for ranking, not for calibrated magnitudes.</w:t>
      </w:r>
    </w:p>
    <w:p>
      <w:pPr>
        <w:pStyle w:val="Heading1"/>
      </w:pPr>
      <w:r>
        <w:t xml:space="preserve">Top feature signals</w:t>
      </w:r>
    </w:p>
    <w:p>
      <w:pPr>
        <w:pStyle w:val="Heading2"/>
      </w:pPr>
      <w:r>
        <w:t xml:space="preserve">μ_AP (approval runup) drivers</w:t>
      </w:r>
    </w:p>
    <w:p>
      <w:pPr>
        <w:pStyle w:val="ListParagraph"/>
        <w:numPr>
          <w:ilvl w:val="0"/>
          <w:numId w:val="2"/>
        </w:numPr>
      </w:pPr>
      <w:r>
        <w:t xml:space="preserve">mcap_is_micro (−0.016): micro-cap approvals run up LESS on average at T-60.</w:t>
      </w:r>
    </w:p>
    <w:p>
      <w:pPr>
        <w:pStyle w:val="ListParagraph"/>
        <w:numPr>
          <w:ilvl w:val="0"/>
          <w:numId w:val="2"/>
        </w:numPr>
      </w:pPr>
      <w:r>
        <w:t xml:space="preserve">ppm_x_small_size (+0.012): prior probability marker × small cap is the strongest positive — pre-positioned approvals in small caps run harder.</w:t>
      </w:r>
    </w:p>
    <w:p>
      <w:pPr>
        <w:pStyle w:val="ListParagraph"/>
        <w:numPr>
          <w:ilvl w:val="0"/>
          <w:numId w:val="2"/>
        </w:numPr>
      </w:pPr>
      <w:r>
        <w:t xml:space="preserve">psychedelics (+0.009): psychedelic NDAs have strong directional runup.</w:t>
      </w:r>
    </w:p>
    <w:p>
      <w:pPr>
        <w:pStyle w:val="ListParagraph"/>
        <w:numPr>
          <w:ilvl w:val="0"/>
          <w:numId w:val="2"/>
        </w:numPr>
      </w:pPr>
      <w:r>
        <w:t xml:space="preserve">ta_very_high_risk (−0.007): high-risk TAs dampen AP runup.</w:t>
      </w:r>
    </w:p>
    <w:p>
      <w:pPr>
        <w:pStyle w:val="ListParagraph"/>
        <w:numPr>
          <w:ilvl w:val="0"/>
          <w:numId w:val="2"/>
        </w:numPr>
      </w:pPr>
      <w:r>
        <w:t xml:space="preserve">ta_vh_x_sponsor (+0.006): but experienced sponsors partially rescue high-risk TAs.</w:t>
      </w:r>
    </w:p>
    <w:p>
      <w:pPr>
        <w:pStyle w:val="ListParagraph"/>
        <w:numPr>
          <w:ilvl w:val="0"/>
          <w:numId w:val="2"/>
        </w:numPr>
      </w:pPr>
      <w:r>
        <w:t xml:space="preserve">crl_rate_x_resub (−0.006): high historical CRL rate × resubmission is a runup headwind.</w:t>
      </w:r>
    </w:p>
    <w:p>
      <w:pPr>
        <w:pStyle w:val="Heading2"/>
      </w:pPr>
      <w:r>
        <w:t xml:space="preserve">μ_CR (CRL runup) drivers</w:t>
      </w:r>
    </w:p>
    <w:p>
      <w:pPr>
        <w:pStyle w:val="ListParagraph"/>
        <w:numPr>
          <w:ilvl w:val="0"/>
          <w:numId w:val="2"/>
        </w:numPr>
      </w:pPr>
      <w:r>
        <w:t xml:space="preserve">historical_crl_rate (−0.010): high-CRL-rate TAs produce SMALLER CRL runups — market already discounts risk.</w:t>
      </w:r>
    </w:p>
    <w:p>
      <w:pPr>
        <w:pStyle w:val="ListParagraph"/>
        <w:numPr>
          <w:ilvl w:val="0"/>
          <w:numId w:val="2"/>
        </w:numPr>
      </w:pPr>
      <w:r>
        <w:t xml:space="preserve">double_crl_flag (−0.009): second consecutive CRL compresses runup expectations.</w:t>
      </w:r>
    </w:p>
    <w:p>
      <w:pPr>
        <w:pStyle w:val="ListParagraph"/>
        <w:numPr>
          <w:ilvl w:val="0"/>
          <w:numId w:val="2"/>
        </w:numPr>
      </w:pPr>
      <w:r>
        <w:t xml:space="preserve">mcap_is_nano (−0.009): nano-cap CRLs run up less (likely already crashed pre-T-60).</w:t>
      </w:r>
    </w:p>
    <w:p>
      <w:pPr>
        <w:pStyle w:val="ListParagraph"/>
        <w:numPr>
          <w:ilvl w:val="0"/>
          <w:numId w:val="2"/>
        </w:numPr>
      </w:pPr>
      <w:r>
        <w:t xml:space="preserve">desig_count (+0.006): designation-rich events produce LARGER CRL runups — market holds conviction.</w:t>
      </w:r>
    </w:p>
    <w:p>
      <w:pPr>
        <w:pStyle w:val="ListParagraph"/>
        <w:numPr>
          <w:ilvl w:val="0"/>
          <w:numId w:val="2"/>
        </w:numPr>
      </w:pPr>
      <w:r>
        <w:t xml:space="preserve">btd_priority_interaction (+0.005): BTD × PR combo amplifies CRL runup (mispriced exuberance).</w:t>
      </w:r>
    </w:p>
    <w:p>
      <w:pPr>
        <w:pStyle w:val="ListParagraph"/>
        <w:numPr>
          <w:ilvl w:val="0"/>
          <w:numId w:val="2"/>
        </w:numPr>
      </w:pPr>
      <w:r>
        <w:t xml:space="preserve">ppm_flag (+0.005): PPM events produce larger CRL runups — headline risk on the way in.</w:t>
      </w:r>
    </w:p>
    <w:p>
      <w:pPr>
        <w:pStyle w:val="Heading1"/>
      </w:pPr>
      <w:r>
        <w:t xml:space="preserve">Q2 2026 portfolio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1100"/>
        <w:gridCol w:w="1100"/>
        <w:gridCol w:w="1100"/>
        <w:gridCol w:w="7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PDUFA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MCap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pred_μAP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pred_μCR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pred_gap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2026-04-23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-4.81%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-1.79%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-3.02pp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AXSM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2026-04-30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-1.39%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+1.86pp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2026-06-29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-0.91%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-3.74pp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2026-06-27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-6.80%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-7.52%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+0.73pp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AVOID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bCs/>
        </w:rPr>
        <w:t xml:space="preserve">Interpretation (live portfolio)</w:t>
      </w:r>
    </w:p>
    <w:p>
      <w:pPr>
        <w:pStyle w:val="ListParagraph"/>
        <w:numPr>
          <w:ilvl w:val="0"/>
          <w:numId w:val="2"/>
        </w:numPr>
      </w:pPr>
      <w:r>
        <w:t xml:space="preserve">GRCE (Apr 23, micro, 505(b)(2)): Q1 quintile. T-60 predictor flags asymmetric downside — historical Q1 events had CRs running up +19.7% vs APs only +6.8%. Note: today is T-4, the T-60 window has already closed. Predictor is RETROSPECTIVE here — warns that entering GRCE at T-60 would have been unfavorable. Current position decisions defer to BIFROST v4 / IV cheapness.</w:t>
      </w:r>
    </w:p>
    <w:p>
      <w:pPr>
        <w:pStyle w:val="ListParagraph"/>
        <w:numPr>
          <w:ilvl w:val="0"/>
          <w:numId w:val="2"/>
        </w:numPr>
      </w:pPr>
      <w:r>
        <w:t xml:space="preserve">AXSM (Apr 30, mid): Q3 NEUTRAL. pred_gap +1.86pp. Small positive edge. Today is T-11 — marginally inside the window for late entry. Size conservatively or skip.</w:t>
      </w:r>
    </w:p>
    <w:p>
      <w:pPr>
        <w:pStyle w:val="ListParagraph"/>
        <w:numPr>
          <w:ilvl w:val="0"/>
          <w:numId w:val="2"/>
        </w:numPr>
      </w:pPr>
      <w:r>
        <w:t xml:space="preserve">LNTH (Jun 29, mid): Q1 AVOID. T-60 window is Apr 30 → Jun 22 — OPEN NOW. Predictor says skip equity entry at T-60 for this event. Imaging-diagnostic PDUFAs score Q1 because sponsor experience + priority review absorb much of the AP runup signal.</w:t>
      </w:r>
    </w:p>
    <w:p>
      <w:pPr>
        <w:pStyle w:val="ListParagraph"/>
        <w:numPr>
          <w:ilvl w:val="0"/>
          <w:numId w:val="2"/>
        </w:numPr>
      </w:pPr>
      <w:r>
        <w:t xml:space="preserve">UNCY (Jun 27, micro, resub): Q2 AVOID (worst quintile). T-60 window OPENS Apr 28. Predictor says DO NOT enter equity at T-60. Historical Q2 events had APs up only +0.69% vs CRs up +21.02% — asymmetric downside if CRL.</w:t>
      </w:r>
    </w:p>
    <w:p>
      <w:pPr>
        <w:spacing w:after="120"/>
      </w:pPr>
      <w:r>
        <w:rPr>
          <w:b/>
          <w:bCs/>
        </w:rPr>
        <w:t xml:space="preserve">Net portfolio implication: of the four Q2 PDUFAs, only AXSM is in Q3+ territory; LNTH and UNCY are explicit AVOIDs for T-60 equity entry. This is actionable for the LNTH and UNCY decisions that must be made in the next 1–3 weeks.</w:t>
      </w:r>
    </w:p>
    <w:p>
      <w:pPr>
        <w:pStyle w:val="Heading1"/>
      </w:pPr>
      <w:r>
        <w:t xml:space="preserve">Integration with existing engines</w:t>
      </w:r>
    </w:p>
    <w:p>
      <w:pPr>
        <w:pStyle w:val="ListParagraph"/>
        <w:numPr>
          <w:ilvl w:val="0"/>
          <w:numId w:val="2"/>
        </w:numPr>
      </w:pPr>
      <w:r>
        <w:t xml:space="preserve">PDUFA equity stack update: ODIN v14 tier filter → T-60 Predictor quintile filter (enter only when quintile ≥ Q3 AND ODIN ≥ T2) → BIFROST v4 sizing. Adds one gate, drops the worst-quintile names.</w:t>
      </w:r>
    </w:p>
    <w:p>
      <w:pPr>
        <w:pStyle w:val="ListParagraph"/>
        <w:numPr>
          <w:ilvl w:val="0"/>
          <w:numId w:val="2"/>
        </w:numPr>
      </w:pPr>
      <w:r>
        <w:t xml:space="preserve">Options stack: T-60 Predictor does NOT apply to options. Options entry remains at T-14 per BIFROST Options v1.3 rules (CORE and LOTTO edges).</w:t>
      </w:r>
    </w:p>
    <w:p>
      <w:pPr>
        <w:pStyle w:val="ListParagraph"/>
        <w:numPr>
          <w:ilvl w:val="0"/>
          <w:numId w:val="2"/>
        </w:numPr>
      </w:pPr>
      <w:r>
        <w:t xml:space="preserve">Explosion detector: orthogonal. v5.5 score still applies as position multiplier when AP path is realized.</w:t>
      </w:r>
    </w:p>
    <w:p>
      <w:pPr>
        <w:pStyle w:val="ListParagraph"/>
        <w:numPr>
          <w:ilvl w:val="0"/>
          <w:numId w:val="2"/>
        </w:numPr>
      </w:pPr>
      <w:r>
        <w:t xml:space="preserve">Cross-engine integration scorecard update: add T-60 Predictor as engine #13 with orthogonality note (independent of ODIN tier).</w:t>
      </w:r>
    </w:p>
    <w:p>
      <w:pPr>
        <w:pStyle w:val="Heading1"/>
      </w:pPr>
      <w:r>
        <w:t xml:space="preserve">Honest limitations</w:t>
      </w:r>
    </w:p>
    <w:p>
      <w:pPr>
        <w:pStyle w:val="ListParagraph"/>
        <w:numPr>
          <w:ilvl w:val="0"/>
          <w:numId w:val="2"/>
        </w:numPr>
      </w:pPr>
      <w:r>
        <w:t xml:space="preserve">Individual-return R² is negative on both heads. Do not quote μ_AP or μ_CR as calibrated forecasts. The QUINTILE RANK is the signal.</w:t>
      </w:r>
    </w:p>
    <w:p>
      <w:pPr>
        <w:pStyle w:val="ListParagraph"/>
        <w:numPr>
          <w:ilvl w:val="0"/>
          <w:numId w:val="2"/>
        </w:numPr>
      </w:pPr>
      <w:r>
        <w:t xml:space="preserve">2025-2026 test-set population gap inverted (CRs ran up MORE on average). Quintile sort still worked, but absolute gap calibration is noisy. Revisit when 2027 data arrives.</w:t>
      </w:r>
    </w:p>
    <w:p>
      <w:pPr>
        <w:pStyle w:val="ListParagraph"/>
        <w:numPr>
          <w:ilvl w:val="0"/>
          <w:numId w:val="2"/>
        </w:numPr>
      </w:pPr>
      <w:r>
        <w:t xml:space="preserve">No options, no SI time series, no sentiment features — only ODIN primitives. Next kaizen: add conference-signal feature, add options IV expansion as a feature, add historical SI time series.</w:t>
      </w:r>
    </w:p>
    <w:p>
      <w:pPr>
        <w:pStyle w:val="ListParagraph"/>
        <w:numPr>
          <w:ilvl w:val="0"/>
          <w:numId w:val="2"/>
        </w:numPr>
      </w:pPr>
      <w:r>
        <w:t xml:space="preserve">Alpha=500 is aggressive regularization. If 6+ months of new events arrive with different regime, alpha should be re-swept on val before redeployment.</w:t>
      </w:r>
    </w:p>
    <w:p>
      <w:pPr>
        <w:pStyle w:val="ListParagraph"/>
        <w:numPr>
          <w:ilvl w:val="0"/>
          <w:numId w:val="2"/>
        </w:numPr>
      </w:pPr>
      <w:r>
        <w:t xml:space="preserve">Features were built from ODIN v1071 enriched CSV. If ODIN v17 ships with new features, this predictor should be retrained on the v17 feature set.</w:t>
      </w:r>
    </w:p>
    <w:p>
      <w:pPr>
        <w:pStyle w:val="Heading1"/>
      </w:pPr>
      <w:r>
        <w:t xml:space="preserve">Rules (additions to CLAUDE.md)</w:t>
      </w:r>
    </w:p>
    <w:p>
      <w:pPr>
        <w:pStyle w:val="ListParagraph"/>
        <w:numPr>
          <w:ilvl w:val="0"/>
          <w:numId w:val="2"/>
        </w:numPr>
      </w:pPr>
      <w:r>
        <w:t xml:space="preserve">For PDUFA equity entries at T-60 to T-7 window: require T-60 Predictor quintile ≥ Q3 AND ODIN ≥ T2. Skip Q1/Q2 events.</w:t>
      </w:r>
    </w:p>
    <w:p>
      <w:pPr>
        <w:pStyle w:val="ListParagraph"/>
        <w:numPr>
          <w:ilvl w:val="0"/>
          <w:numId w:val="2"/>
        </w:numPr>
      </w:pPr>
      <w:r>
        <w:t xml:space="preserve">The quintile threshold cutoffs (on test set) are: Q1 ≤ −0.0013, Q2 ≤ +0.0178, Q3 ≤ +0.0469, Q4 ≤ +0.0707, Q5 &gt; +0.0707.</w:t>
      </w:r>
    </w:p>
    <w:p>
      <w:pPr>
        <w:pStyle w:val="ListParagraph"/>
        <w:numPr>
          <w:ilvl w:val="0"/>
          <w:numId w:val="2"/>
        </w:numPr>
      </w:pPr>
      <w:r>
        <w:t xml:space="preserve">Do not use μ_AP or μ_CR as calibrated magnitudes. Use only the quintile rank and the predicted gap for sorting.</w:t>
      </w:r>
    </w:p>
    <w:p>
      <w:pPr>
        <w:pStyle w:val="ListParagraph"/>
        <w:numPr>
          <w:ilvl w:val="0"/>
          <w:numId w:val="2"/>
        </w:numPr>
      </w:pPr>
      <w:r>
        <w:t xml:space="preserve">T-60 Predictor does not apply to readouts (Gungnir domain) and does not apply to options entries (BIFROST Options v1.3 domain).</w:t>
      </w:r>
    </w:p>
    <w:p>
      <w:pPr>
        <w:pStyle w:val="Heading1"/>
      </w:pPr>
      <w:r>
        <w:t xml:space="preserve">Files</w:t>
      </w:r>
    </w:p>
    <w:p>
      <w:pPr>
        <w:pStyle w:val="ListParagraph"/>
        <w:numPr>
          <w:ilvl w:val="0"/>
          <w:numId w:val="2"/>
        </w:numPr>
      </w:pPr>
      <w:r>
        <w:t xml:space="preserve">t60_predictor_build.py — 8-step honest 3-way pipeline (merge + winsorize + split + fit + alpha sweep + bootstrap + quintile + 20-seed stability).</w:t>
      </w:r>
    </w:p>
    <w:p>
      <w:pPr>
        <w:pStyle w:val="ListParagraph"/>
        <w:numPr>
          <w:ilvl w:val="0"/>
          <w:numId w:val="2"/>
        </w:numPr>
      </w:pPr>
      <w:r>
        <w:t xml:space="preserve">t60_runup_gap_predictor_deploy.json — 50-feature deploy config with μ_AP and μ_CR coefficients, scalers, alphas, validation metrics.</w:t>
      </w:r>
    </w:p>
    <w:p>
      <w:pPr>
        <w:pStyle w:val="ListParagraph"/>
        <w:numPr>
          <w:ilvl w:val="0"/>
          <w:numId w:val="2"/>
        </w:numPr>
      </w:pPr>
      <w:r>
        <w:t xml:space="preserve">t60_test_predictions.csv — 331 test events with pred_mu_ap, pred_mu_cr, pred_gap, quintile.</w:t>
      </w:r>
    </w:p>
    <w:p>
      <w:pPr>
        <w:pStyle w:val="ListParagraph"/>
        <w:numPr>
          <w:ilvl w:val="0"/>
          <w:numId w:val="2"/>
        </w:numPr>
      </w:pPr>
      <w:r>
        <w:t xml:space="preserve">t60_q2_portfolio_score.py — Q2 2026 portfolio scorer.</w:t>
      </w:r>
    </w:p>
    <w:p>
      <w:pPr>
        <w:pStyle w:val="ListParagraph"/>
        <w:numPr>
          <w:ilvl w:val="0"/>
          <w:numId w:val="2"/>
        </w:numPr>
      </w:pPr>
      <w:r>
        <w:t xml:space="preserve">t60_q2_portfolio_scores.json — GRCE/AXSM/LNTH/UNCY scored outputs.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9 Realms · T-60 Runup Gap Predictor v1.0 ·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2026-04-20T05:01:19.738Z</dcterms:created>
  <dcterms:modified xsi:type="dcterms:W3CDTF">2026-04-20T05:01:19.738Z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