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方正小标宋简体" w:hAnsi="方正小标宋简体" w:eastAsia="方正小标宋简体"/>
          <w:b w:val="0"/>
          <w:sz w:val="44"/>
        </w:rPr>
        <w:t>中国OCS发展路线建议书</w:t>
      </w:r>
    </w:p>
    <w:p/>
    <w:p>
      <w:pPr>
        <w:jc w:val="center"/>
      </w:pPr>
      <w:r>
        <w:rPr>
          <w:rFonts w:ascii="仿宋_GB2312" w:hAnsi="仿宋_GB2312" w:eastAsia="仿宋_GB2312"/>
          <w:b w:val="0"/>
          <w:sz w:val="32"/>
        </w:rPr>
        <w:t>编制单位：</w:t>
      </w:r>
      <w:r>
        <w:rPr>
          <w:rFonts w:ascii="仿宋_GB2312" w:hAnsi="仿宋_GB2312" w:eastAsia="仿宋_GB2312"/>
          <w:b w:val="0"/>
          <w:sz w:val="32"/>
        </w:rPr>
        <w:t>星宿老仙技术团队</w:t>
      </w:r>
    </w:p>
    <w:p>
      <w:pPr>
        <w:jc w:val="center"/>
      </w:pPr>
      <w:r>
        <w:rPr>
          <w:rFonts w:ascii="仿宋_GB2312" w:hAnsi="仿宋_GB2312" w:eastAsia="仿宋_GB2312"/>
          <w:b w:val="0"/>
          <w:sz w:val="32"/>
        </w:rPr>
        <w:t>编制日期：</w:t>
      </w:r>
      <w:r>
        <w:rPr>
          <w:rFonts w:ascii="仿宋_GB2312" w:hAnsi="仿宋_GB2312" w:eastAsia="仿宋_GB2312"/>
          <w:b w:val="0"/>
          <w:sz w:val="32"/>
        </w:rPr>
        <w:t>2026年4月21日</w:t>
      </w:r>
    </w:p>
    <w:p>
      <w:pPr>
        <w:jc w:val="center"/>
      </w:pPr>
      <w:r>
        <w:rPr>
          <w:rFonts w:ascii="仿宋_GB2312" w:hAnsi="仿宋_GB2312" w:eastAsia="仿宋_GB2312"/>
          <w:b w:val="0"/>
          <w:sz w:val="32"/>
        </w:rPr>
        <w:t>版    本：</w:t>
      </w:r>
      <w:r>
        <w:rPr>
          <w:rFonts w:ascii="仿宋_GB2312" w:hAnsi="仿宋_GB2312" w:eastAsia="仿宋_GB2312"/>
          <w:b w:val="0"/>
          <w:sz w:val="32"/>
        </w:rPr>
        <w:t>V2.0（人工润色版）</w:t>
      </w:r>
    </w:p>
    <w:p>
      <w:pPr>
        <w:jc w:val="center"/>
      </w:pPr>
      <w:r>
        <w:rPr>
          <w:rFonts w:ascii="仿宋_GB2312" w:hAnsi="仿宋_GB2312" w:eastAsia="仿宋_GB2312"/>
          <w:b w:val="0"/>
          <w:sz w:val="32"/>
        </w:rPr>
        <w:t>密    级：</w:t>
      </w:r>
      <w:r>
        <w:rPr>
          <w:rFonts w:ascii="仿宋_GB2312" w:hAnsi="仿宋_GB2312" w:eastAsia="仿宋_GB2312"/>
          <w:b w:val="0"/>
          <w:sz w:val="32"/>
        </w:rPr>
        <w:t>内部参考</w:t>
      </w:r>
    </w:p>
    <w:p/>
    <w:p/>
    <w:p>
      <w:pPr>
        <w:spacing w:after="240"/>
        <w:jc w:val="center"/>
      </w:pPr>
      <w:r>
        <w:rPr>
          <w:rFonts w:ascii="黑体" w:hAnsi="黑体" w:eastAsia="黑体"/>
          <w:b/>
          <w:sz w:val="32"/>
        </w:rPr>
        <w:t>摘  要</w:t>
      </w:r>
    </w:p>
    <w:p>
      <w:pPr>
        <w:spacing w:line="360" w:lineRule="auto" w:after="240"/>
        <w:ind w:firstLine="420"/>
      </w:pPr>
      <w:r>
        <w:rPr>
          <w:rFonts w:ascii="仿宋_GB2312" w:hAnsi="仿宋_GB2312" w:eastAsia="仿宋_GB2312"/>
          <w:b w:val="0"/>
          <w:sz w:val="32"/>
        </w:rPr>
        <w:t>本文针对中国光电路交换（OCS）技术发展现状与趋势，提出2026-2030年发展路线建议。基于对全球OCS产业、中国产业链能力、政策环境及"东数西算"工程需求的分析，建议采用"标准引领+产业协同+场景驱动"策略，分三步实现从跟跑到并跑、部分领域领跑的跨越。</w:t>
        <w:br/>
        <w:br/>
        <w:t>建议书核心观点：OCS技术已从产业探索上升为国家政策导向。2026年4月2日，工信部明确发文支持全光交换技术应用部署。当前是技术路线定型关键期，2026-2028年窗口期不容错过。</w:t>
        <w:br/>
        <w:br/>
        <w:t>发展路线：第一步（2026-2027）重点突破，实现32×64端口芯片量产；第二步（2028-2029）规模商用，突破64×64/128×128高端口芯片；第三步（2030+）生态引领，实现256×256+超大端口及OCS+CPO全光互联架构普及。</w:t>
      </w:r>
    </w:p>
    <w:p/>
    <w:p>
      <w:pPr>
        <w:spacing w:after="240"/>
      </w:pPr>
      <w:r>
        <w:rPr>
          <w:rFonts w:ascii="黑体" w:hAnsi="黑体" w:eastAsia="黑体"/>
          <w:b/>
          <w:sz w:val="32"/>
        </w:rPr>
        <w:t>一、形势分析：为什么中国必须发展OCS</w:t>
      </w:r>
    </w:p>
    <w:p>
      <w:pPr>
        <w:spacing w:after="120"/>
      </w:pPr>
      <w:r>
        <w:rPr>
          <w:rFonts w:ascii="楷体_GB2312" w:hAnsi="楷体_GB2312" w:eastAsia="楷体_GB2312"/>
          <w:b/>
          <w:sz w:val="32"/>
        </w:rPr>
        <w:t>（一）电交换的瓶颈</w:t>
      </w:r>
    </w:p>
    <w:p>
      <w:pPr>
        <w:spacing w:line="360" w:lineRule="auto" w:after="240"/>
        <w:ind w:firstLine="420"/>
      </w:pPr>
      <w:r>
        <w:rPr>
          <w:rFonts w:ascii="仿宋_GB2312" w:hAnsi="仿宋_GB2312" w:eastAsia="仿宋_GB2312"/>
          <w:b w:val="0"/>
          <w:sz w:val="32"/>
        </w:rPr>
        <w:t>AI算力需求增长过快。模型参数每年翻10倍，GPU集群从十万卡向百万卡迈进。但电交换面临三个硬约束：</w:t>
        <w:br/>
        <w:br/>
        <w:t>一是功耗问题。单台51.2T电交换机功耗超3000W，数据中心散热压力巨大。</w:t>
        <w:br/>
        <w:br/>
        <w:t>二是时延问题。电交换时延数十微秒，对AI训练场景而言太慢。</w:t>
        <w:br/>
        <w:br/>
        <w:t>三是距离限制。机柜间超过1.5米信号即衰减，制约集群扩展。</w:t>
        <w:br/>
        <w:br/>
        <w:t>OCS可将功耗降低40%-70%，时延降至微秒甚至纳秒级，且不挑协议。</w:t>
      </w:r>
    </w:p>
    <w:p>
      <w:pPr>
        <w:spacing w:after="120"/>
      </w:pPr>
      <w:r>
        <w:rPr>
          <w:rFonts w:ascii="楷体_GB2312" w:hAnsi="楷体_GB2312" w:eastAsia="楷体_GB2312"/>
          <w:b/>
          <w:sz w:val="32"/>
        </w:rPr>
        <w:t>（二）政策信号明确</w:t>
      </w:r>
    </w:p>
    <w:p>
      <w:pPr>
        <w:spacing w:line="360" w:lineRule="auto" w:after="240"/>
        <w:ind w:firstLine="420"/>
      </w:pPr>
      <w:r>
        <w:rPr>
          <w:rFonts w:ascii="仿宋_GB2312" w:hAnsi="仿宋_GB2312" w:eastAsia="仿宋_GB2312"/>
          <w:b w:val="0"/>
          <w:sz w:val="32"/>
        </w:rPr>
        <w:t>2026年4月2日，工信部办公厅发布《关于开展普惠算力赋能中小企业发展专项行动的通知》，明确提出"推动全光交换等技术应用部署，降低算力应用终端到服务器的网络时延"。</w:t>
        <w:br/>
        <w:br/>
        <w:t>这是国家层面首次将OCS写入政策文件，表明技术路线已获认可。</w:t>
      </w:r>
    </w:p>
    <w:p>
      <w:pPr>
        <w:spacing w:after="120"/>
      </w:pPr>
      <w:r>
        <w:rPr>
          <w:rFonts w:ascii="楷体_GB2312" w:hAnsi="楷体_GB2312" w:eastAsia="楷体_GB2312"/>
          <w:b/>
          <w:sz w:val="32"/>
        </w:rPr>
        <w:t>（三）窗口期有限</w:t>
      </w:r>
    </w:p>
    <w:p>
      <w:pPr>
        <w:spacing w:line="360" w:lineRule="auto" w:after="240"/>
        <w:ind w:firstLine="420"/>
      </w:pPr>
      <w:r>
        <w:rPr>
          <w:rFonts w:ascii="仿宋_GB2312" w:hAnsi="仿宋_GB2312" w:eastAsia="仿宋_GB2312"/>
          <w:b w:val="0"/>
          <w:sz w:val="32"/>
        </w:rPr>
        <w:t>谷歌从TPU v4开始部署OCS，已积累8年经验。中国现在起步，差距存在但尚可追赶。</w:t>
        <w:br/>
        <w:br/>
        <w:t>关键在2026-2028年。此期间技术路线将定型，市场格局将明朗。错过这一窗口，后续追赶成本将大幅上升。</w:t>
      </w:r>
    </w:p>
    <w:p/>
    <w:p>
      <w:pPr>
        <w:spacing w:after="240"/>
      </w:pPr>
      <w:r>
        <w:rPr>
          <w:rFonts w:ascii="黑体" w:hAnsi="黑体" w:eastAsia="黑体"/>
          <w:b/>
          <w:sz w:val="32"/>
        </w:rPr>
        <w:t>二、中国OCS产业现状</w:t>
      </w:r>
    </w:p>
    <w:p>
      <w:pPr>
        <w:spacing w:after="120"/>
      </w:pPr>
      <w:r>
        <w:rPr>
          <w:rFonts w:ascii="楷体_GB2312" w:hAnsi="楷体_GB2312" w:eastAsia="楷体_GB2312"/>
          <w:b/>
          <w:sz w:val="32"/>
        </w:rPr>
        <w:t>（一）产业链完整</w:t>
      </w:r>
    </w:p>
    <w:p>
      <w:pPr>
        <w:spacing w:line="360" w:lineRule="auto" w:after="240"/>
        <w:ind w:firstLine="420"/>
      </w:pPr>
      <w:r>
        <w:rPr>
          <w:rFonts w:ascii="仿宋_GB2312" w:hAnsi="仿宋_GB2312" w:eastAsia="仿宋_GB2312"/>
          <w:b w:val="0"/>
          <w:sz w:val="32"/>
        </w:rPr>
        <w:t>中国是全球除美国外唯一具备完整OCS产业链的国家。</w:t>
        <w:br/>
        <w:br/>
        <w:t>上游：上海微电子（90nm光刻）、中芯国际（8英寸硅光）、赛微电子（MEMS代工）。</w:t>
        <w:br/>
        <w:br/>
        <w:t>中游：光迅科技（192×192量产，国内唯一）、德科立（128×128样机）、华工正源（64×64样机）、曦智科技（128卡超节点商用）。</w:t>
        <w:br/>
        <w:br/>
        <w:t>下游：阿里云、腾讯云、字节跳动、华为及三大运营商。</w:t>
      </w:r>
    </w:p>
    <w:p>
      <w:pPr>
        <w:spacing w:after="120"/>
      </w:pPr>
      <w:r>
        <w:rPr>
          <w:rFonts w:ascii="楷体_GB2312" w:hAnsi="楷体_GB2312" w:eastAsia="楷体_GB2312"/>
          <w:b/>
          <w:sz w:val="32"/>
        </w:rPr>
        <w:t>（二）优势与短板</w:t>
      </w:r>
    </w:p>
    <w:p>
      <w:pPr>
        <w:spacing w:line="360" w:lineRule="auto" w:after="240"/>
        <w:ind w:firstLine="420"/>
      </w:pPr>
      <w:r>
        <w:rPr>
          <w:rFonts w:ascii="仿宋_GB2312" w:hAnsi="仿宋_GB2312" w:eastAsia="仿宋_GB2312"/>
          <w:b w:val="0"/>
          <w:sz w:val="32"/>
        </w:rPr>
        <w:t>优势：全产业链覆盖，成本比海外低30%-40%，拥有全球最大AI算力市场。</w:t>
        <w:br/>
        <w:br/>
        <w:t>短板：128×128以上大端口芯片仍在研发；DUV光刻机、硅光EDA依赖进口；标准话语权较弱。</w:t>
      </w:r>
    </w:p>
    <w:p/>
    <w:p>
      <w:pPr>
        <w:spacing w:after="240"/>
      </w:pPr>
      <w:r>
        <w:rPr>
          <w:rFonts w:ascii="黑体" w:hAnsi="黑体" w:eastAsia="黑体"/>
          <w:b/>
          <w:sz w:val="32"/>
        </w:rPr>
        <w:t>三、发展路线建议</w:t>
      </w:r>
    </w:p>
    <w:p>
      <w:pPr>
        <w:spacing w:after="120"/>
      </w:pPr>
      <w:r>
        <w:rPr>
          <w:rFonts w:ascii="楷体_GB2312" w:hAnsi="楷体_GB2312" w:eastAsia="楷体_GB2312"/>
          <w:b/>
          <w:sz w:val="32"/>
        </w:rPr>
        <w:t>（一）三步走战略</w:t>
      </w:r>
    </w:p>
    <w:p>
      <w:pPr>
        <w:spacing w:line="360" w:lineRule="auto" w:after="240"/>
        <w:ind w:firstLine="420"/>
      </w:pPr>
      <w:r>
        <w:rPr>
          <w:rFonts w:ascii="仿宋_GB2312" w:hAnsi="仿宋_GB2312" w:eastAsia="仿宋_GB2312"/>
          <w:b w:val="0"/>
          <w:sz w:val="32"/>
        </w:rPr>
        <w:t>第一步（2026-2027）：重点突破。实现32×64端口硅光芯片量产，拓扑感知等技术标准化，东数西算枢纽节点试点部署。</w:t>
        <w:br/>
        <w:br/>
        <w:t>第二步（2028-2029）：规模商用。突破64×64/128×128高端口芯片，国产AI芯片+OCS协同方案成熟，云厂商及运营商规模采购。</w:t>
        <w:br/>
        <w:br/>
        <w:t>第三步（2030+）：生态引领。实现256×256+超大端口芯片，OCS+CPO全光互联架构普及，中国标准走向国际。</w:t>
      </w:r>
    </w:p>
    <w:p>
      <w:pPr>
        <w:spacing w:after="120"/>
      </w:pPr>
      <w:r>
        <w:rPr>
          <w:rFonts w:ascii="楷体_GB2312" w:hAnsi="楷体_GB2312" w:eastAsia="楷体_GB2312"/>
          <w:b/>
          <w:sz w:val="32"/>
        </w:rPr>
        <w:t>（二）技术路线</w:t>
      </w:r>
    </w:p>
    <w:p>
      <w:pPr>
        <w:spacing w:line="360" w:lineRule="auto" w:after="240"/>
        <w:ind w:firstLine="420"/>
      </w:pPr>
      <w:r>
        <w:rPr>
          <w:rFonts w:ascii="仿宋_GB2312" w:hAnsi="仿宋_GB2312" w:eastAsia="仿宋_GB2312"/>
          <w:b w:val="0"/>
          <w:sz w:val="32"/>
        </w:rPr>
        <w:t>MEMS与硅光并行，不押注单一路线。</w:t>
        <w:br/>
        <w:br/>
        <w:t>MEMS路线：主攻大端口、低频次切换，目标320×320+，代表企业光迅科技、赛微电子。</w:t>
        <w:br/>
        <w:br/>
        <w:t>硅光路线：主攻中小端口、高频次切换，目标纳秒级，与CPO集成，代表企业德科立、曦智科技、华工正源。</w:t>
      </w:r>
    </w:p>
    <w:p/>
    <w:p>
      <w:pPr>
        <w:spacing w:after="240"/>
      </w:pPr>
      <w:r>
        <w:rPr>
          <w:rFonts w:ascii="黑体" w:hAnsi="黑体" w:eastAsia="黑体"/>
          <w:b/>
          <w:sz w:val="32"/>
        </w:rPr>
        <w:t>四、政策建议</w:t>
      </w:r>
    </w:p>
    <w:p>
      <w:pPr>
        <w:spacing w:line="360" w:lineRule="auto" w:after="240"/>
        <w:ind w:firstLine="420"/>
      </w:pPr>
      <w:r>
        <w:rPr>
          <w:rFonts w:ascii="仿宋_GB2312" w:hAnsi="仿宋_GB2312" w:eastAsia="仿宋_GB2312"/>
          <w:b w:val="0"/>
          <w:sz w:val="32"/>
        </w:rPr>
        <w:t>（一）标准先行。推动OCS国家标准立项，参与OCP OCS项目组，建立中国OCS产业联盟。</w:t>
        <w:br/>
        <w:br/>
        <w:t>（二）场景驱动。东数西算工程优先采用OCS，智算中心建设纳入OCS要求，运营商集采明确OCS比例。</w:t>
        <w:br/>
        <w:br/>
        <w:t>（三）产业协同。设立OCS专项基金，支持国产AI芯片+OCS协同优化，培养硅光设计、系统架构人才。</w:t>
      </w:r>
    </w:p>
    <w:p/>
    <w:p/>
    <w:p>
      <w:pPr>
        <w:spacing w:after="240"/>
        <w:jc w:val="center"/>
      </w:pPr>
      <w:r>
        <w:rPr>
          <w:rFonts w:ascii="黑体" w:hAnsi="黑体" w:eastAsia="黑体"/>
          <w:b/>
          <w:sz w:val="32"/>
        </w:rPr>
        <w:t>结  语</w:t>
      </w:r>
    </w:p>
    <w:p>
      <w:pPr>
        <w:spacing w:line="360" w:lineRule="auto"/>
        <w:ind w:firstLine="420"/>
      </w:pPr>
      <w:r>
        <w:rPr>
          <w:rFonts w:ascii="仿宋_GB2312" w:hAnsi="仿宋_GB2312" w:eastAsia="仿宋_GB2312"/>
          <w:b w:val="0"/>
          <w:sz w:val="32"/>
        </w:rPr>
        <w:t>OCS不是要不要做的问题，是怎么做、做多快的问题。</w:t>
        <w:br/>
        <w:br/>
        <w:t>谷歌已跑8年，中国现在起步，差距存在但不算太大。关键是未来两三年，技术路线会定型，市场格局会明朗。</w:t>
        <w:br/>
        <w:br/>
        <w:t>建议两条腿走路（MEMS+硅光），三个场景覆盖（Dragonfly、3D Torus、大环路），三步走实现（突破、商用、引领）。</w:t>
        <w:br/>
        <w:br/>
        <w:t>时间不等人。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