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d199737c9c1dcaa187748ba381f1d397c547407"/>
    <w:p>
      <w:pPr>
        <w:pStyle w:val="Heading1"/>
      </w:pPr>
      <w:r>
        <w:t xml:space="preserve">Can</w:t>
      </w:r>
      <w:r>
        <w:t xml:space="preserve"> </w:t>
      </w:r>
      <w:r>
        <w:t xml:space="preserve">“</w:t>
      </w:r>
      <w:r>
        <w:t xml:space="preserve">within-array is better</w:t>
      </w:r>
      <w:r>
        <w:t xml:space="preserve">”</w:t>
      </w:r>
      <w:r>
        <w:t xml:space="preserve"> </w:t>
      </w:r>
      <w:r>
        <w:t xml:space="preserve">be proven? A statistical framework</w:t>
      </w:r>
    </w:p>
    <w:p>
      <w:pPr>
        <w:pStyle w:val="FirstParagraph"/>
      </w:pPr>
      <w:r>
        <w:t xml:space="preserve">Prepared for the selective-coating manuscript. Short answer up front, then the machinery.</w:t>
      </w:r>
    </w:p>
    <w:p>
      <w:pPr>
        <w:pStyle w:val="BodyText"/>
      </w:pPr>
      <w:r>
        <w:rPr>
          <w:bCs/>
          <w:b/>
        </w:rPr>
        <w:t xml:space="preserve">You are trying to prove the wrong thing.</w:t>
      </w:r>
      <w:r>
        <w:t xml:space="preserve"> </w:t>
      </w:r>
      <w:r>
        <w:t xml:space="preserve">That within-array assignment removes animal-level and device-level confounds is not an empirical claim — it is true by construction, in the same way that a paired</w:t>
      </w:r>
      <w:r>
        <w:t xml:space="preserve"> </w:t>
      </w:r>
      <w:r>
        <w:rPr>
          <w:iCs/>
          <w:i/>
        </w:rPr>
        <w:t xml:space="preserve">t</w:t>
      </w:r>
      <w:r>
        <w:t xml:space="preserve"> </w:t>
      </w:r>
      <w:r>
        <w:t xml:space="preserve">test removes subject effects by construction. It follows from writing down the model and needs no data. What genuinely requires proof, and what you have not yet supplied, is that the removal is</w:t>
      </w:r>
      <w:r>
        <w:t xml:space="preserve"> </w:t>
      </w:r>
      <w:r>
        <w:rPr>
          <w:iCs/>
          <w:i/>
        </w:rPr>
        <w:t xml:space="preserve">worth it</w:t>
      </w:r>
      <w:r>
        <w:t xml:space="preserve">: that the variance removed is large (an intraclass-correlation estimate) and that the bias introduced by putting two treatments 200-400 µm apart in shared tissue is small (a spillover estimate). Those two numbers are estimable from data you already have.</w:t>
      </w:r>
    </w:p>
    <w:p>
      <w:pPr>
        <w:pStyle w:val="BodyText"/>
      </w:pPr>
      <w:r>
        <w:t xml:space="preserve">There is also a harder problem, in §5: the contrast your design improves is not the contrast your paper’s headline claim rests on.</w:t>
      </w:r>
    </w:p>
    <w:p>
      <w:r>
        <w:pict>
          <v:rect style="width:0;height:1.5pt" o:hralign="center" o:hrstd="t" o:hr="t"/>
        </w:pict>
      </w:r>
    </w:p>
    <w:bookmarkStart w:id="20" w:name="the-model-that-makes-the-claim-precise"/>
    <w:p>
      <w:pPr>
        <w:pStyle w:val="Heading2"/>
      </w:pPr>
      <w:r>
        <w:t xml:space="preserve">1. The model that makes the claim precise</w:t>
      </w:r>
    </w:p>
    <w:p>
      <w:pPr>
        <w:pStyle w:val="FirstParagraph"/>
      </w:pPr>
      <w:r>
        <w:t xml:space="preserve">Write an outcome (unit amplitude, channel yield, GFAP intensity) on channel</w:t>
      </w:r>
      <w:r>
        <w:t xml:space="preserve"> </w:t>
      </w:r>
      <w:r>
        <w:rPr>
          <w:iCs/>
          <w:i/>
        </w:rPr>
        <w:t xml:space="preserve">l</w:t>
      </w:r>
      <w:r>
        <w:t xml:space="preserve">, shank</w:t>
      </w:r>
      <w:r>
        <w:t xml:space="preserve"> </w:t>
      </w:r>
      <w:r>
        <w:rPr>
          <w:iCs/>
          <w:i/>
        </w:rPr>
        <w:t xml:space="preserve">k</w:t>
      </w:r>
      <w:r>
        <w:t xml:space="preserve">, array</w:t>
      </w:r>
      <w:r>
        <w:t xml:space="preserve"> </w:t>
      </w:r>
      <w:r>
        <w:rPr>
          <w:iCs/>
          <w:i/>
        </w:rPr>
        <w:t xml:space="preserve">j</w:t>
      </w:r>
      <w:r>
        <w:t xml:space="preserve">, animal</w:t>
      </w:r>
      <w:r>
        <w:t xml:space="preserve"> </w:t>
      </w:r>
      <w:r>
        <w:rPr>
          <w:iCs/>
          <w:i/>
        </w:rPr>
        <w:t xml:space="preserve">i</w:t>
      </w:r>
      <w:r>
        <w:t xml:space="preserve"> </w:t>
      </w:r>
      <w:r>
        <w:t xml:space="preserve">as</w:t>
      </w:r>
    </w:p>
    <w:p>
      <w:pPr>
        <w:pStyle w:val="BlockText"/>
      </w:pPr>
      <w:r>
        <w:t xml:space="preserve">y</w:t>
      </w:r>
      <w:r>
        <w:rPr>
          <w:iCs/>
          <w:i/>
        </w:rPr>
        <w:t xml:space="preserve">ijkl</w:t>
      </w:r>
      <w:r>
        <w:t xml:space="preserve"> </w:t>
      </w:r>
      <w:r>
        <w:t xml:space="preserve">= μ + τ·T</w:t>
      </w:r>
      <w:r>
        <w:rPr>
          <w:iCs/>
          <w:i/>
        </w:rPr>
        <w:t xml:space="preserve">ijkl</w:t>
      </w:r>
      <w:r>
        <w:t xml:space="preserve"> </w:t>
      </w:r>
      <w:r>
        <w:t xml:space="preserve">+ a</w:t>
      </w:r>
      <w:r>
        <w:rPr>
          <w:iCs/>
          <w:i/>
        </w:rPr>
        <w:t xml:space="preserve">i</w:t>
      </w:r>
      <w:r>
        <w:t xml:space="preserve"> </w:t>
      </w:r>
      <w:r>
        <w:t xml:space="preserve">+ d</w:t>
      </w:r>
      <w:r>
        <w:rPr>
          <w:iCs/>
          <w:i/>
        </w:rPr>
        <w:t xml:space="preserve">ij</w:t>
      </w:r>
      <w:r>
        <w:t xml:space="preserve"> </w:t>
      </w:r>
      <w:r>
        <w:t xml:space="preserve">+ s</w:t>
      </w:r>
      <w:r>
        <w:rPr>
          <w:iCs/>
          <w:i/>
        </w:rPr>
        <w:t xml:space="preserve">ijk</w:t>
      </w:r>
      <w:r>
        <w:t xml:space="preserve"> </w:t>
      </w:r>
      <w:r>
        <w:t xml:space="preserve">+ e</w:t>
      </w:r>
      <w:r>
        <w:rPr>
          <w:iCs/>
          <w:i/>
        </w:rPr>
        <w:t xml:space="preserve">ijkl</w:t>
      </w:r>
    </w:p>
    <w:p>
      <w:pPr>
        <w:pStyle w:val="FirstParagraph"/>
      </w:pPr>
      <w:r>
        <w:t xml:space="preserve">with independent random effects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Variance</w:t>
            </w:r>
          </w:p>
        </w:tc>
        <w:tc>
          <w:tcPr/>
          <w:p>
            <w:pPr>
              <w:pStyle w:val="Compact"/>
              <w:jc w:val="left"/>
            </w:pPr>
            <w:r>
              <w:t xml:space="preserve">What it absorbs</w:t>
            </w:r>
          </w:p>
        </w:tc>
      </w:tr>
      <w:tr>
        <w:tc>
          <w:tcPr/>
          <w:p>
            <w:pPr>
              <w:pStyle w:val="Compact"/>
              <w:jc w:val="left"/>
            </w:pPr>
            <w:r>
              <w:t xml:space="preserve">a</w:t>
            </w:r>
            <w:r>
              <w:rPr>
                <w:iCs/>
                <w:i/>
              </w:rPr>
              <w:t xml:space="preserve">i</w:t>
            </w:r>
          </w:p>
        </w:tc>
        <w:tc>
          <w:tcPr/>
          <w:p>
            <w:pPr>
              <w:pStyle w:val="Compact"/>
              <w:jc w:val="left"/>
            </w:pPr>
            <w:r>
              <w:t xml:space="preserve">σ²</w:t>
            </w:r>
            <w:r>
              <w:t xml:space="preserve">A</w:t>
            </w:r>
          </w:p>
        </w:tc>
        <w:tc>
          <w:tcPr/>
          <w:p>
            <w:pPr>
              <w:pStyle w:val="Compact"/>
              <w:jc w:val="left"/>
            </w:pPr>
            <w:r>
              <w:t xml:space="preserve">animal: immune status, age, behaviour, systemic anatomy</w:t>
            </w:r>
          </w:p>
        </w:tc>
      </w:tr>
      <w:tr>
        <w:tc>
          <w:tcPr/>
          <w:p>
            <w:pPr>
              <w:pStyle w:val="Compact"/>
              <w:jc w:val="left"/>
            </w:pPr>
            <w:r>
              <w:t xml:space="preserve">d</w:t>
            </w:r>
            <w:r>
              <w:rPr>
                <w:iCs/>
                <w:i/>
              </w:rPr>
              <w:t xml:space="preserve">ij</w:t>
            </w:r>
          </w:p>
        </w:tc>
        <w:tc>
          <w:tcPr/>
          <w:p>
            <w:pPr>
              <w:pStyle w:val="Compact"/>
              <w:jc w:val="left"/>
            </w:pPr>
            <w:r>
              <w:t xml:space="preserve">σ²</w:t>
            </w:r>
            <w:r>
              <w:t xml:space="preserve">D</w:t>
            </w:r>
          </w:p>
        </w:tc>
        <w:tc>
          <w:tcPr/>
          <w:p>
            <w:pPr>
              <w:pStyle w:val="Compact"/>
              <w:jc w:val="left"/>
            </w:pPr>
            <w:r>
              <w:t xml:space="preserve">array: insertion event, impact timing, insertion angle, cortical site, device lot, tether geometry</w:t>
            </w:r>
          </w:p>
        </w:tc>
      </w:tr>
      <w:tr>
        <w:tc>
          <w:tcPr/>
          <w:p>
            <w:pPr>
              <w:pStyle w:val="Compact"/>
              <w:jc w:val="left"/>
            </w:pPr>
            <w:r>
              <w:t xml:space="preserve">s</w:t>
            </w:r>
            <w:r>
              <w:rPr>
                <w:iCs/>
                <w:i/>
              </w:rPr>
              <w:t xml:space="preserve">ijk</w:t>
            </w:r>
          </w:p>
        </w:tc>
        <w:tc>
          <w:tcPr/>
          <w:p>
            <w:pPr>
              <w:pStyle w:val="Compact"/>
              <w:jc w:val="left"/>
            </w:pPr>
            <w:r>
              <w:t xml:space="preserve">σ²</w:t>
            </w:r>
            <w:r>
              <w:t xml:space="preserve">S</w:t>
            </w:r>
          </w:p>
        </w:tc>
        <w:tc>
          <w:tcPr/>
          <w:p>
            <w:pPr>
              <w:pStyle w:val="Compact"/>
              <w:jc w:val="left"/>
            </w:pPr>
            <w:r>
              <w:t xml:space="preserve">shank: local vasculature, depth, individual tip condition</w:t>
            </w:r>
          </w:p>
        </w:tc>
      </w:tr>
      <w:tr>
        <w:tc>
          <w:tcPr/>
          <w:p>
            <w:pPr>
              <w:pStyle w:val="Compact"/>
              <w:jc w:val="left"/>
            </w:pPr>
            <w:r>
              <w:t xml:space="preserve">e</w:t>
            </w:r>
            <w:r>
              <w:rPr>
                <w:iCs/>
                <w:i/>
              </w:rPr>
              <w:t xml:space="preserve">ijkl</w:t>
            </w:r>
          </w:p>
        </w:tc>
        <w:tc>
          <w:tcPr/>
          <w:p>
            <w:pPr>
              <w:pStyle w:val="Compact"/>
              <w:jc w:val="left"/>
            </w:pPr>
            <w:r>
              <w:t xml:space="preserve">σ²</w:t>
            </w:r>
            <w:r>
              <w:t xml:space="preserve">E</w:t>
            </w:r>
          </w:p>
        </w:tc>
        <w:tc>
          <w:tcPr/>
          <w:p>
            <w:pPr>
              <w:pStyle w:val="Compact"/>
              <w:jc w:val="left"/>
            </w:pPr>
            <w:r>
              <w:t xml:space="preserve">residual and measurement noise</w:t>
            </w:r>
          </w:p>
        </w:tc>
      </w:tr>
    </w:tbl>
    <w:p>
      <w:pPr>
        <w:pStyle w:val="BodyText"/>
      </w:pPr>
      <w:r>
        <w:t xml:space="preserve">Everything you have been arguing verbally in the Introduction is a statement about which of these terms survives into the treatment contrast. Three designs, three answers: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Design</w:t>
            </w:r>
          </w:p>
        </w:tc>
        <w:tc>
          <w:tcPr/>
          <w:p>
            <w:pPr>
              <w:pStyle w:val="Compact"/>
              <w:jc w:val="left"/>
            </w:pPr>
            <w:r>
              <w:t xml:space="preserve">Treatment assigned at</w:t>
            </w:r>
          </w:p>
        </w:tc>
        <w:tc>
          <w:tcPr/>
          <w:p>
            <w:pPr>
              <w:pStyle w:val="Compact"/>
              <w:jc w:val="left"/>
            </w:pPr>
            <w:r>
              <w:t xml:space="preserve">Contrast variance (n units, m shanks/array)</w:t>
            </w:r>
          </w:p>
        </w:tc>
      </w:tr>
      <w:tr>
        <w:tc>
          <w:tcPr/>
          <w:p>
            <w:pPr>
              <w:pStyle w:val="Compact"/>
              <w:jc w:val="left"/>
            </w:pPr>
            <w:r>
              <w:t xml:space="preserve">Between-subject</w:t>
            </w:r>
          </w:p>
        </w:tc>
        <w:tc>
          <w:tcPr/>
          <w:p>
            <w:pPr>
              <w:pStyle w:val="Compact"/>
              <w:jc w:val="left"/>
            </w:pPr>
            <w:r>
              <w:t xml:space="preserve">animal</w:t>
            </w:r>
          </w:p>
        </w:tc>
        <w:tc>
          <w:tcPr/>
          <w:p>
            <w:pPr>
              <w:pStyle w:val="Compact"/>
              <w:jc w:val="left"/>
            </w:pPr>
            <w:r>
              <w:t xml:space="preserve">2[σ²</w:t>
            </w:r>
            <w:r>
              <w:t xml:space="preserve">A</w:t>
            </w:r>
            <w:r>
              <w:t xml:space="preserve"> </w:t>
            </w:r>
            <w:r>
              <w:t xml:space="preserve">+ σ²</w:t>
            </w:r>
            <w:r>
              <w:t xml:space="preserve">D</w:t>
            </w:r>
            <w:r>
              <w:t xml:space="preserve"> </w:t>
            </w:r>
            <w:r>
              <w:t xml:space="preserve">+ (σ²</w:t>
            </w:r>
            <w:r>
              <w:t xml:space="preserve">S</w:t>
            </w:r>
            <w:r>
              <w:t xml:space="preserve">+σ²</w:t>
            </w:r>
            <w:r>
              <w:t xml:space="preserve">E</w:t>
            </w:r>
            <w:r>
              <w:t xml:space="preserve">)/m] / n</w:t>
            </w:r>
          </w:p>
        </w:tc>
      </w:tr>
      <w:tr>
        <w:tc>
          <w:tcPr/>
          <w:p>
            <w:pPr>
              <w:pStyle w:val="Compact"/>
              <w:jc w:val="left"/>
            </w:pPr>
            <w:r>
              <w:t xml:space="preserve">Within-subject / between-array</w:t>
            </w:r>
          </w:p>
        </w:tc>
        <w:tc>
          <w:tcPr/>
          <w:p>
            <w:pPr>
              <w:pStyle w:val="Compact"/>
              <w:jc w:val="left"/>
            </w:pPr>
            <w:r>
              <w:t xml:space="preserve">array within animal</w:t>
            </w:r>
          </w:p>
        </w:tc>
        <w:tc>
          <w:tcPr/>
          <w:p>
            <w:pPr>
              <w:pStyle w:val="Compact"/>
              <w:jc w:val="left"/>
            </w:pPr>
            <w:r>
              <w:t xml:space="preserve">2[σ²</w:t>
            </w:r>
            <w:r>
              <w:t xml:space="preserve">D</w:t>
            </w:r>
            <w:r>
              <w:t xml:space="preserve"> </w:t>
            </w:r>
            <w:r>
              <w:t xml:space="preserve">+ (σ²</w:t>
            </w:r>
            <w:r>
              <w:t xml:space="preserve">S</w:t>
            </w:r>
            <w:r>
              <w:t xml:space="preserve">+σ²</w:t>
            </w:r>
            <w:r>
              <w:t xml:space="preserve">E</w:t>
            </w:r>
            <w:r>
              <w:t xml:space="preserve">)/m] / n</w:t>
            </w:r>
          </w:p>
        </w:tc>
      </w:tr>
      <w:tr>
        <w:tc>
          <w:tcPr/>
          <w:p>
            <w:pPr>
              <w:pStyle w:val="Compact"/>
              <w:jc w:val="left"/>
            </w:pPr>
            <w:r>
              <w:rPr>
                <w:bCs/>
                <w:b/>
              </w:rPr>
              <w:t xml:space="preserve">Within-array</w:t>
            </w:r>
          </w:p>
        </w:tc>
        <w:tc>
          <w:tcPr/>
          <w:p>
            <w:pPr>
              <w:pStyle w:val="Compact"/>
              <w:jc w:val="left"/>
            </w:pPr>
            <w:r>
              <w:t xml:space="preserve">shank within array</w:t>
            </w:r>
          </w:p>
        </w:tc>
        <w:tc>
          <w:tcPr/>
          <w:p>
            <w:pPr>
              <w:pStyle w:val="Compact"/>
              <w:jc w:val="left"/>
            </w:pPr>
            <w:r>
              <w:rPr>
                <w:bCs/>
                <w:b/>
              </w:rPr>
              <w:t xml:space="preserve">4(σ²</w:t>
            </w:r>
            <w:r>
              <w:rPr>
                <w:bCs/>
                <w:b/>
              </w:rPr>
              <w:t xml:space="preserve">S</w:t>
            </w:r>
            <w:r>
              <w:rPr>
                <w:bCs/>
                <w:b/>
              </w:rPr>
              <w:t xml:space="preserve">+σ²</w:t>
            </w:r>
            <w:r>
              <w:rPr>
                <w:bCs/>
                <w:b/>
              </w:rPr>
              <w:t xml:space="preserve">E</w:t>
            </w:r>
            <w:r>
              <w:rPr>
                <w:bCs/>
                <w:b/>
              </w:rPr>
              <w:t xml:space="preserve">) / (m·n)</w:t>
            </w:r>
          </w:p>
        </w:tc>
      </w:tr>
    </w:tbl>
    <w:p>
      <w:pPr>
        <w:pStyle w:val="BodyText"/>
      </w:pPr>
      <w:r>
        <w:t xml:space="preserve">I verified these against a Monte Carlo simulation of the hierarchical model (20,000 replicates; empirical variances 0.188 / 0.118 / 0.089 against analytic 0.194 / 0.119 / 0.088 for σ²</w:t>
      </w:r>
      <w:r>
        <w:t xml:space="preserve">A</w:t>
      </w:r>
      <w:r>
        <w:t xml:space="preserve">=σ²</w:t>
      </w:r>
      <w:r>
        <w:t xml:space="preserve">D</w:t>
      </w:r>
      <w:r>
        <w:t xml:space="preserve">=0.15, σ²</w:t>
      </w:r>
      <w:r>
        <w:t xml:space="preserve">S</w:t>
      </w:r>
      <w:r>
        <w:t xml:space="preserve">=0.30, σ²</w:t>
      </w:r>
      <w:r>
        <w:t xml:space="preserve">E</w:t>
      </w:r>
      <w:r>
        <w:t xml:space="preserve">=0.40, n=4, m=8).</w:t>
      </w:r>
    </w:p>
    <w:p>
      <w:pPr>
        <w:pStyle w:val="BodyText"/>
      </w:pPr>
      <w:r>
        <w:rPr>
          <w:bCs/>
          <w:b/>
        </w:rPr>
        <w:t xml:space="preserve">The ordering is a theorem, not a finding.</w:t>
      </w:r>
      <w:r>
        <w:t xml:space="preserve"> </w:t>
      </w:r>
      <w:r>
        <w:t xml:space="preserve">Var(within-array) ≤ Var(between-array) ≤ Var(between-subject), with equality only when the corresponding variance components are exactly zero. Each design strictly removes more nuisance terms from the contrast than the last. You can state this in the Introduction with a one-line derivation and no citation at all — it is algebra, and it is more convincing than citing a cartilage paper.</w:t>
      </w:r>
    </w:p>
    <w:p>
      <w:r>
        <w:pict>
          <v:rect style="width:0;height:1.5pt" o:hralign="center" o:hrstd="t" o:hr="t"/>
        </w:pict>
      </w:r>
    </w:p>
    <w:bookmarkEnd w:id="20"/>
    <w:bookmarkStart w:id="21" w:name="what-is-empirical-the-magnitude"/>
    <w:p>
      <w:pPr>
        <w:pStyle w:val="Heading2"/>
      </w:pPr>
      <w:r>
        <w:t xml:space="preserve">2. What is empirical: the magnitude</w:t>
      </w:r>
    </w:p>
    <w:p>
      <w:pPr>
        <w:pStyle w:val="FirstParagraph"/>
      </w:pPr>
      <w:r>
        <w:t xml:space="preserve">Define ρ = (σ²</w:t>
      </w:r>
      <w:r>
        <w:t xml:space="preserve">A</w:t>
      </w:r>
      <w:r>
        <w:t xml:space="preserve"> </w:t>
      </w:r>
      <w:r>
        <w:t xml:space="preserve">+ σ²</w:t>
      </w:r>
      <w:r>
        <w:t xml:space="preserve">D</w:t>
      </w:r>
      <w:r>
        <w:t xml:space="preserve">) / σ²</w:t>
      </w:r>
      <w:r>
        <w:t xml:space="preserve">total</w:t>
      </w:r>
      <w:r>
        <w:t xml:space="preserve">, the fraction of variance living above the shank. Then the number of animals a between-subject design needs, per animal the within-array design needs, for equal power, is</w:t>
      </w:r>
    </w:p>
    <w:p>
      <w:pPr>
        <w:pStyle w:val="BlockText"/>
      </w:pPr>
      <w:r>
        <w:t xml:space="preserve">N</w:t>
      </w:r>
      <w:r>
        <w:t xml:space="preserve">between</w:t>
      </w:r>
      <w:r>
        <w:t xml:space="preserve"> </w:t>
      </w:r>
      <w:r>
        <w:t xml:space="preserve">/ N</w:t>
      </w:r>
      <w:r>
        <w:t xml:space="preserve">within</w:t>
      </w:r>
      <w:r>
        <w:t xml:space="preserve"> </w:t>
      </w:r>
      <w:r>
        <w:t xml:space="preserve">= 1 + m·ρ/(1−ρ)</w:t>
      </w:r>
    </w:p>
    <w:p>
      <w:pPr>
        <w:pStyle w:val="FirstParagraph"/>
      </w:pPr>
      <w:r>
        <w:t xml:space="preserve">This is the cluster-trial design effect, run in reverse: a between-subject study</w:t>
      </w:r>
      <w:r>
        <w:t xml:space="preserve"> </w:t>
      </w:r>
      <w:r>
        <w:rPr>
          <w:iCs/>
          <w:i/>
        </w:rPr>
        <w:t xml:space="preserve">suffers</w:t>
      </w:r>
      <w:r>
        <w:t xml:space="preserve"> </w:t>
      </w:r>
      <w:r>
        <w:t xml:space="preserve">clustering, a within-array study</w:t>
      </w:r>
      <w:r>
        <w:t xml:space="preserve"> </w:t>
      </w:r>
      <w:r>
        <w:rPr>
          <w:iCs/>
          <w:i/>
        </w:rPr>
        <w:t xml:space="preserve">exploits</w:t>
      </w:r>
      <w:r>
        <w:t xml:space="preserve"> </w:t>
      </w:r>
      <w:r>
        <w:t xml:space="preserve">it as blocking. Note that it scales with m, the number of shanks per array — which is why a 96-shank Utah array has so much more to gain than a 4-shank linear probe.</w:t>
      </w:r>
    </w:p>
    <w:p>
      <w:pPr>
        <w:pStyle w:val="BodyText"/>
      </w:pPr>
      <w:r>
        <w:rPr>
          <w:bCs/>
          <w:b/>
        </w:rPr>
        <w:t xml:space="preserve">Table A. Animals needed by a between-subject design, per animal needed by within-array.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ρ = ρ</w:t>
            </w:r>
            <w:r>
              <w:t xml:space="preserve">A</w:t>
            </w:r>
            <w:r>
              <w:t xml:space="preserve">+ρ</w:t>
            </w:r>
            <w:r>
              <w:t xml:space="preserve">D</w:t>
            </w:r>
          </w:p>
        </w:tc>
        <w:tc>
          <w:tcPr/>
          <w:p>
            <w:pPr>
              <w:pStyle w:val="Compact"/>
              <w:jc w:val="left"/>
            </w:pPr>
            <w:r>
              <w:t xml:space="preserve">m=4</w:t>
            </w:r>
          </w:p>
        </w:tc>
        <w:tc>
          <w:tcPr/>
          <w:p>
            <w:pPr>
              <w:pStyle w:val="Compact"/>
              <w:jc w:val="left"/>
            </w:pPr>
            <w:r>
              <w:t xml:space="preserve">m=8</w:t>
            </w:r>
          </w:p>
        </w:tc>
        <w:tc>
          <w:tcPr/>
          <w:p>
            <w:pPr>
              <w:pStyle w:val="Compact"/>
              <w:jc w:val="left"/>
            </w:pPr>
            <w:r>
              <w:t xml:space="preserve">m=16</w:t>
            </w:r>
          </w:p>
        </w:tc>
        <w:tc>
          <w:tcPr/>
          <w:p>
            <w:pPr>
              <w:pStyle w:val="Compact"/>
              <w:jc w:val="left"/>
            </w:pPr>
            <w:r>
              <w:t xml:space="preserve">m=48</w:t>
            </w:r>
          </w:p>
        </w:tc>
        <w:tc>
          <w:tcPr/>
          <w:p>
            <w:pPr>
              <w:pStyle w:val="Compact"/>
              <w:jc w:val="left"/>
            </w:pPr>
            <w:r>
              <w:t xml:space="preserve">m=96</w:t>
            </w:r>
          </w:p>
        </w:tc>
      </w:tr>
      <w:tr>
        <w:tc>
          <w:tcPr/>
          <w:p>
            <w:pPr>
              <w:pStyle w:val="Compact"/>
              <w:jc w:val="left"/>
            </w:pPr>
            <w:r>
              <w:t xml:space="preserve">0.05</w:t>
            </w:r>
          </w:p>
        </w:tc>
        <w:tc>
          <w:tcPr/>
          <w:p>
            <w:pPr>
              <w:pStyle w:val="Compact"/>
              <w:jc w:val="left"/>
            </w:pPr>
            <w:r>
              <w:t xml:space="preserve">1.2</w:t>
            </w:r>
          </w:p>
        </w:tc>
        <w:tc>
          <w:tcPr/>
          <w:p>
            <w:pPr>
              <w:pStyle w:val="Compact"/>
              <w:jc w:val="left"/>
            </w:pPr>
            <w:r>
              <w:t xml:space="preserve">1.4</w:t>
            </w:r>
          </w:p>
        </w:tc>
        <w:tc>
          <w:tcPr/>
          <w:p>
            <w:pPr>
              <w:pStyle w:val="Compact"/>
              <w:jc w:val="left"/>
            </w:pPr>
            <w:r>
              <w:t xml:space="preserve">1.8</w:t>
            </w:r>
          </w:p>
        </w:tc>
        <w:tc>
          <w:tcPr/>
          <w:p>
            <w:pPr>
              <w:pStyle w:val="Compact"/>
              <w:jc w:val="left"/>
            </w:pPr>
            <w:r>
              <w:t xml:space="preserve">3.5</w:t>
            </w:r>
          </w:p>
        </w:tc>
        <w:tc>
          <w:tcPr/>
          <w:p>
            <w:pPr>
              <w:pStyle w:val="Compact"/>
              <w:jc w:val="left"/>
            </w:pPr>
            <w:r>
              <w:t xml:space="preserve">6.1</w:t>
            </w:r>
          </w:p>
        </w:tc>
      </w:tr>
      <w:tr>
        <w:tc>
          <w:tcPr/>
          <w:p>
            <w:pPr>
              <w:pStyle w:val="Compact"/>
              <w:jc w:val="left"/>
            </w:pPr>
            <w:r>
              <w:t xml:space="preserve">0.10</w:t>
            </w:r>
          </w:p>
        </w:tc>
        <w:tc>
          <w:tcPr/>
          <w:p>
            <w:pPr>
              <w:pStyle w:val="Compact"/>
              <w:jc w:val="left"/>
            </w:pPr>
            <w:r>
              <w:t xml:space="preserve">1.4</w:t>
            </w:r>
          </w:p>
        </w:tc>
        <w:tc>
          <w:tcPr/>
          <w:p>
            <w:pPr>
              <w:pStyle w:val="Compact"/>
              <w:jc w:val="left"/>
            </w:pPr>
            <w:r>
              <w:t xml:space="preserve">1.9</w:t>
            </w:r>
          </w:p>
        </w:tc>
        <w:tc>
          <w:tcPr/>
          <w:p>
            <w:pPr>
              <w:pStyle w:val="Compact"/>
              <w:jc w:val="left"/>
            </w:pPr>
            <w:r>
              <w:t xml:space="preserve">2.8</w:t>
            </w:r>
          </w:p>
        </w:tc>
        <w:tc>
          <w:tcPr/>
          <w:p>
            <w:pPr>
              <w:pStyle w:val="Compact"/>
              <w:jc w:val="left"/>
            </w:pPr>
            <w:r>
              <w:t xml:space="preserve">6.3</w:t>
            </w:r>
          </w:p>
        </w:tc>
        <w:tc>
          <w:tcPr/>
          <w:p>
            <w:pPr>
              <w:pStyle w:val="Compact"/>
              <w:jc w:val="left"/>
            </w:pPr>
            <w:r>
              <w:t xml:space="preserve">11.7</w:t>
            </w:r>
          </w:p>
        </w:tc>
      </w:tr>
      <w:tr>
        <w:tc>
          <w:tcPr/>
          <w:p>
            <w:pPr>
              <w:pStyle w:val="Compact"/>
              <w:jc w:val="left"/>
            </w:pPr>
            <w:r>
              <w:t xml:space="preserve">0.20</w:t>
            </w:r>
          </w:p>
        </w:tc>
        <w:tc>
          <w:tcPr/>
          <w:p>
            <w:pPr>
              <w:pStyle w:val="Compact"/>
              <w:jc w:val="left"/>
            </w:pPr>
            <w:r>
              <w:t xml:space="preserve">2.0</w:t>
            </w:r>
          </w:p>
        </w:tc>
        <w:tc>
          <w:tcPr/>
          <w:p>
            <w:pPr>
              <w:pStyle w:val="Compact"/>
              <w:jc w:val="left"/>
            </w:pPr>
            <w:r>
              <w:t xml:space="preserve">3.0</w:t>
            </w:r>
          </w:p>
        </w:tc>
        <w:tc>
          <w:tcPr/>
          <w:p>
            <w:pPr>
              <w:pStyle w:val="Compact"/>
              <w:jc w:val="left"/>
            </w:pPr>
            <w:r>
              <w:t xml:space="preserve">5.0</w:t>
            </w:r>
          </w:p>
        </w:tc>
        <w:tc>
          <w:tcPr/>
          <w:p>
            <w:pPr>
              <w:pStyle w:val="Compact"/>
              <w:jc w:val="left"/>
            </w:pPr>
            <w:r>
              <w:t xml:space="preserve">13.0</w:t>
            </w:r>
          </w:p>
        </w:tc>
        <w:tc>
          <w:tcPr/>
          <w:p>
            <w:pPr>
              <w:pStyle w:val="Compact"/>
              <w:jc w:val="left"/>
            </w:pPr>
            <w:r>
              <w:t xml:space="preserve">25.0</w:t>
            </w:r>
          </w:p>
        </w:tc>
      </w:tr>
      <w:tr>
        <w:tc>
          <w:tcPr/>
          <w:p>
            <w:pPr>
              <w:pStyle w:val="Compact"/>
              <w:jc w:val="left"/>
            </w:pPr>
            <w:r>
              <w:t xml:space="preserve">0.30</w:t>
            </w:r>
          </w:p>
        </w:tc>
        <w:tc>
          <w:tcPr/>
          <w:p>
            <w:pPr>
              <w:pStyle w:val="Compact"/>
              <w:jc w:val="left"/>
            </w:pPr>
            <w:r>
              <w:t xml:space="preserve">2.7</w:t>
            </w:r>
          </w:p>
        </w:tc>
        <w:tc>
          <w:tcPr/>
          <w:p>
            <w:pPr>
              <w:pStyle w:val="Compact"/>
              <w:jc w:val="left"/>
            </w:pPr>
            <w:r>
              <w:t xml:space="preserve">4.4</w:t>
            </w:r>
          </w:p>
        </w:tc>
        <w:tc>
          <w:tcPr/>
          <w:p>
            <w:pPr>
              <w:pStyle w:val="Compact"/>
              <w:jc w:val="left"/>
            </w:pPr>
            <w:r>
              <w:t xml:space="preserve">7.9</w:t>
            </w:r>
          </w:p>
        </w:tc>
        <w:tc>
          <w:tcPr/>
          <w:p>
            <w:pPr>
              <w:pStyle w:val="Compact"/>
              <w:jc w:val="left"/>
            </w:pPr>
            <w:r>
              <w:t xml:space="preserve">21.6</w:t>
            </w:r>
          </w:p>
        </w:tc>
        <w:tc>
          <w:tcPr/>
          <w:p>
            <w:pPr>
              <w:pStyle w:val="Compact"/>
              <w:jc w:val="left"/>
            </w:pPr>
            <w:r>
              <w:t xml:space="preserve">42.1</w:t>
            </w:r>
          </w:p>
        </w:tc>
      </w:tr>
      <w:tr>
        <w:tc>
          <w:tcPr/>
          <w:p>
            <w:pPr>
              <w:pStyle w:val="Compact"/>
              <w:jc w:val="left"/>
            </w:pPr>
            <w:r>
              <w:t xml:space="preserve">0.40</w:t>
            </w:r>
          </w:p>
        </w:tc>
        <w:tc>
          <w:tcPr/>
          <w:p>
            <w:pPr>
              <w:pStyle w:val="Compact"/>
              <w:jc w:val="left"/>
            </w:pPr>
            <w:r>
              <w:t xml:space="preserve">3.7</w:t>
            </w:r>
          </w:p>
        </w:tc>
        <w:tc>
          <w:tcPr/>
          <w:p>
            <w:pPr>
              <w:pStyle w:val="Compact"/>
              <w:jc w:val="left"/>
            </w:pPr>
            <w:r>
              <w:t xml:space="preserve">6.3</w:t>
            </w:r>
          </w:p>
        </w:tc>
        <w:tc>
          <w:tcPr/>
          <w:p>
            <w:pPr>
              <w:pStyle w:val="Compact"/>
              <w:jc w:val="left"/>
            </w:pPr>
            <w:r>
              <w:t xml:space="preserve">11.7</w:t>
            </w:r>
          </w:p>
        </w:tc>
        <w:tc>
          <w:tcPr/>
          <w:p>
            <w:pPr>
              <w:pStyle w:val="Compact"/>
              <w:jc w:val="left"/>
            </w:pPr>
            <w:r>
              <w:t xml:space="preserve">33.0</w:t>
            </w:r>
          </w:p>
        </w:tc>
        <w:tc>
          <w:tcPr/>
          <w:p>
            <w:pPr>
              <w:pStyle w:val="Compact"/>
              <w:jc w:val="left"/>
            </w:pPr>
            <w:r>
              <w:t xml:space="preserve">65.0</w:t>
            </w:r>
          </w:p>
        </w:tc>
      </w:tr>
      <w:tr>
        <w:tc>
          <w:tcPr/>
          <w:p>
            <w:pPr>
              <w:pStyle w:val="Compact"/>
              <w:jc w:val="left"/>
            </w:pPr>
            <w:r>
              <w:t xml:space="preserve">0.50</w:t>
            </w:r>
          </w:p>
        </w:tc>
        <w:tc>
          <w:tcPr/>
          <w:p>
            <w:pPr>
              <w:pStyle w:val="Compact"/>
              <w:jc w:val="left"/>
            </w:pPr>
            <w:r>
              <w:t xml:space="preserve">5.0</w:t>
            </w:r>
          </w:p>
        </w:tc>
        <w:tc>
          <w:tcPr/>
          <w:p>
            <w:pPr>
              <w:pStyle w:val="Compact"/>
              <w:jc w:val="left"/>
            </w:pPr>
            <w:r>
              <w:t xml:space="preserve">9.0</w:t>
            </w:r>
          </w:p>
        </w:tc>
        <w:tc>
          <w:tcPr/>
          <w:p>
            <w:pPr>
              <w:pStyle w:val="Compact"/>
              <w:jc w:val="left"/>
            </w:pPr>
            <w:r>
              <w:t xml:space="preserve">17.0</w:t>
            </w:r>
          </w:p>
        </w:tc>
        <w:tc>
          <w:tcPr/>
          <w:p>
            <w:pPr>
              <w:pStyle w:val="Compact"/>
              <w:jc w:val="left"/>
            </w:pPr>
            <w:r>
              <w:t xml:space="preserve">49.0</w:t>
            </w:r>
          </w:p>
        </w:tc>
        <w:tc>
          <w:tcPr/>
          <w:p>
            <w:pPr>
              <w:pStyle w:val="Compact"/>
              <w:jc w:val="left"/>
            </w:pPr>
            <w:r>
              <w:t xml:space="preserve">97.0</w:t>
            </w:r>
          </w:p>
        </w:tc>
      </w:tr>
    </w:tbl>
    <w:p>
      <w:pPr>
        <w:pStyle w:val="BodyText"/>
      </w:pPr>
      <w:r>
        <w:t xml:space="preserve">This table is where a claim like</w:t>
      </w:r>
      <w:r>
        <w:t xml:space="preserve"> </w:t>
      </w:r>
      <w:r>
        <w:t xml:space="preserve">“</w:t>
      </w:r>
      <w:r>
        <w:t xml:space="preserve">two or three animals can substitute for thirty</w:t>
      </w:r>
      <w:r>
        <w:t xml:space="preserve">”</w:t>
      </w:r>
      <w:r>
        <w:t xml:space="preserve"> </w:t>
      </w:r>
      <w:r>
        <w:t xml:space="preserve">would have to come from. For a 96-shank array it is attainable — at ρ = 0.3 the factor is 42. But</w:t>
      </w:r>
      <w:r>
        <w:t xml:space="preserve"> </w:t>
      </w:r>
      <w:r>
        <w:rPr>
          <w:bCs/>
          <w:b/>
        </w:rPr>
        <w:t xml:space="preserve">ρ is not a constant of nature; it is a property of your preparation and it must be estimated.</w:t>
      </w:r>
      <w:r>
        <w:t xml:space="preserve"> </w:t>
      </w:r>
      <w:r>
        <w:t xml:space="preserve">Barrese’s failure-mode data and your own Monkey N, where two arrays a few millimetres apart diverged from 35% yield to total extrusion, suggest σ²</w:t>
      </w:r>
      <w:r>
        <w:t xml:space="preserve">D</w:t>
      </w:r>
      <w:r>
        <w:t xml:space="preserve"> </w:t>
      </w:r>
      <w:r>
        <w:t xml:space="preserve">is very large for Utah arrays in primate cortex, which is exactly the regime where within-array pays best. Measure it and say so.</w:t>
      </w:r>
    </w:p>
    <w:p>
      <w:r>
        <w:pict>
          <v:rect style="width:0;height:1.5pt" o:hralign="center" o:hrstd="t" o:hr="t"/>
        </w:pict>
      </w:r>
    </w:p>
    <w:bookmarkEnd w:id="21"/>
    <w:bookmarkStart w:id="22" w:name="what-can-reverse-the-claim-interference"/>
    <w:p>
      <w:pPr>
        <w:pStyle w:val="Heading2"/>
      </w:pPr>
      <w:r>
        <w:t xml:space="preserve">3. What can reverse the claim: interference</w:t>
      </w:r>
    </w:p>
    <w:p>
      <w:pPr>
        <w:pStyle w:val="FirstParagraph"/>
      </w:pPr>
      <w:r>
        <w:t xml:space="preserve">This is the real threat and it is specific to your device geometry.</w:t>
      </w:r>
    </w:p>
    <w:p>
      <w:pPr>
        <w:pStyle w:val="BodyText"/>
      </w:pPr>
      <w:r>
        <w:t xml:space="preserve">The within-array design requires that a shank’s outcome depend only on its own treatment — the stable unit treatment value assumption (SUTVA). When a coating’s biological effect extends beyond the inter-shank pitch, the</w:t>
      </w:r>
      <w:r>
        <w:t xml:space="preserve"> </w:t>
      </w:r>
      <w:r>
        <w:t xml:space="preserve">“</w:t>
      </w:r>
      <w:r>
        <w:t xml:space="preserve">uncoated control</w:t>
      </w:r>
      <w:r>
        <w:t xml:space="preserve">”</w:t>
      </w:r>
      <w:r>
        <w:t xml:space="preserve"> </w:t>
      </w:r>
      <w:r>
        <w:t xml:space="preserve">shank sits in a partially treated field and is no longer a control. Formally, let a control shank absorb a fraction φ of the treatment effect from its neighbours. The within-array estimand becomes</w:t>
      </w:r>
    </w:p>
    <w:p>
      <w:pPr>
        <w:pStyle w:val="BlockText"/>
      </w:pPr>
      <w:r>
        <w:t xml:space="preserve">E[τ̂</w:t>
      </w:r>
      <w:r>
        <w:t xml:space="preserve">within-array</w:t>
      </w:r>
      <w:r>
        <w:t xml:space="preserve">] = τ(1 − φ)</w:t>
      </w:r>
    </w:p>
    <w:p>
      <w:pPr>
        <w:pStyle w:val="FirstParagraph"/>
      </w:pPr>
      <w:r>
        <w:t xml:space="preserve">Simulation confirms this is exact: at φ = 0, 0.25, 0.50, 0.75 the estimator returned 0.999, 0.749, 0.504, 0.251 against a true τ = 1.0, with the</w:t>
      </w:r>
      <w:r>
        <w:t xml:space="preserve"> </w:t>
      </w:r>
      <w:r>
        <w:rPr>
          <w:iCs/>
          <w:i/>
        </w:rPr>
        <w:t xml:space="preserve">variance unchanged</w:t>
      </w:r>
      <w:r>
        <w:t xml:space="preserve"> </w:t>
      </w:r>
      <w:r>
        <w:t xml:space="preserve">(0.086-0.088 throughout).</w:t>
      </w:r>
      <w:r>
        <w:t xml:space="preserve"> </w:t>
      </w:r>
      <w:r>
        <w:rPr>
          <w:bCs/>
          <w:b/>
        </w:rPr>
        <w:t xml:space="preserve">Spillover does not make the estimate noisier — it makes it smaller.</w:t>
      </w:r>
      <w:r>
        <w:t xml:space="preserve"> </w:t>
      </w:r>
      <w:r>
        <w:t xml:space="preserve">That is far more dangerous, because a shrunken effect with a tight confidence interval looks like a confident null.</w:t>
      </w:r>
    </w:p>
    <w:p>
      <w:pPr>
        <w:pStyle w:val="BodyText"/>
      </w:pPr>
      <w:r>
        <w:t xml:space="preserve">Net efficiency against a between-subject design is therefore (1−φ)² × [1 + m·ρ/(1−ρ)], and within-array stops being worth it above</w:t>
      </w:r>
    </w:p>
    <w:p>
      <w:pPr>
        <w:pStyle w:val="BlockText"/>
      </w:pPr>
      <w:r>
        <w:t xml:space="preserve">φ* = 1 − 1/√(1 + m·ρ/(1−ρ))</w:t>
      </w:r>
    </w:p>
    <w:p>
      <w:pPr>
        <w:pStyle w:val="FirstParagraph"/>
      </w:pPr>
      <w:r>
        <w:rPr>
          <w:bCs/>
          <w:b/>
        </w:rPr>
        <w:t xml:space="preserve">Table B. Break-even spillover φ*.</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ρ</w:t>
            </w:r>
          </w:p>
        </w:tc>
        <w:tc>
          <w:tcPr/>
          <w:p>
            <w:pPr>
              <w:pStyle w:val="Compact"/>
              <w:jc w:val="left"/>
            </w:pPr>
            <w:r>
              <w:t xml:space="preserve">m=4</w:t>
            </w:r>
          </w:p>
        </w:tc>
        <w:tc>
          <w:tcPr/>
          <w:p>
            <w:pPr>
              <w:pStyle w:val="Compact"/>
              <w:jc w:val="left"/>
            </w:pPr>
            <w:r>
              <w:t xml:space="preserve">m=8</w:t>
            </w:r>
          </w:p>
        </w:tc>
        <w:tc>
          <w:tcPr/>
          <w:p>
            <w:pPr>
              <w:pStyle w:val="Compact"/>
              <w:jc w:val="left"/>
            </w:pPr>
            <w:r>
              <w:t xml:space="preserve">m=16</w:t>
            </w:r>
          </w:p>
        </w:tc>
        <w:tc>
          <w:tcPr/>
          <w:p>
            <w:pPr>
              <w:pStyle w:val="Compact"/>
              <w:jc w:val="left"/>
            </w:pPr>
            <w:r>
              <w:t xml:space="preserve">m=48</w:t>
            </w:r>
          </w:p>
        </w:tc>
        <w:tc>
          <w:tcPr/>
          <w:p>
            <w:pPr>
              <w:pStyle w:val="Compact"/>
              <w:jc w:val="left"/>
            </w:pPr>
            <w:r>
              <w:t xml:space="preserve">m=96</w:t>
            </w:r>
          </w:p>
        </w:tc>
      </w:tr>
      <w:tr>
        <w:tc>
          <w:tcPr/>
          <w:p>
            <w:pPr>
              <w:pStyle w:val="Compact"/>
              <w:jc w:val="left"/>
            </w:pPr>
            <w:r>
              <w:t xml:space="preserve">0.10</w:t>
            </w:r>
          </w:p>
        </w:tc>
        <w:tc>
          <w:tcPr/>
          <w:p>
            <w:pPr>
              <w:pStyle w:val="Compact"/>
              <w:jc w:val="left"/>
            </w:pPr>
            <w:r>
              <w:t xml:space="preserve">0.17</w:t>
            </w:r>
          </w:p>
        </w:tc>
        <w:tc>
          <w:tcPr/>
          <w:p>
            <w:pPr>
              <w:pStyle w:val="Compact"/>
              <w:jc w:val="left"/>
            </w:pPr>
            <w:r>
              <w:t xml:space="preserve">0.27</w:t>
            </w:r>
          </w:p>
        </w:tc>
        <w:tc>
          <w:tcPr/>
          <w:p>
            <w:pPr>
              <w:pStyle w:val="Compact"/>
              <w:jc w:val="left"/>
            </w:pPr>
            <w:r>
              <w:t xml:space="preserve">0.40</w:t>
            </w:r>
          </w:p>
        </w:tc>
        <w:tc>
          <w:tcPr/>
          <w:p>
            <w:pPr>
              <w:pStyle w:val="Compact"/>
              <w:jc w:val="left"/>
            </w:pPr>
            <w:r>
              <w:t xml:space="preserve">0.60</w:t>
            </w:r>
          </w:p>
        </w:tc>
        <w:tc>
          <w:tcPr/>
          <w:p>
            <w:pPr>
              <w:pStyle w:val="Compact"/>
              <w:jc w:val="left"/>
            </w:pPr>
            <w:r>
              <w:t xml:space="preserve">0.71</w:t>
            </w:r>
          </w:p>
        </w:tc>
      </w:tr>
      <w:tr>
        <w:tc>
          <w:tcPr/>
          <w:p>
            <w:pPr>
              <w:pStyle w:val="Compact"/>
              <w:jc w:val="left"/>
            </w:pPr>
            <w:r>
              <w:t xml:space="preserve">0.20</w:t>
            </w:r>
          </w:p>
        </w:tc>
        <w:tc>
          <w:tcPr/>
          <w:p>
            <w:pPr>
              <w:pStyle w:val="Compact"/>
              <w:jc w:val="left"/>
            </w:pPr>
            <w:r>
              <w:t xml:space="preserve">0.29</w:t>
            </w:r>
          </w:p>
        </w:tc>
        <w:tc>
          <w:tcPr/>
          <w:p>
            <w:pPr>
              <w:pStyle w:val="Compact"/>
              <w:jc w:val="left"/>
            </w:pPr>
            <w:r>
              <w:t xml:space="preserve">0.42</w:t>
            </w:r>
          </w:p>
        </w:tc>
        <w:tc>
          <w:tcPr/>
          <w:p>
            <w:pPr>
              <w:pStyle w:val="Compact"/>
              <w:jc w:val="left"/>
            </w:pPr>
            <w:r>
              <w:t xml:space="preserve">0.55</w:t>
            </w:r>
          </w:p>
        </w:tc>
        <w:tc>
          <w:tcPr/>
          <w:p>
            <w:pPr>
              <w:pStyle w:val="Compact"/>
              <w:jc w:val="left"/>
            </w:pPr>
            <w:r>
              <w:t xml:space="preserve">0.72</w:t>
            </w:r>
          </w:p>
        </w:tc>
        <w:tc>
          <w:tcPr/>
          <w:p>
            <w:pPr>
              <w:pStyle w:val="Compact"/>
              <w:jc w:val="left"/>
            </w:pPr>
            <w:r>
              <w:t xml:space="preserve">0.80</w:t>
            </w:r>
          </w:p>
        </w:tc>
      </w:tr>
      <w:tr>
        <w:tc>
          <w:tcPr/>
          <w:p>
            <w:pPr>
              <w:pStyle w:val="Compact"/>
              <w:jc w:val="left"/>
            </w:pPr>
            <w:r>
              <w:t xml:space="preserve">0.30</w:t>
            </w:r>
          </w:p>
        </w:tc>
        <w:tc>
          <w:tcPr/>
          <w:p>
            <w:pPr>
              <w:pStyle w:val="Compact"/>
              <w:jc w:val="left"/>
            </w:pPr>
            <w:r>
              <w:t xml:space="preserve">0.39</w:t>
            </w:r>
          </w:p>
        </w:tc>
        <w:tc>
          <w:tcPr/>
          <w:p>
            <w:pPr>
              <w:pStyle w:val="Compact"/>
              <w:jc w:val="left"/>
            </w:pPr>
            <w:r>
              <w:t xml:space="preserve">0.52</w:t>
            </w:r>
          </w:p>
        </w:tc>
        <w:tc>
          <w:tcPr/>
          <w:p>
            <w:pPr>
              <w:pStyle w:val="Compact"/>
              <w:jc w:val="left"/>
            </w:pPr>
            <w:r>
              <w:t xml:space="preserve">0.64</w:t>
            </w:r>
          </w:p>
        </w:tc>
        <w:tc>
          <w:tcPr/>
          <w:p>
            <w:pPr>
              <w:pStyle w:val="Compact"/>
              <w:jc w:val="left"/>
            </w:pPr>
            <w:r>
              <w:t xml:space="preserve">0.78</w:t>
            </w:r>
          </w:p>
        </w:tc>
        <w:tc>
          <w:tcPr/>
          <w:p>
            <w:pPr>
              <w:pStyle w:val="Compact"/>
              <w:jc w:val="left"/>
            </w:pPr>
            <w:r>
              <w:t xml:space="preserve">0.85</w:t>
            </w:r>
          </w:p>
        </w:tc>
      </w:tr>
      <w:tr>
        <w:tc>
          <w:tcPr/>
          <w:p>
            <w:pPr>
              <w:pStyle w:val="Compact"/>
              <w:jc w:val="left"/>
            </w:pPr>
            <w:r>
              <w:t xml:space="preserve">0.40</w:t>
            </w:r>
          </w:p>
        </w:tc>
        <w:tc>
          <w:tcPr/>
          <w:p>
            <w:pPr>
              <w:pStyle w:val="Compact"/>
              <w:jc w:val="left"/>
            </w:pPr>
            <w:r>
              <w:t xml:space="preserve">0.48</w:t>
            </w:r>
          </w:p>
        </w:tc>
        <w:tc>
          <w:tcPr/>
          <w:p>
            <w:pPr>
              <w:pStyle w:val="Compact"/>
              <w:jc w:val="left"/>
            </w:pPr>
            <w:r>
              <w:t xml:space="preserve">0.60</w:t>
            </w:r>
          </w:p>
        </w:tc>
        <w:tc>
          <w:tcPr/>
          <w:p>
            <w:pPr>
              <w:pStyle w:val="Compact"/>
              <w:jc w:val="left"/>
            </w:pPr>
            <w:r>
              <w:t xml:space="preserve">0.71</w:t>
            </w:r>
          </w:p>
        </w:tc>
        <w:tc>
          <w:tcPr/>
          <w:p>
            <w:pPr>
              <w:pStyle w:val="Compact"/>
              <w:jc w:val="left"/>
            </w:pPr>
            <w:r>
              <w:t xml:space="preserve">0.83</w:t>
            </w:r>
          </w:p>
        </w:tc>
        <w:tc>
          <w:tcPr/>
          <w:p>
            <w:pPr>
              <w:pStyle w:val="Compact"/>
              <w:jc w:val="left"/>
            </w:pPr>
            <w:r>
              <w:t xml:space="preserve">0.88</w:t>
            </w:r>
          </w:p>
        </w:tc>
      </w:tr>
    </w:tbl>
    <w:p>
      <w:pPr>
        <w:pStyle w:val="BodyText"/>
      </w:pPr>
      <w:r>
        <w:rPr>
          <w:bCs/>
          <w:b/>
        </w:rPr>
        <w:t xml:space="preserve">Table C. Net efficiency after spillover</w:t>
      </w:r>
      <w:r>
        <w:t xml:space="preserve"> </w:t>
      </w:r>
      <w:r>
        <w:t xml:space="preserve">(values below 1.0 mean within-array is</w:t>
      </w:r>
      <w:r>
        <w:t xml:space="preserve"> </w:t>
      </w:r>
      <w:r>
        <w:rPr>
          <w:iCs/>
          <w:i/>
        </w:rPr>
        <w:t xml:space="preserve">worse</w:t>
      </w:r>
      <w:r>
        <w:t xml:space="preserve"> </w:t>
      </w:r>
      <w:r>
        <w:t xml:space="preserve">than between-subject).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φ=0</w:t>
            </w:r>
          </w:p>
        </w:tc>
        <w:tc>
          <w:tcPr/>
          <w:p>
            <w:pPr>
              <w:pStyle w:val="Compact"/>
              <w:jc w:val="left"/>
            </w:pPr>
            <w:r>
              <w:t xml:space="preserve">φ=0.25</w:t>
            </w:r>
          </w:p>
        </w:tc>
        <w:tc>
          <w:tcPr/>
          <w:p>
            <w:pPr>
              <w:pStyle w:val="Compact"/>
              <w:jc w:val="left"/>
            </w:pPr>
            <w:r>
              <w:t xml:space="preserve">φ=0.50</w:t>
            </w:r>
          </w:p>
        </w:tc>
        <w:tc>
          <w:tcPr/>
          <w:p>
            <w:pPr>
              <w:pStyle w:val="Compact"/>
              <w:jc w:val="left"/>
            </w:pPr>
            <w:r>
              <w:t xml:space="preserve">φ=0.75</w:t>
            </w:r>
          </w:p>
        </w:tc>
        <w:tc>
          <w:tcPr/>
          <w:p>
            <w:pPr>
              <w:pStyle w:val="Compact"/>
              <w:jc w:val="left"/>
            </w:pPr>
            <w:r>
              <w:t xml:space="preserve">φ=0.90</w:t>
            </w:r>
          </w:p>
        </w:tc>
      </w:tr>
      <w:tr>
        <w:tc>
          <w:tcPr/>
          <w:p>
            <w:pPr>
              <w:pStyle w:val="Compact"/>
              <w:jc w:val="left"/>
            </w:pPr>
            <w:r>
              <w:rPr>
                <w:bCs/>
                <w:b/>
              </w:rPr>
              <w:t xml:space="preserve">Rodent, m=4</w:t>
            </w:r>
            <w:r>
              <w:t xml:space="preserve">, ρ=0.20</w:t>
            </w:r>
          </w:p>
        </w:tc>
        <w:tc>
          <w:tcPr/>
          <w:p>
            <w:pPr>
              <w:pStyle w:val="Compact"/>
              <w:jc w:val="left"/>
            </w:pPr>
            <w:r>
              <w:t xml:space="preserve">2.0</w:t>
            </w:r>
          </w:p>
        </w:tc>
        <w:tc>
          <w:tcPr/>
          <w:p>
            <w:pPr>
              <w:pStyle w:val="Compact"/>
              <w:jc w:val="left"/>
            </w:pPr>
            <w:r>
              <w:t xml:space="preserve">1.1</w:t>
            </w:r>
          </w:p>
        </w:tc>
        <w:tc>
          <w:tcPr/>
          <w:p>
            <w:pPr>
              <w:pStyle w:val="Compact"/>
              <w:jc w:val="left"/>
            </w:pPr>
            <w:r>
              <w:t xml:space="preserve">0.5</w:t>
            </w:r>
          </w:p>
        </w:tc>
        <w:tc>
          <w:tcPr/>
          <w:p>
            <w:pPr>
              <w:pStyle w:val="Compact"/>
              <w:jc w:val="left"/>
            </w:pPr>
            <w:r>
              <w:t xml:space="preserve">0.1</w:t>
            </w:r>
          </w:p>
        </w:tc>
        <w:tc>
          <w:tcPr/>
          <w:p>
            <w:pPr>
              <w:pStyle w:val="Compact"/>
              <w:jc w:val="left"/>
            </w:pPr>
            <w:r>
              <w:t xml:space="preserve">0.02</w:t>
            </w:r>
          </w:p>
        </w:tc>
      </w:tr>
      <w:tr>
        <w:tc>
          <w:tcPr/>
          <w:p>
            <w:pPr>
              <w:pStyle w:val="Compact"/>
              <w:jc w:val="left"/>
            </w:pPr>
            <w:r>
              <w:rPr>
                <w:bCs/>
                <w:b/>
              </w:rPr>
              <w:t xml:space="preserve">Rodent, m=4</w:t>
            </w:r>
            <w:r>
              <w:t xml:space="preserve">, ρ=0.40</w:t>
            </w:r>
          </w:p>
        </w:tc>
        <w:tc>
          <w:tcPr/>
          <w:p>
            <w:pPr>
              <w:pStyle w:val="Compact"/>
              <w:jc w:val="left"/>
            </w:pPr>
            <w:r>
              <w:t xml:space="preserve">3.7</w:t>
            </w:r>
          </w:p>
        </w:tc>
        <w:tc>
          <w:tcPr/>
          <w:p>
            <w:pPr>
              <w:pStyle w:val="Compact"/>
              <w:jc w:val="left"/>
            </w:pPr>
            <w:r>
              <w:t xml:space="preserve">2.1</w:t>
            </w:r>
          </w:p>
        </w:tc>
        <w:tc>
          <w:tcPr/>
          <w:p>
            <w:pPr>
              <w:pStyle w:val="Compact"/>
              <w:jc w:val="left"/>
            </w:pPr>
            <w:r>
              <w:t xml:space="preserve">0.9</w:t>
            </w:r>
          </w:p>
        </w:tc>
        <w:tc>
          <w:tcPr/>
          <w:p>
            <w:pPr>
              <w:pStyle w:val="Compact"/>
              <w:jc w:val="left"/>
            </w:pPr>
            <w:r>
              <w:t xml:space="preserve">0.2</w:t>
            </w:r>
          </w:p>
        </w:tc>
        <w:tc>
          <w:tcPr/>
          <w:p>
            <w:pPr>
              <w:pStyle w:val="Compact"/>
              <w:jc w:val="left"/>
            </w:pPr>
            <w:r>
              <w:t xml:space="preserve">0.04</w:t>
            </w:r>
          </w:p>
        </w:tc>
      </w:tr>
      <w:tr>
        <w:tc>
          <w:tcPr/>
          <w:p>
            <w:pPr>
              <w:pStyle w:val="Compact"/>
              <w:jc w:val="left"/>
            </w:pPr>
            <w:r>
              <w:rPr>
                <w:bCs/>
                <w:b/>
              </w:rPr>
              <w:t xml:space="preserve">NHP Utah, m=48</w:t>
            </w:r>
            <w:r>
              <w:t xml:space="preserve">, ρ=0.20</w:t>
            </w:r>
          </w:p>
        </w:tc>
        <w:tc>
          <w:tcPr/>
          <w:p>
            <w:pPr>
              <w:pStyle w:val="Compact"/>
              <w:jc w:val="left"/>
            </w:pPr>
            <w:r>
              <w:t xml:space="preserve">13.0</w:t>
            </w:r>
          </w:p>
        </w:tc>
        <w:tc>
          <w:tcPr/>
          <w:p>
            <w:pPr>
              <w:pStyle w:val="Compact"/>
              <w:jc w:val="left"/>
            </w:pPr>
            <w:r>
              <w:t xml:space="preserve">7.3</w:t>
            </w:r>
          </w:p>
        </w:tc>
        <w:tc>
          <w:tcPr/>
          <w:p>
            <w:pPr>
              <w:pStyle w:val="Compact"/>
              <w:jc w:val="left"/>
            </w:pPr>
            <w:r>
              <w:t xml:space="preserve">3.3</w:t>
            </w:r>
          </w:p>
        </w:tc>
        <w:tc>
          <w:tcPr/>
          <w:p>
            <w:pPr>
              <w:pStyle w:val="Compact"/>
              <w:jc w:val="left"/>
            </w:pPr>
            <w:r>
              <w:t xml:space="preserve">0.8</w:t>
            </w:r>
          </w:p>
        </w:tc>
        <w:tc>
          <w:tcPr/>
          <w:p>
            <w:pPr>
              <w:pStyle w:val="Compact"/>
              <w:jc w:val="left"/>
            </w:pPr>
            <w:r>
              <w:t xml:space="preserve">0.13</w:t>
            </w:r>
          </w:p>
        </w:tc>
      </w:tr>
      <w:tr>
        <w:tc>
          <w:tcPr/>
          <w:p>
            <w:pPr>
              <w:pStyle w:val="Compact"/>
              <w:jc w:val="left"/>
            </w:pPr>
            <w:r>
              <w:rPr>
                <w:bCs/>
                <w:b/>
              </w:rPr>
              <w:t xml:space="preserve">NHP Utah, m=48</w:t>
            </w:r>
            <w:r>
              <w:t xml:space="preserve">, ρ=0.40</w:t>
            </w:r>
          </w:p>
        </w:tc>
        <w:tc>
          <w:tcPr/>
          <w:p>
            <w:pPr>
              <w:pStyle w:val="Compact"/>
              <w:jc w:val="left"/>
            </w:pPr>
            <w:r>
              <w:t xml:space="preserve">33.0</w:t>
            </w:r>
          </w:p>
        </w:tc>
        <w:tc>
          <w:tcPr/>
          <w:p>
            <w:pPr>
              <w:pStyle w:val="Compact"/>
              <w:jc w:val="left"/>
            </w:pPr>
            <w:r>
              <w:t xml:space="preserve">18.6</w:t>
            </w:r>
          </w:p>
        </w:tc>
        <w:tc>
          <w:tcPr/>
          <w:p>
            <w:pPr>
              <w:pStyle w:val="Compact"/>
              <w:jc w:val="left"/>
            </w:pPr>
            <w:r>
              <w:t xml:space="preserve">8.3</w:t>
            </w:r>
          </w:p>
        </w:tc>
        <w:tc>
          <w:tcPr/>
          <w:p>
            <w:pPr>
              <w:pStyle w:val="Compact"/>
              <w:jc w:val="left"/>
            </w:pPr>
            <w:r>
              <w:t xml:space="preserve">2.1</w:t>
            </w:r>
          </w:p>
        </w:tc>
        <w:tc>
          <w:tcPr/>
          <w:p>
            <w:pPr>
              <w:pStyle w:val="Compact"/>
              <w:jc w:val="left"/>
            </w:pPr>
            <w:r>
              <w:t xml:space="preserve">0.33</w:t>
            </w:r>
          </w:p>
        </w:tc>
      </w:tr>
    </w:tbl>
    <w:p>
      <w:pPr>
        <w:pStyle w:val="BodyText"/>
      </w:pPr>
      <w:r>
        <w:t xml:space="preserve">Read the rodent rows carefully. With four shanks you can tolerate only about 30-40% spillover before the design is a net loss. Your own histology reports GFAP extending beyond 150 µm against a 200 µm pitch, and your Chapter 3 limitations section already says the spacing</w:t>
      </w:r>
      <w:r>
        <w:t xml:space="preserve"> </w:t>
      </w:r>
      <w:r>
        <w:t xml:space="preserve">“</w:t>
      </w:r>
      <w:r>
        <w:t xml:space="preserve">might be too close to cleanly isolate gliosis morphology.</w:t>
      </w:r>
      <w:r>
        <w:t xml:space="preserve">”</w:t>
      </w:r>
      <w:r>
        <w:t xml:space="preserve"> </w:t>
      </w:r>
      <w:r>
        <w:t xml:space="preserve">Table C converts that worry into a number: if φ is 0.5 in the rodent cohort, the within-array design was</w:t>
      </w:r>
      <w:r>
        <w:t xml:space="preserve"> </w:t>
      </w:r>
      <w:r>
        <w:rPr>
          <w:iCs/>
          <w:i/>
        </w:rPr>
        <w:t xml:space="preserve">less</w:t>
      </w:r>
      <w:r>
        <w:t xml:space="preserve"> </w:t>
      </w:r>
      <w:r>
        <w:t xml:space="preserve">efficient than simply implanting more mice, and the TNP+L1 effect you measured is half its true size.</w:t>
      </w:r>
    </w:p>
    <w:p>
      <w:pPr>
        <w:pStyle w:val="BodyText"/>
      </w:pPr>
      <w:r>
        <w:t xml:space="preserve">The NHP array is in much better shape — 48 shanks per condition buys a large margin — but the pitch is 400 µm and the effect radius of L1 in primate cortex is unmeasured.</w:t>
      </w:r>
    </w:p>
    <w:p>
      <w:pPr>
        <w:pStyle w:val="BodyText"/>
      </w:pPr>
      <w:r>
        <w:rPr>
          <w:bCs/>
          <w:b/>
        </w:rPr>
        <w:t xml:space="preserve">This is also the most likely explanation for your within-array nulls that you have not yet excluded.</w:t>
      </w:r>
      <w:r>
        <w:t xml:space="preserve"> </w:t>
      </w:r>
      <w:r>
        <w:t xml:space="preserve">TNP vs TNP+L1 returned ns. An L1 effect attenuated by 50-70% spillover would look exactly like that.</w:t>
      </w:r>
    </w:p>
    <w:p>
      <w:r>
        <w:pict>
          <v:rect style="width:0;height:1.5pt" o:hralign="center" o:hrstd="t" o:hr="t"/>
        </w:pict>
      </w:r>
    </w:p>
    <w:bookmarkEnd w:id="22"/>
    <w:bookmarkStart w:id="23" w:name="X5d3be4e3c52e396ed397dccc0ff8246f5af8c9e"/>
    <w:p>
      <w:pPr>
        <w:pStyle w:val="Heading2"/>
      </w:pPr>
      <w:r>
        <w:t xml:space="preserve">4. What the design costs you: generalizability</w:t>
      </w:r>
    </w:p>
    <w:p>
      <w:pPr>
        <w:pStyle w:val="FirstParagraph"/>
      </w:pPr>
      <w:r>
        <w:t xml:space="preserve">Removing σ²</w:t>
      </w:r>
      <w:r>
        <w:t xml:space="preserve">D</w:t>
      </w:r>
      <w:r>
        <w:t xml:space="preserve"> </w:t>
      </w:r>
      <w:r>
        <w:t xml:space="preserve">from the contrast does not remove it from the world. If the treatment effect varies across arrays — τ</w:t>
      </w:r>
      <w:r>
        <w:rPr>
          <w:iCs/>
          <w:i/>
        </w:rPr>
        <w:t xml:space="preserve">ij</w:t>
      </w:r>
      <w:r>
        <w:t xml:space="preserve"> </w:t>
      </w:r>
      <w:r>
        <w:t xml:space="preserve">= τ + (τd)</w:t>
      </w:r>
      <w:r>
        <w:rPr>
          <w:iCs/>
          <w:i/>
        </w:rPr>
        <w:t xml:space="preserve">ij</w:t>
      </w:r>
      <w:r>
        <w:t xml:space="preserve"> </w:t>
      </w:r>
      <w:r>
        <w:t xml:space="preserve">with Var((τd)) = σ²</w:t>
      </w:r>
      <w:r>
        <w:t xml:space="preserve">τD</w:t>
      </w:r>
      <w:r>
        <w:t xml:space="preserve"> </w:t>
      </w:r>
      <w:r>
        <w:t xml:space="preserve">— then the within-array design estimates the effect</w:t>
      </w:r>
      <w:r>
        <w:t xml:space="preserve"> </w:t>
      </w:r>
      <w:r>
        <w:rPr>
          <w:iCs/>
          <w:i/>
        </w:rPr>
        <w:t xml:space="preserve">conditional on the arrays you happened to implant</w:t>
      </w:r>
      <w:r>
        <w:t xml:space="preserve">. Generalizing requires estimating σ²</w:t>
      </w:r>
      <w:r>
        <w:t xml:space="preserve">τD</w:t>
      </w:r>
      <w:r>
        <w:t xml:space="preserve">, which needs several arrays.</w:t>
      </w:r>
    </w:p>
    <w:p>
      <w:pPr>
        <w:pStyle w:val="BodyText"/>
      </w:pPr>
      <w:r>
        <w:t xml:space="preserve">With two arrays you have one degree of freedom for that term. You cannot estimate it, so you cannot claim the effect generalizes. This is not a technicality in your case:</w:t>
      </w:r>
      <w:r>
        <w:t xml:space="preserve"> </w:t>
      </w:r>
      <w:r>
        <w:rPr>
          <w:bCs/>
          <w:b/>
        </w:rPr>
        <w:t xml:space="preserve">you found a large treatment × context interaction</w:t>
      </w:r>
      <w:r>
        <w:t xml:space="preserve"> </w:t>
      </w:r>
      <w:r>
        <w:t xml:space="preserve">— the coating helps on interior shanks and not on perimeter shanks. That is direct evidence that σ²</w:t>
      </w:r>
      <w:r>
        <w:t xml:space="preserve">τD</w:t>
      </w:r>
      <w:r>
        <w:t xml:space="preserve"> </w:t>
      </w:r>
      <w:r>
        <w:t xml:space="preserve">is not zero, which means the conditional estimate from two arrays is exactly the thing that will not replicate.</w:t>
      </w:r>
    </w:p>
    <w:p>
      <w:pPr>
        <w:pStyle w:val="BodyText"/>
      </w:pPr>
      <w:r>
        <w:t xml:space="preserve">So the honest framing is that within-array trades a</w:t>
      </w:r>
      <w:r>
        <w:t xml:space="preserve"> </w:t>
      </w:r>
      <w:r>
        <w:rPr>
          <w:iCs/>
          <w:i/>
        </w:rPr>
        <w:t xml:space="preserve">variance</w:t>
      </w:r>
      <w:r>
        <w:t xml:space="preserve"> </w:t>
      </w:r>
      <w:r>
        <w:t xml:space="preserve">problem for a</w:t>
      </w:r>
      <w:r>
        <w:t xml:space="preserve"> </w:t>
      </w:r>
      <w:r>
        <w:rPr>
          <w:iCs/>
          <w:i/>
        </w:rPr>
        <w:t xml:space="preserve">generalizability</w:t>
      </w:r>
      <w:r>
        <w:t xml:space="preserve"> </w:t>
      </w:r>
      <w:r>
        <w:t xml:space="preserve">problem. It is the right trade when you want to know whether a material does anything at all, and the wrong trade when you want to know how big the effect is across devices.</w:t>
      </w:r>
    </w:p>
    <w:p>
      <w:r>
        <w:pict>
          <v:rect style="width:0;height:1.5pt" o:hralign="center" o:hrstd="t" o:hr="t"/>
        </w:pict>
      </w:r>
    </w:p>
    <w:bookmarkEnd w:id="23"/>
    <w:bookmarkStart w:id="24" w:name="the-misalignment-you-need-to-confront"/>
    <w:p>
      <w:pPr>
        <w:pStyle w:val="Heading2"/>
      </w:pPr>
      <w:r>
        <w:t xml:space="preserve">5. The misalignment you need to confront</w:t>
      </w:r>
    </w:p>
    <w:p>
      <w:pPr>
        <w:pStyle w:val="FirstParagraph"/>
      </w:pPr>
      <w:r>
        <w:t xml:space="preserve">Every positive electrophysiology and impedance result in Chapter 4 is a</w:t>
      </w:r>
      <w:r>
        <w:t xml:space="preserve"> </w:t>
      </w:r>
      <w:r>
        <w:rPr>
          <w:bCs/>
          <w:b/>
        </w:rPr>
        <w:t xml:space="preserve">between-array</w:t>
      </w:r>
      <w:r>
        <w:t xml:space="preserve"> </w:t>
      </w:r>
      <w:r>
        <w:t xml:space="preserve">contrast: TNP array versus non-TNP array, two arrays per condition, with condition perfectly confounded with implant location (non-TNP lateral/anterior and TNP medial/posterior in both animals). Every genuinely</w:t>
      </w:r>
      <w:r>
        <w:t xml:space="preserve"> </w:t>
      </w:r>
      <w:r>
        <w:rPr>
          <w:bCs/>
          <w:b/>
        </w:rPr>
        <w:t xml:space="preserve">within-array</w:t>
      </w:r>
      <w:r>
        <w:t xml:space="preserve"> </w:t>
      </w:r>
      <w:r>
        <w:t xml:space="preserve">contrast — TNP vs TNP+L1, control vs EDC/NHS+L1 — returned a null.</w:t>
      </w:r>
    </w:p>
    <w:p>
      <w:pPr>
        <w:pStyle w:val="BodyText"/>
      </w:pPr>
      <w:r>
        <w:t xml:space="preserve">The within-array design contributed nothing to the claim you lead with. Table A applies only to contrasts that can be co-located on one array. For TNP vs non-TNP you are back in the between-array row of the table, at n = 2, with a location confound. No amount of within-array machinery fixes that.</w:t>
      </w:r>
    </w:p>
    <w:p>
      <w:pPr>
        <w:pStyle w:val="BodyText"/>
      </w:pPr>
      <w:r>
        <w:t xml:space="preserve">There are only three ways out, and they are worth stating plainly because they determine what the paper can claim:</w:t>
      </w:r>
    </w:p>
    <w:p>
      <w:pPr>
        <w:numPr>
          <w:ilvl w:val="0"/>
          <w:numId w:val="1001"/>
        </w:numPr>
        <w:pStyle w:val="Compact"/>
      </w:pPr>
      <w:r>
        <w:rPr>
          <w:bCs/>
          <w:b/>
        </w:rPr>
        <w:t xml:space="preserve">Make TNP vs uncoated a within-array contrast.</w:t>
      </w:r>
      <w:r>
        <w:t xml:space="preserve"> </w:t>
      </w:r>
      <w:r>
        <w:t xml:space="preserve">Selectively coat alternating rows of a</w:t>
      </w:r>
      <w:r>
        <w:t xml:space="preserve"> </w:t>
      </w:r>
      <w:r>
        <w:rPr>
          <w:iCs/>
          <w:i/>
        </w:rPr>
        <w:t xml:space="preserve">single</w:t>
      </w:r>
      <w:r>
        <w:t xml:space="preserve"> </w:t>
      </w:r>
      <w:r>
        <w:t xml:space="preserve">array with TNP and leave the rest bare. Your apparatus can already do this; it is what the PEG transient masking was built for. This is the experiment that would actually vindicate the paradigm, and it is one array.</w:t>
      </w:r>
    </w:p>
    <w:p>
      <w:pPr>
        <w:numPr>
          <w:ilvl w:val="0"/>
          <w:numId w:val="1001"/>
        </w:numPr>
        <w:pStyle w:val="Compact"/>
      </w:pPr>
      <w:r>
        <w:rPr>
          <w:bCs/>
          <w:b/>
        </w:rPr>
        <w:t xml:space="preserve">Counterbalance implant location</w:t>
      </w:r>
      <w:r>
        <w:t xml:space="preserve"> </w:t>
      </w:r>
      <w:r>
        <w:t xml:space="preserve">across animals in any future cohort, so condition is not aliased with medial/lateral.</w:t>
      </w:r>
    </w:p>
    <w:p>
      <w:pPr>
        <w:numPr>
          <w:ilvl w:val="0"/>
          <w:numId w:val="1001"/>
        </w:numPr>
        <w:pStyle w:val="Compact"/>
      </w:pPr>
      <w:r>
        <w:rPr>
          <w:bCs/>
          <w:b/>
        </w:rPr>
        <w:t xml:space="preserve">Report the between-array comparison as what it is</w:t>
      </w:r>
      <w:r>
        <w:t xml:space="preserve"> </w:t>
      </w:r>
      <w:r>
        <w:t xml:space="preserve">— n = 2, confounded — and let the within-array nulls carry the methodological argument instead.</w:t>
      </w:r>
    </w:p>
    <w:p>
      <w:r>
        <w:pict>
          <v:rect style="width:0;height:1.5pt" o:hralign="center" o:hrstd="t" o:hr="t"/>
        </w:pict>
      </w:r>
    </w:p>
    <w:bookmarkEnd w:id="24"/>
    <w:bookmarkStart w:id="25" w:name="Xfb6793adf4f20f61885bbb03edfc45fd8da831d"/>
    <w:p>
      <w:pPr>
        <w:pStyle w:val="Heading2"/>
      </w:pPr>
      <w:r>
        <w:t xml:space="preserve">6. What the Orth paper does and does not support</w:t>
      </w:r>
    </w:p>
    <w:p>
      <w:pPr>
        <w:pStyle w:val="FirstParagraph"/>
      </w:pPr>
      <w:r>
        <w:t xml:space="preserve">Orth P, Zurakowski D, Alini M, Cucchiarini M, Madry H.</w:t>
      </w:r>
      <w:r>
        <w:t xml:space="preserve"> </w:t>
      </w:r>
      <w:r>
        <w:rPr>
          <w:iCs/>
          <w:i/>
        </w:rPr>
        <w:t xml:space="preserve">Reduction of sample size requirements by bilateral versus unilateral research designs in animal models for cartilage tissue engineering.</w:t>
      </w:r>
      <w:r>
        <w:t xml:space="preserve"> </w:t>
      </w:r>
      <w:r>
        <w:t xml:space="preserve">Tissue Eng Part C Methods 2013;19(11):885-891.</w:t>
      </w:r>
    </w:p>
    <w:p>
      <w:pPr>
        <w:pStyle w:val="BodyText"/>
      </w:pPr>
      <w:r>
        <w:t xml:space="preserve">I read it. Eighteen rabbits with osteochondral trochlear defects: 12 unilateral (12 animals, 12 defects) and 6 bilateral (6 animals, 12 defects), scored histologically at 3 weeks with the Sellers system. Headline: coefficient of variation of the total score was 26% unilateral versus 14% bilateral, a 1.9-fold difference, translating to up to 2.0-fold more joints and up to 3.9-fold more animals for the unilateral design.</w:t>
      </w:r>
    </w:p>
    <w:p>
      <w:pPr>
        <w:pStyle w:val="BodyText"/>
      </w:pPr>
      <w:r>
        <w:t xml:space="preserve">Four problems with using it as your support.</w:t>
      </w:r>
    </w:p>
    <w:p>
      <w:pPr>
        <w:pStyle w:val="BodyText"/>
      </w:pPr>
      <w:r>
        <w:rPr>
          <w:bCs/>
          <w:b/>
        </w:rPr>
        <w:t xml:space="preserve">It is one level up from your claim.</w:t>
      </w:r>
      <w:r>
        <w:t xml:space="preserve"> </w:t>
      </w:r>
      <w:r>
        <w:t xml:space="preserve">Bilateral versus unilateral removes σ²</w:t>
      </w:r>
      <w:r>
        <w:t xml:space="preserve">A</w:t>
      </w:r>
      <w:r>
        <w:t xml:space="preserve"> </w:t>
      </w:r>
      <w:r>
        <w:t xml:space="preserve">only. Your within-array claim also removes σ²</w:t>
      </w:r>
      <w:r>
        <w:t xml:space="preserve">D</w:t>
      </w:r>
      <w:r>
        <w:t xml:space="preserve">. Orth cannot speak to the device-level component, which for Utah arrays is probably the dominant one.</w:t>
      </w:r>
    </w:p>
    <w:p>
      <w:pPr>
        <w:pStyle w:val="BodyText"/>
      </w:pPr>
      <w:r>
        <w:rPr>
          <w:bCs/>
          <w:b/>
        </w:rPr>
        <w:t xml:space="preserve">The headline number is substantially a scale artifact.</w:t>
      </w:r>
      <w:r>
        <w:t xml:space="preserve"> </w:t>
      </w:r>
      <w:r>
        <w:t xml:space="preserve">The bilateral group’s mean total score was 19.115 ± 2.672 and the unilateral group’s was 12.171 ± 3.215 (p &lt; 0.001 between groups, their Table 2). The SD ratio is only 3.215/2.672 =</w:t>
      </w:r>
      <w:r>
        <w:t xml:space="preserve"> </w:t>
      </w:r>
      <w:r>
        <w:rPr>
          <w:bCs/>
          <w:b/>
        </w:rPr>
        <w:t xml:space="preserve">1.20</w:t>
      </w:r>
      <w:r>
        <w:t xml:space="preserve">, while the mean ratio is 1.57. Since %CV = SD/mean, the reported 1.9-fold %CV advantage decomposes as 1.20 × 1.57 — that is,</w:t>
      </w:r>
      <w:r>
        <w:t xml:space="preserve"> </w:t>
      </w:r>
      <w:r>
        <w:rPr>
          <w:bCs/>
          <w:b/>
        </w:rPr>
        <w:t xml:space="preserve">most of the apparent variability reduction comes from the bilateral animals healing worse, not from the design being more precise.</w:t>
      </w:r>
      <w:r>
        <w:t xml:space="preserve"> </w:t>
      </w:r>
      <w:r>
        <w:t xml:space="preserve">Two groups with significantly different means are not a clean basis for comparing dispersion.</w:t>
      </w:r>
    </w:p>
    <w:p>
      <w:pPr>
        <w:pStyle w:val="BodyText"/>
      </w:pPr>
      <w:r>
        <w:rPr>
          <w:bCs/>
          <w:b/>
        </w:rPr>
        <w:t xml:space="preserve">It never estimates the quantity that drives paired-design efficiency.</w:t>
      </w:r>
      <w:r>
        <w:t xml:space="preserve"> </w:t>
      </w:r>
      <w:r>
        <w:t xml:space="preserve">Paired-design power depends on the intra-animal correlation ρ through σ</w:t>
      </w:r>
      <w:r>
        <w:t xml:space="preserve">d</w:t>
      </w:r>
      <w:r>
        <w:t xml:space="preserve"> </w:t>
      </w:r>
      <w:r>
        <w:t xml:space="preserve">= σ√(2(1−ρ)). Orth computes %CV, not ρ, and then feeds</w:t>
      </w:r>
      <w:r>
        <w:t xml:space="preserve"> </w:t>
      </w:r>
      <w:r>
        <w:rPr>
          <w:iCs/>
          <w:i/>
        </w:rPr>
        <w:t xml:space="preserve">assumed</w:t>
      </w:r>
      <w:r>
        <w:t xml:space="preserve"> </w:t>
      </w:r>
      <w:r>
        <w:t xml:space="preserve">pooled SDs of 2, 3, 4 and 5 points into nQuery for both designs. The efficiency comparison is therefore not properly parameterized by the data.</w:t>
      </w:r>
    </w:p>
    <w:p>
      <w:pPr>
        <w:pStyle w:val="BodyText"/>
      </w:pPr>
      <w:r>
        <w:rPr>
          <w:bCs/>
          <w:b/>
        </w:rPr>
        <w:t xml:space="preserve">n = 6 bilateral animals.</w:t>
      </w:r>
      <w:r>
        <w:t xml:space="preserve"> </w:t>
      </w:r>
      <w:r>
        <w:t xml:space="preserve">A variance ratio on 5 degrees of freedom has a 95% interval spanning roughly a threefold range in SD.</w:t>
      </w:r>
    </w:p>
    <w:p>
      <w:pPr>
        <w:pStyle w:val="BodyText"/>
      </w:pPr>
      <w:r>
        <w:t xml:space="preserve">Keep the citation if you want a precedent that someone has asked this question in an animal model. Do not let it carry the quantitative claim. Derive your number from your own variance components instead — it will be stronger, it will be in your own system, and it is a genuinely novel contribution, because I could not find any prior work that gives the within-array neural-interface design a proper variance-components treatment.</w:t>
      </w:r>
    </w:p>
    <w:p>
      <w:r>
        <w:pict>
          <v:rect style="width:0;height:1.5pt" o:hralign="center" o:hrstd="t" o:hr="t"/>
        </w:pict>
      </w:r>
    </w:p>
    <w:bookmarkEnd w:id="25"/>
    <w:bookmarkStart w:id="32" w:name="the-analysis-plan"/>
    <w:p>
      <w:pPr>
        <w:pStyle w:val="Heading2"/>
      </w:pPr>
      <w:r>
        <w:t xml:space="preserve">7. The analysis plan</w:t>
      </w:r>
    </w:p>
    <w:p>
      <w:pPr>
        <w:pStyle w:val="FirstParagraph"/>
      </w:pPr>
      <w:r>
        <w:t xml:space="preserve">Six analyses. The first two are the ones that convert your verbal claim into a defensible one.</w:t>
      </w:r>
    </w:p>
    <w:bookmarkStart w:id="26" w:name="X4e30c4366dba64b95f7bbf87b5ce1b1b665aec9"/>
    <w:p>
      <w:pPr>
        <w:pStyle w:val="Heading3"/>
      </w:pPr>
      <w:r>
        <w:t xml:space="preserve">7.1 Estimate the variance components and report ICCs</w:t>
      </w:r>
    </w:p>
    <w:p>
      <w:pPr>
        <w:pStyle w:val="FirstParagraph"/>
      </w:pPr>
      <w:r>
        <w:t xml:space="preserve">Fit, on the longitudinal single-unit data you already have:</w:t>
      </w:r>
    </w:p>
    <w:p>
      <w:pPr>
        <w:pStyle w:val="SourceCode"/>
      </w:pPr>
      <w:r>
        <w:rPr>
          <w:rStyle w:val="FunctionTok"/>
        </w:rPr>
        <w:t xml:space="preserve">library</w:t>
      </w:r>
      <w:r>
        <w:rPr>
          <w:rStyle w:val="NormalTok"/>
        </w:rPr>
        <w:t xml:space="preserve">(lme4);  </w:t>
      </w:r>
      <w:r>
        <w:rPr>
          <w:rStyle w:val="FunctionTok"/>
        </w:rPr>
        <w:t xml:space="preserve">library</w:t>
      </w:r>
      <w:r>
        <w:rPr>
          <w:rStyle w:val="NormalTok"/>
        </w:rPr>
        <w:t xml:space="preserve">(performance)</w:t>
      </w:r>
      <w:r>
        <w:br/>
      </w:r>
      <w:r>
        <w:rPr>
          <w:rStyle w:val="CommentTok"/>
        </w:rPr>
        <w:t xml:space="preserve"># one row per channel per session</w:t>
      </w:r>
      <w:r>
        <w:br/>
      </w:r>
      <w:r>
        <w:rPr>
          <w:rStyle w:val="NormalTok"/>
        </w:rPr>
        <w:t xml:space="preserve">m0 </w:t>
      </w:r>
      <w:r>
        <w:rPr>
          <w:rStyle w:val="OtherTok"/>
        </w:rPr>
        <w:t xml:space="preserve">&lt;-</w:t>
      </w:r>
      <w:r>
        <w:rPr>
          <w:rStyle w:val="NormalTok"/>
        </w:rPr>
        <w:t xml:space="preserve"> </w:t>
      </w:r>
      <w:r>
        <w:rPr>
          <w:rStyle w:val="FunctionTok"/>
        </w:rPr>
        <w:t xml:space="preserve">lmer</w:t>
      </w:r>
      <w:r>
        <w:rPr>
          <w:rStyle w:val="NormalTok"/>
        </w:rPr>
        <w:t xml:space="preserve">(amplitude </w:t>
      </w:r>
      <w:r>
        <w:rPr>
          <w:rStyle w:val="SpecialCharTok"/>
        </w:rPr>
        <w:t xml:space="preserve">~</w:t>
      </w:r>
      <w:r>
        <w:rPr>
          <w:rStyle w:val="NormalTok"/>
        </w:rPr>
        <w:t xml:space="preserve"> condition </w:t>
      </w:r>
      <w:r>
        <w:rPr>
          <w:rStyle w:val="SpecialCharTok"/>
        </w:rPr>
        <w:t xml:space="preserve">*</w:t>
      </w:r>
      <w:r>
        <w:rPr>
          <w:rStyle w:val="NormalTok"/>
        </w:rPr>
        <w:t xml:space="preserve"> </w:t>
      </w:r>
      <w:r>
        <w:rPr>
          <w:rStyle w:val="FunctionTok"/>
        </w:rPr>
        <w:t xml:space="preserve">poly</w:t>
      </w:r>
      <w:r>
        <w:rPr>
          <w:rStyle w:val="NormalTok"/>
        </w:rPr>
        <w:t xml:space="preserve">(month, </w:t>
      </w:r>
      <w:r>
        <w:rPr>
          <w:rStyle w:val="DecValTok"/>
        </w:rPr>
        <w:t xml:space="preserve">2</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animal</w:t>
      </w:r>
      <w:r>
        <w:rPr>
          <w:rStyle w:val="SpecialCharTok"/>
        </w:rPr>
        <w:t xml:space="preserve">/</w:t>
      </w:r>
      <w:r>
        <w:rPr>
          <w:rStyle w:val="NormalTok"/>
        </w:rPr>
        <w:t xml:space="preserve">array</w:t>
      </w:r>
      <w:r>
        <w:rPr>
          <w:rStyle w:val="SpecialCharTok"/>
        </w:rPr>
        <w:t xml:space="preserve">/</w:t>
      </w:r>
      <w:r>
        <w:rPr>
          <w:rStyle w:val="NormalTok"/>
        </w:rPr>
        <w:t xml:space="preserve">shank), </w:t>
      </w:r>
      <w:r>
        <w:rPr>
          <w:rStyle w:val="AttributeTok"/>
        </w:rPr>
        <w:t xml:space="preserve">data =</w:t>
      </w:r>
      <w:r>
        <w:rPr>
          <w:rStyle w:val="NormalTok"/>
        </w:rPr>
        <w:t xml:space="preserve"> d, </w:t>
      </w:r>
      <w:r>
        <w:rPr>
          <w:rStyle w:val="AttributeTok"/>
        </w:rPr>
        <w:t xml:space="preserve">REML =</w:t>
      </w:r>
      <w:r>
        <w:rPr>
          <w:rStyle w:val="NormalTok"/>
        </w:rPr>
        <w:t xml:space="preserve"> </w:t>
      </w:r>
      <w:r>
        <w:rPr>
          <w:rStyle w:val="ConstantTok"/>
        </w:rPr>
        <w:t xml:space="preserve">TRUE</w:t>
      </w:r>
      <w:r>
        <w:rPr>
          <w:rStyle w:val="NormalTok"/>
        </w:rPr>
        <w:t xml:space="preserve">)</w:t>
      </w:r>
      <w:r>
        <w:br/>
      </w:r>
      <w:r>
        <w:rPr>
          <w:rStyle w:val="CommentTok"/>
        </w:rPr>
        <w:t xml:space="preserve">#   (1|animal/array/shank) expands to</w:t>
      </w:r>
      <w:r>
        <w:br/>
      </w:r>
      <w:r>
        <w:rPr>
          <w:rStyle w:val="CommentTok"/>
        </w:rPr>
        <w:t xml:space="preserve">#   (1|animal) + (1|animal:array) + (1|animal:array:shank)</w:t>
      </w:r>
      <w:r>
        <w:br/>
      </w:r>
      <w:r>
        <w:br/>
      </w:r>
      <w:r>
        <w:rPr>
          <w:rStyle w:val="FunctionTok"/>
        </w:rPr>
        <w:t xml:space="preserve">print</w:t>
      </w:r>
      <w:r>
        <w:rPr>
          <w:rStyle w:val="NormalTok"/>
        </w:rPr>
        <w:t xml:space="preserve">(</w:t>
      </w:r>
      <w:r>
        <w:rPr>
          <w:rStyle w:val="FunctionTok"/>
        </w:rPr>
        <w:t xml:space="preserve">VarCorr</w:t>
      </w:r>
      <w:r>
        <w:rPr>
          <w:rStyle w:val="NormalTok"/>
        </w:rPr>
        <w:t xml:space="preserve">(m0), </w:t>
      </w:r>
      <w:r>
        <w:rPr>
          <w:rStyle w:val="AttributeTok"/>
        </w:rPr>
        <w:t xml:space="preserve">comp =</w:t>
      </w:r>
      <w:r>
        <w:rPr>
          <w:rStyle w:val="NormalTok"/>
        </w:rPr>
        <w:t xml:space="preserve"> </w:t>
      </w:r>
      <w:r>
        <w:rPr>
          <w:rStyle w:val="StringTok"/>
        </w:rPr>
        <w:t xml:space="preserve">"Variance"</w:t>
      </w:r>
      <w:r>
        <w:rPr>
          <w:rStyle w:val="NormalTok"/>
        </w:rPr>
        <w:t xml:space="preserve">)      </w:t>
      </w:r>
      <w:r>
        <w:rPr>
          <w:rStyle w:val="CommentTok"/>
        </w:rPr>
        <w:t xml:space="preserve"># sigma^2_A, sigma^2_D, sigma^2_S, sigma^2_E</w:t>
      </w:r>
      <w:r>
        <w:br/>
      </w:r>
      <w:r>
        <w:rPr>
          <w:rStyle w:val="FunctionTok"/>
        </w:rPr>
        <w:t xml:space="preserve">confint</w:t>
      </w:r>
      <w:r>
        <w:rPr>
          <w:rStyle w:val="NormalTok"/>
        </w:rPr>
        <w:t xml:space="preserve">(m0, </w:t>
      </w:r>
      <w:r>
        <w:rPr>
          <w:rStyle w:val="AttributeTok"/>
        </w:rPr>
        <w:t xml:space="preserve">method =</w:t>
      </w:r>
      <w:r>
        <w:rPr>
          <w:rStyle w:val="NormalTok"/>
        </w:rPr>
        <w:t xml:space="preserve"> </w:t>
      </w:r>
      <w:r>
        <w:rPr>
          <w:rStyle w:val="StringTok"/>
        </w:rPr>
        <w:t xml:space="preserve">"profile"</w:t>
      </w:r>
      <w:r>
        <w:rPr>
          <w:rStyle w:val="NormalTok"/>
        </w:rPr>
        <w:t xml:space="preserve">, </w:t>
      </w:r>
      <w:r>
        <w:rPr>
          <w:rStyle w:val="AttributeTok"/>
        </w:rPr>
        <w:t xml:space="preserve">oldNames =</w:t>
      </w:r>
      <w:r>
        <w:rPr>
          <w:rStyle w:val="NormalTok"/>
        </w:rPr>
        <w:t xml:space="preserve"> </w:t>
      </w:r>
      <w:r>
        <w:rPr>
          <w:rStyle w:val="ConstantTok"/>
        </w:rPr>
        <w:t xml:space="preserve">FALSE</w:t>
      </w:r>
      <w:r>
        <w:rPr>
          <w:rStyle w:val="NormalTok"/>
        </w:rPr>
        <w:t xml:space="preserve">)   </w:t>
      </w:r>
      <w:r>
        <w:rPr>
          <w:rStyle w:val="CommentTok"/>
        </w:rPr>
        <w:t xml:space="preserve"># CIs on the variance components</w:t>
      </w:r>
    </w:p>
    <w:p>
      <w:pPr>
        <w:pStyle w:val="FirstParagraph"/>
      </w:pPr>
      <w:r>
        <w:t xml:space="preserve">Report σ̂²</w:t>
      </w:r>
      <w:r>
        <w:t xml:space="preserve">A</w:t>
      </w:r>
      <w:r>
        <w:t xml:space="preserve">, σ̂²</w:t>
      </w:r>
      <w:r>
        <w:t xml:space="preserve">D</w:t>
      </w:r>
      <w:r>
        <w:t xml:space="preserve">, σ̂²</w:t>
      </w:r>
      <w:r>
        <w:t xml:space="preserve">S</w:t>
      </w:r>
      <w:r>
        <w:t xml:space="preserve">, σ̂²</w:t>
      </w:r>
      <w:r>
        <w:t xml:space="preserve">E</w:t>
      </w:r>
      <w:r>
        <w:t xml:space="preserve"> </w:t>
      </w:r>
      <w:r>
        <w:t xml:space="preserve">with intervals, then ρ̂</w:t>
      </w:r>
      <w:r>
        <w:t xml:space="preserve">A</w:t>
      </w:r>
      <w:r>
        <w:t xml:space="preserve"> </w:t>
      </w:r>
      <w:r>
        <w:t xml:space="preserve">and ρ̂</w:t>
      </w:r>
      <w:r>
        <w:t xml:space="preserve">D</w:t>
      </w:r>
      <w:r>
        <w:t xml:space="preserve">, then read the efficiency straight off Table A. Two animals will give a poor σ̂²</w:t>
      </w:r>
      <w:r>
        <w:t xml:space="preserve">A</w:t>
      </w:r>
      <w:r>
        <w:t xml:space="preserve"> </w:t>
      </w:r>
      <w:r>
        <w:t xml:space="preserve">— say so, and report σ̂²</w:t>
      </w:r>
      <w:r>
        <w:t xml:space="preserve">D</w:t>
      </w:r>
      <w:r>
        <w:t xml:space="preserve">, which is what the within-array claim actually turns on and which you have four arrays to estimate. If you fold in Chapter 2’s four NHPs and eight arrays you get a far better σ̂²</w:t>
      </w:r>
      <w:r>
        <w:t xml:space="preserve">D</w:t>
      </w:r>
      <w:r>
        <w:t xml:space="preserve">, which is one more reason those datasets belong together.</w:t>
      </w:r>
    </w:p>
    <w:p>
      <w:pPr>
        <w:pStyle w:val="BodyText"/>
      </w:pPr>
      <w:r>
        <w:t xml:space="preserve">Profile-likelihood intervals on variance components are wide at this n. Report them honestly; a ρ̂</w:t>
      </w:r>
      <w:r>
        <w:t xml:space="preserve">D</w:t>
      </w:r>
      <w:r>
        <w:t xml:space="preserve"> </w:t>
      </w:r>
      <w:r>
        <w:t xml:space="preserve">of 0.3 with a CI of [0.05, 0.6] still supports</w:t>
      </w:r>
      <w:r>
        <w:t xml:space="preserve"> </w:t>
      </w:r>
      <w:r>
        <w:t xml:space="preserve">“</w:t>
      </w:r>
      <w:r>
        <w:t xml:space="preserve">between 3- and 30-fold,</w:t>
      </w:r>
      <w:r>
        <w:t xml:space="preserve">”</w:t>
      </w:r>
      <w:r>
        <w:t xml:space="preserve"> </w:t>
      </w:r>
      <w:r>
        <w:t xml:space="preserve">which is a real claim.</w:t>
      </w:r>
    </w:p>
    <w:bookmarkEnd w:id="26"/>
    <w:bookmarkStart w:id="27" w:name="estimate-the-spillover-fraction-φ"/>
    <w:p>
      <w:pPr>
        <w:pStyle w:val="Heading3"/>
      </w:pPr>
      <w:r>
        <w:t xml:space="preserve">7.2 Estimate the spillover fraction φ</w:t>
      </w:r>
    </w:p>
    <w:p>
      <w:pPr>
        <w:pStyle w:val="FirstParagraph"/>
      </w:pPr>
      <w:r>
        <w:t xml:space="preserve">You have the data for this and it is the analysis that decides whether your nulls mean anything.</w:t>
      </w:r>
    </w:p>
    <w:p>
      <w:pPr>
        <w:pStyle w:val="BodyText"/>
      </w:pPr>
      <w:r>
        <w:rPr>
          <w:bCs/>
          <w:b/>
        </w:rPr>
        <w:t xml:space="preserve">Rodent, Poly2 half-half cohort.</w:t>
      </w:r>
      <w:r>
        <w:t xml:space="preserve"> </w:t>
      </w:r>
      <w:r>
        <w:t xml:space="preserve">Shanks 1 and 2 are both TNP+L1, but shank 2 abuts the control block and shank 1 does not; symmetrically for controls. Fit</w:t>
      </w:r>
    </w:p>
    <w:p>
      <w:pPr>
        <w:pStyle w:val="SourceCode"/>
      </w:pPr>
      <w:r>
        <w:rPr>
          <w:rStyle w:val="NormalTok"/>
        </w:rPr>
        <w:t xml:space="preserve">m1 </w:t>
      </w:r>
      <w:r>
        <w:rPr>
          <w:rStyle w:val="OtherTok"/>
        </w:rPr>
        <w:t xml:space="preserve">&lt;-</w:t>
      </w:r>
      <w:r>
        <w:rPr>
          <w:rStyle w:val="NormalTok"/>
        </w:rPr>
        <w:t xml:space="preserve"> </w:t>
      </w:r>
      <w:r>
        <w:rPr>
          <w:rStyle w:val="FunctionTok"/>
        </w:rPr>
        <w:t xml:space="preserve">lmer</w:t>
      </w:r>
      <w:r>
        <w:rPr>
          <w:rStyle w:val="NormalTok"/>
        </w:rPr>
        <w:t xml:space="preserve">(gfap </w:t>
      </w:r>
      <w:r>
        <w:rPr>
          <w:rStyle w:val="SpecialCharTok"/>
        </w:rPr>
        <w:t xml:space="preserve">~</w:t>
      </w:r>
      <w:r>
        <w:rPr>
          <w:rStyle w:val="NormalTok"/>
        </w:rPr>
        <w:t xml:space="preserve"> condition </w:t>
      </w:r>
      <w:r>
        <w:rPr>
          <w:rStyle w:val="SpecialCharTok"/>
        </w:rPr>
        <w:t xml:space="preserve">*</w:t>
      </w:r>
      <w:r>
        <w:rPr>
          <w:rStyle w:val="NormalTok"/>
        </w:rPr>
        <w:t xml:space="preserve"> dist_to_nearest_opposite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animal</w:t>
      </w:r>
      <w:r>
        <w:rPr>
          <w:rStyle w:val="SpecialCharTok"/>
        </w:rPr>
        <w:t xml:space="preserve">/</w:t>
      </w:r>
      <w:r>
        <w:rPr>
          <w:rStyle w:val="NormalTok"/>
        </w:rPr>
        <w:t xml:space="preserve">array</w:t>
      </w:r>
      <w:r>
        <w:rPr>
          <w:rStyle w:val="SpecialCharTok"/>
        </w:rPr>
        <w:t xml:space="preserve">/</w:t>
      </w:r>
      <w:r>
        <w:rPr>
          <w:rStyle w:val="NormalTok"/>
        </w:rPr>
        <w:t xml:space="preserve">shank), </w:t>
      </w:r>
      <w:r>
        <w:rPr>
          <w:rStyle w:val="AttributeTok"/>
        </w:rPr>
        <w:t xml:space="preserve">data =</w:t>
      </w:r>
      <w:r>
        <w:rPr>
          <w:rStyle w:val="NormalTok"/>
        </w:rPr>
        <w:t xml:space="preserve"> h)</w:t>
      </w:r>
    </w:p>
    <w:p>
      <w:pPr>
        <w:pStyle w:val="FirstParagraph"/>
      </w:pPr>
      <w:r>
        <w:t xml:space="preserve">If the coating effect grows with distance from the treatment boundary, φ &gt; 0 and you can extrapolate the boundary-free effect from the fitted gradient. Your I.N.T.E.N.S.I.T.Y. radial-bin output is already in the right form — you have intensity as a function of distance in 10 µm bins out to 300 µm, which</w:t>
      </w:r>
      <w:r>
        <w:t xml:space="preserve"> </w:t>
      </w:r>
      <w:r>
        <w:rPr>
          <w:iCs/>
          <w:i/>
        </w:rPr>
        <w:t xml:space="preserve">is</w:t>
      </w:r>
      <w:r>
        <w:t xml:space="preserve"> </w:t>
      </w:r>
      <w:r>
        <w:t xml:space="preserve">the spillover kernel. Fit an exponential decay to it, read off the length constant λ, and compare 2λ to the 200 µm pitch.</w:t>
      </w:r>
    </w:p>
    <w:p>
      <w:pPr>
        <w:pStyle w:val="BodyText"/>
      </w:pPr>
      <w:r>
        <w:rPr>
          <w:bCs/>
          <w:b/>
        </w:rPr>
        <w:t xml:space="preserve">Note the design regression.</w:t>
      </w:r>
      <w:r>
        <w:t xml:space="preserve"> </w:t>
      </w:r>
      <w:r>
        <w:t xml:space="preserve">In an alternating pattern every shank has both neighbours of the opposite type, so φ is maximal</w:t>
      </w:r>
      <w:r>
        <w:t xml:space="preserve"> </w:t>
      </w:r>
      <w:r>
        <w:rPr>
          <w:iCs/>
          <w:i/>
        </w:rPr>
        <w:t xml:space="preserve">and</w:t>
      </w:r>
      <w:r>
        <w:t xml:space="preserve"> </w:t>
      </w:r>
      <w:r>
        <w:t xml:space="preserve">there is no internal contrast from which to estimate it. In a half-half pattern φ is smaller and the boundary provides a gradient. You moved from alternating to half-half in the rodent for exactly this reason, then went back to alternating for the NHP arrays. That is worth explaining or correcting.</w:t>
      </w:r>
    </w:p>
    <w:bookmarkEnd w:id="27"/>
    <w:bookmarkStart w:id="28" w:name="X619833734aecf3c471bb914c3019baa4f4cc508"/>
    <w:p>
      <w:pPr>
        <w:pStyle w:val="Heading3"/>
      </w:pPr>
      <w:r>
        <w:t xml:space="preserve">7.3 Adjust for position and test treatment × position</w:t>
      </w:r>
    </w:p>
    <w:p>
      <w:pPr>
        <w:pStyle w:val="SourceCode"/>
      </w:pPr>
      <w:r>
        <w:rPr>
          <w:rStyle w:val="NormalTok"/>
        </w:rPr>
        <w:t xml:space="preserve">m2 </w:t>
      </w:r>
      <w:r>
        <w:rPr>
          <w:rStyle w:val="OtherTok"/>
        </w:rPr>
        <w:t xml:space="preserve">&lt;-</w:t>
      </w:r>
      <w:r>
        <w:rPr>
          <w:rStyle w:val="NormalTok"/>
        </w:rPr>
        <w:t xml:space="preserve"> </w:t>
      </w:r>
      <w:r>
        <w:rPr>
          <w:rStyle w:val="FunctionTok"/>
        </w:rPr>
        <w:t xml:space="preserve">lmer</w:t>
      </w:r>
      <w:r>
        <w:rPr>
          <w:rStyle w:val="NormalTok"/>
        </w:rPr>
        <w:t xml:space="preserve">(amplitude </w:t>
      </w:r>
      <w:r>
        <w:rPr>
          <w:rStyle w:val="SpecialCharTok"/>
        </w:rPr>
        <w:t xml:space="preserve">~</w:t>
      </w:r>
      <w:r>
        <w:rPr>
          <w:rStyle w:val="NormalTok"/>
        </w:rPr>
        <w:t xml:space="preserve"> condition </w:t>
      </w:r>
      <w:r>
        <w:rPr>
          <w:rStyle w:val="SpecialCharTok"/>
        </w:rPr>
        <w:t xml:space="preserve">*</w:t>
      </w:r>
      <w:r>
        <w:rPr>
          <w:rStyle w:val="NormalTok"/>
        </w:rPr>
        <w:t xml:space="preserve"> region </w:t>
      </w:r>
      <w:r>
        <w:rPr>
          <w:rStyle w:val="SpecialCharTok"/>
        </w:rPr>
        <w:t xml:space="preserve">+</w:t>
      </w:r>
      <w:r>
        <w:rPr>
          <w:rStyle w:val="NormalTok"/>
        </w:rPr>
        <w:t xml:space="preserve"> condition </w:t>
      </w:r>
      <w:r>
        <w:rPr>
          <w:rStyle w:val="SpecialCharTok"/>
        </w:rPr>
        <w:t xml:space="preserve">*</w:t>
      </w:r>
      <w:r>
        <w:rPr>
          <w:rStyle w:val="NormalTok"/>
        </w:rPr>
        <w:t xml:space="preserve"> dist_to_tether</w:t>
      </w:r>
      <w:r>
        <w:br/>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animal</w:t>
      </w:r>
      <w:r>
        <w:rPr>
          <w:rStyle w:val="SpecialCharTok"/>
        </w:rPr>
        <w:t xml:space="preserve">/</w:t>
      </w:r>
      <w:r>
        <w:rPr>
          <w:rStyle w:val="NormalTok"/>
        </w:rPr>
        <w:t xml:space="preserve">array</w:t>
      </w:r>
      <w:r>
        <w:rPr>
          <w:rStyle w:val="SpecialCharTok"/>
        </w:rPr>
        <w:t xml:space="preserve">/</w:t>
      </w:r>
      <w:r>
        <w:rPr>
          <w:rStyle w:val="NormalTok"/>
        </w:rPr>
        <w:t xml:space="preserve">shank), </w:t>
      </w:r>
      <w:r>
        <w:rPr>
          <w:rStyle w:val="AttributeTok"/>
        </w:rPr>
        <w:t xml:space="preserve">data =</w:t>
      </w:r>
      <w:r>
        <w:rPr>
          <w:rStyle w:val="NormalTok"/>
        </w:rPr>
        <w:t xml:space="preserve"> d)     </w:t>
      </w:r>
      <w:r>
        <w:rPr>
          <w:rStyle w:val="CommentTok"/>
        </w:rPr>
        <w:t xml:space="preserve"># region = inner / outer</w:t>
      </w:r>
    </w:p>
    <w:p>
      <w:pPr>
        <w:pStyle w:val="FirstParagraph"/>
      </w:pPr>
      <w:r>
        <w:t xml:space="preserve">Your NHP coating stripes run parallel to the wire bundle, so L1 rows sit systematically at different tether distances than non-L1 rows. Given that you have demonstrated a strain gradient with Piezo1, that is a live confound of the within-array contrast, not a hypothetical one. Report the treatment effect adjusted for it, and report the interaction term as the formal version of your shielding-effect claim.</w:t>
      </w:r>
    </w:p>
    <w:bookmarkEnd w:id="28"/>
    <w:bookmarkStart w:id="29" w:name="equivalence-test-the-nulls"/>
    <w:p>
      <w:pPr>
        <w:pStyle w:val="Heading3"/>
      </w:pPr>
      <w:r>
        <w:t xml:space="preserve">7.4 Equivalence-test the nulls</w:t>
      </w:r>
    </w:p>
    <w:p>
      <w:pPr>
        <w:pStyle w:val="FirstParagraph"/>
      </w:pPr>
      <w:r>
        <w:t xml:space="preserve">“</w:t>
      </w:r>
      <w:r>
        <w:t xml:space="preserve">No significant difference</w:t>
      </w:r>
      <w:r>
        <w:t xml:space="preserve">”</w:t>
      </w:r>
      <w:r>
        <w:t xml:space="preserve"> </w:t>
      </w:r>
      <w:r>
        <w:t xml:space="preserve">is not evidence of absence. Use two one-sided tests against a smallest effect size of interest (Lakens 2017). A well-motivated SESOI available inside your own study: the TNP-versus-control effect measured in the same animals. Then the question becomes</w:t>
      </w:r>
      <w:r>
        <w:t xml:space="preserve"> </w:t>
      </w:r>
      <w:r>
        <w:t xml:space="preserve">“</w:t>
      </w:r>
      <w:r>
        <w:t xml:space="preserve">is the L1 increment smaller than 25% of the TNP effect?</w:t>
      </w:r>
      <w:r>
        <w:t xml:space="preserve">”</w:t>
      </w:r>
      <w:r>
        <w:t xml:space="preserve"> </w:t>
      </w:r>
      <w:r>
        <w:t xml:space="preserve">— a within-study, defensible threshold requiring no external benchmark.</w:t>
      </w:r>
    </w:p>
    <w:p>
      <w:pPr>
        <w:pStyle w:val="SourceCode"/>
      </w:pPr>
      <w:r>
        <w:rPr>
          <w:rStyle w:val="FunctionTok"/>
        </w:rPr>
        <w:t xml:space="preserve">library</w:t>
      </w:r>
      <w:r>
        <w:rPr>
          <w:rStyle w:val="NormalTok"/>
        </w:rPr>
        <w:t xml:space="preserve">(TOSTER)</w:t>
      </w:r>
      <w:r>
        <w:br/>
      </w:r>
      <w:r>
        <w:rPr>
          <w:rStyle w:val="FunctionTok"/>
        </w:rPr>
        <w:t xml:space="preserve">TOSTtwo</w:t>
      </w:r>
      <w:r>
        <w:rPr>
          <w:rStyle w:val="NormalTok"/>
        </w:rPr>
        <w:t xml:space="preserve">(</w:t>
      </w:r>
      <w:r>
        <w:rPr>
          <w:rStyle w:val="AttributeTok"/>
        </w:rPr>
        <w:t xml:space="preserve">m1 =</w:t>
      </w:r>
      <w:r>
        <w:rPr>
          <w:rStyle w:val="NormalTok"/>
        </w:rPr>
        <w:t xml:space="preserve"> mean_TNP_L1, </w:t>
      </w:r>
      <w:r>
        <w:rPr>
          <w:rStyle w:val="AttributeTok"/>
        </w:rPr>
        <w:t xml:space="preserve">m2 =</w:t>
      </w:r>
      <w:r>
        <w:rPr>
          <w:rStyle w:val="NormalTok"/>
        </w:rPr>
        <w:t xml:space="preserve"> mean_TNP, </w:t>
      </w:r>
      <w:r>
        <w:rPr>
          <w:rStyle w:val="AttributeTok"/>
        </w:rPr>
        <w:t xml:space="preserve">sd1 =</w:t>
      </w:r>
      <w:r>
        <w:rPr>
          <w:rStyle w:val="NormalTok"/>
        </w:rPr>
        <w:t xml:space="preserve"> , </w:t>
      </w:r>
      <w:r>
        <w:rPr>
          <w:rStyle w:val="AttributeTok"/>
        </w:rPr>
        <w:t xml:space="preserve">sd2 =</w:t>
      </w:r>
      <w:r>
        <w:rPr>
          <w:rStyle w:val="NormalTok"/>
        </w:rPr>
        <w:t xml:space="preserve"> , </w:t>
      </w:r>
      <w:r>
        <w:rPr>
          <w:rStyle w:val="AttributeTok"/>
        </w:rPr>
        <w:t xml:space="preserve">n1 =</w:t>
      </w:r>
      <w:r>
        <w:rPr>
          <w:rStyle w:val="NormalTok"/>
        </w:rPr>
        <w:t xml:space="preserve"> , </w:t>
      </w:r>
      <w:r>
        <w:rPr>
          <w:rStyle w:val="AttributeTok"/>
        </w:rPr>
        <w:t xml:space="preserve">n2 =</w:t>
      </w:r>
      <w:r>
        <w:rPr>
          <w:rStyle w:val="NormalTok"/>
        </w:rPr>
        <w:t xml:space="preserve"> ,</w:t>
      </w:r>
      <w:r>
        <w:br/>
      </w:r>
      <w:r>
        <w:rPr>
          <w:rStyle w:val="NormalTok"/>
        </w:rPr>
        <w:t xml:space="preserve">        </w:t>
      </w:r>
      <w:r>
        <w:rPr>
          <w:rStyle w:val="AttributeTok"/>
        </w:rPr>
        <w:t xml:space="preserve">low_eqbound_d =</w:t>
      </w:r>
      <w:r>
        <w:rPr>
          <w:rStyle w:val="NormalTok"/>
        </w:rPr>
        <w:t xml:space="preserve"> </w:t>
      </w:r>
      <w:r>
        <w:rPr>
          <w:rStyle w:val="SpecialCharTok"/>
        </w:rPr>
        <w:t xml:space="preserve">-</w:t>
      </w:r>
      <w:r>
        <w:rPr>
          <w:rStyle w:val="FloatTok"/>
        </w:rPr>
        <w:t xml:space="preserve">0.25</w:t>
      </w:r>
      <w:r>
        <w:rPr>
          <w:rStyle w:val="NormalTok"/>
        </w:rPr>
        <w:t xml:space="preserve">, </w:t>
      </w:r>
      <w:r>
        <w:rPr>
          <w:rStyle w:val="AttributeTok"/>
        </w:rPr>
        <w:t xml:space="preserve">high_eqbound_d =</w:t>
      </w:r>
      <w:r>
        <w:rPr>
          <w:rStyle w:val="NormalTok"/>
        </w:rPr>
        <w:t xml:space="preserve"> </w:t>
      </w:r>
      <w:r>
        <w:rPr>
          <w:rStyle w:val="FloatTok"/>
        </w:rPr>
        <w:t xml:space="preserve">0.25</w:t>
      </w:r>
      <w:r>
        <w:rPr>
          <w:rStyle w:val="NormalTok"/>
        </w:rPr>
        <w:t xml:space="preserve">)</w:t>
      </w:r>
    </w:p>
    <w:p>
      <w:pPr>
        <w:pStyle w:val="FirstParagraph"/>
      </w:pPr>
      <w:r>
        <w:t xml:space="preserve">If the interval excludes the SESOI you can claim equivalence, which is a genuine positive finding. If it does not, you are underpowered and must say so.</w:t>
      </w:r>
    </w:p>
    <w:bookmarkEnd w:id="29"/>
    <w:bookmarkStart w:id="30" w:name="X7799617b7a4f5218f7d724c8f7222aa5d7c7865"/>
    <w:p>
      <w:pPr>
        <w:pStyle w:val="Heading3"/>
      </w:pPr>
      <w:r>
        <w:t xml:space="preserve">7.5 Report the minimum detectable effect achieved</w:t>
      </w:r>
    </w:p>
    <w:p>
      <w:pPr>
        <w:pStyle w:val="FirstParagraph"/>
      </w:pPr>
      <w:r>
        <w:t xml:space="preserve">For the within-array design, MDE at 80% power and α = 0.05 two-sided is 5.60/√(m·n</w:t>
      </w:r>
      <w:r>
        <w:t xml:space="preserve">arrays</w:t>
      </w:r>
      <w:r>
        <w:t xml:space="preserve">) in units of the within-array SD σ</w:t>
      </w:r>
      <w:r>
        <w:t xml:space="preserve">w</w:t>
      </w:r>
      <w:r>
        <w:t xml:space="preserve"> </w:t>
      </w:r>
      <w:r>
        <w:t xml:space="preserve">= √(σ²</w:t>
      </w:r>
      <w:r>
        <w:t xml:space="preserve">S</w:t>
      </w:r>
      <w:r>
        <w:t xml:space="preserve">+σ²</w:t>
      </w:r>
      <w:r>
        <w:t xml:space="preserve">E</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shanks/array</w:t>
            </w:r>
          </w:p>
        </w:tc>
        <w:tc>
          <w:tcPr/>
          <w:p>
            <w:pPr>
              <w:pStyle w:val="Compact"/>
              <w:jc w:val="left"/>
            </w:pPr>
            <w:r>
              <w:t xml:space="preserve">1 array</w:t>
            </w:r>
          </w:p>
        </w:tc>
        <w:tc>
          <w:tcPr/>
          <w:p>
            <w:pPr>
              <w:pStyle w:val="Compact"/>
              <w:jc w:val="left"/>
            </w:pPr>
            <w:r>
              <w:t xml:space="preserve">2 arrays</w:t>
            </w:r>
          </w:p>
        </w:tc>
        <w:tc>
          <w:tcPr/>
          <w:p>
            <w:pPr>
              <w:pStyle w:val="Compact"/>
              <w:jc w:val="left"/>
            </w:pPr>
            <w:r>
              <w:t xml:space="preserve">4 arrays</w:t>
            </w:r>
          </w:p>
        </w:tc>
        <w:tc>
          <w:tcPr/>
          <w:p>
            <w:pPr>
              <w:pStyle w:val="Compact"/>
              <w:jc w:val="left"/>
            </w:pPr>
            <w:r>
              <w:t xml:space="preserve">8 arrays</w:t>
            </w:r>
          </w:p>
        </w:tc>
      </w:tr>
      <w:tr>
        <w:tc>
          <w:tcPr/>
          <w:p>
            <w:pPr>
              <w:pStyle w:val="Compact"/>
              <w:jc w:val="left"/>
            </w:pPr>
            <w:r>
              <w:t xml:space="preserve">4</w:t>
            </w:r>
          </w:p>
        </w:tc>
        <w:tc>
          <w:tcPr/>
          <w:p>
            <w:pPr>
              <w:pStyle w:val="Compact"/>
              <w:jc w:val="left"/>
            </w:pPr>
            <w:r>
              <w:t xml:space="preserve">2.80</w:t>
            </w:r>
          </w:p>
        </w:tc>
        <w:tc>
          <w:tcPr/>
          <w:p>
            <w:pPr>
              <w:pStyle w:val="Compact"/>
              <w:jc w:val="left"/>
            </w:pPr>
            <w:r>
              <w:t xml:space="preserve">1.98</w:t>
            </w:r>
          </w:p>
        </w:tc>
        <w:tc>
          <w:tcPr/>
          <w:p>
            <w:pPr>
              <w:pStyle w:val="Compact"/>
              <w:jc w:val="left"/>
            </w:pPr>
            <w:r>
              <w:t xml:space="preserve">1.40</w:t>
            </w:r>
          </w:p>
        </w:tc>
        <w:tc>
          <w:tcPr/>
          <w:p>
            <w:pPr>
              <w:pStyle w:val="Compact"/>
              <w:jc w:val="left"/>
            </w:pPr>
            <w:r>
              <w:t xml:space="preserve">0.99</w:t>
            </w:r>
          </w:p>
        </w:tc>
      </w:tr>
      <w:tr>
        <w:tc>
          <w:tcPr/>
          <w:p>
            <w:pPr>
              <w:pStyle w:val="Compact"/>
              <w:jc w:val="left"/>
            </w:pPr>
            <w:r>
              <w:t xml:space="preserve">8</w:t>
            </w:r>
          </w:p>
        </w:tc>
        <w:tc>
          <w:tcPr/>
          <w:p>
            <w:pPr>
              <w:pStyle w:val="Compact"/>
              <w:jc w:val="left"/>
            </w:pPr>
            <w:r>
              <w:t xml:space="preserve">1.98</w:t>
            </w:r>
          </w:p>
        </w:tc>
        <w:tc>
          <w:tcPr/>
          <w:p>
            <w:pPr>
              <w:pStyle w:val="Compact"/>
              <w:jc w:val="left"/>
            </w:pPr>
            <w:r>
              <w:t xml:space="preserve">1.40</w:t>
            </w:r>
          </w:p>
        </w:tc>
        <w:tc>
          <w:tcPr/>
          <w:p>
            <w:pPr>
              <w:pStyle w:val="Compact"/>
              <w:jc w:val="left"/>
            </w:pPr>
            <w:r>
              <w:t xml:space="preserve">0.99</w:t>
            </w:r>
          </w:p>
        </w:tc>
        <w:tc>
          <w:tcPr/>
          <w:p>
            <w:pPr>
              <w:pStyle w:val="Compact"/>
              <w:jc w:val="left"/>
            </w:pPr>
            <w:r>
              <w:t xml:space="preserve">0.70</w:t>
            </w:r>
          </w:p>
        </w:tc>
      </w:tr>
      <w:tr>
        <w:tc>
          <w:tcPr/>
          <w:p>
            <w:pPr>
              <w:pStyle w:val="Compact"/>
              <w:jc w:val="left"/>
            </w:pPr>
            <w:r>
              <w:t xml:space="preserve">16</w:t>
            </w:r>
          </w:p>
        </w:tc>
        <w:tc>
          <w:tcPr/>
          <w:p>
            <w:pPr>
              <w:pStyle w:val="Compact"/>
              <w:jc w:val="left"/>
            </w:pPr>
            <w:r>
              <w:t xml:space="preserve">1.40</w:t>
            </w:r>
          </w:p>
        </w:tc>
        <w:tc>
          <w:tcPr/>
          <w:p>
            <w:pPr>
              <w:pStyle w:val="Compact"/>
              <w:jc w:val="left"/>
            </w:pPr>
            <w:r>
              <w:t xml:space="preserve">0.99</w:t>
            </w:r>
          </w:p>
        </w:tc>
        <w:tc>
          <w:tcPr/>
          <w:p>
            <w:pPr>
              <w:pStyle w:val="Compact"/>
              <w:jc w:val="left"/>
            </w:pPr>
            <w:r>
              <w:t xml:space="preserve">0.70</w:t>
            </w:r>
          </w:p>
        </w:tc>
        <w:tc>
          <w:tcPr/>
          <w:p>
            <w:pPr>
              <w:pStyle w:val="Compact"/>
              <w:jc w:val="left"/>
            </w:pPr>
            <w:r>
              <w:t xml:space="preserve">0.49</w:t>
            </w:r>
          </w:p>
        </w:tc>
      </w:tr>
      <w:tr>
        <w:tc>
          <w:tcPr/>
          <w:p>
            <w:pPr>
              <w:pStyle w:val="Compact"/>
              <w:jc w:val="left"/>
            </w:pPr>
            <w:r>
              <w:t xml:space="preserve">48</w:t>
            </w:r>
          </w:p>
        </w:tc>
        <w:tc>
          <w:tcPr/>
          <w:p>
            <w:pPr>
              <w:pStyle w:val="Compact"/>
              <w:jc w:val="left"/>
            </w:pPr>
            <w:r>
              <w:t xml:space="preserve">0.81</w:t>
            </w:r>
          </w:p>
        </w:tc>
        <w:tc>
          <w:tcPr/>
          <w:p>
            <w:pPr>
              <w:pStyle w:val="Compact"/>
              <w:jc w:val="left"/>
            </w:pPr>
            <w:r>
              <w:t xml:space="preserve">0.57</w:t>
            </w:r>
          </w:p>
        </w:tc>
        <w:tc>
          <w:tcPr/>
          <w:p>
            <w:pPr>
              <w:pStyle w:val="Compact"/>
              <w:jc w:val="left"/>
            </w:pPr>
            <w:r>
              <w:t xml:space="preserve">0.40</w:t>
            </w:r>
          </w:p>
        </w:tc>
        <w:tc>
          <w:tcPr/>
          <w:p>
            <w:pPr>
              <w:pStyle w:val="Compact"/>
              <w:jc w:val="left"/>
            </w:pPr>
            <w:r>
              <w:t xml:space="preserve">0.29</w:t>
            </w:r>
          </w:p>
        </w:tc>
      </w:tr>
      <w:tr>
        <w:tc>
          <w:tcPr/>
          <w:p>
            <w:pPr>
              <w:pStyle w:val="Compact"/>
              <w:jc w:val="left"/>
            </w:pPr>
            <w:r>
              <w:t xml:space="preserve">96</w:t>
            </w:r>
          </w:p>
        </w:tc>
        <w:tc>
          <w:tcPr/>
          <w:p>
            <w:pPr>
              <w:pStyle w:val="Compact"/>
              <w:jc w:val="left"/>
            </w:pPr>
            <w:r>
              <w:t xml:space="preserve">0.57</w:t>
            </w:r>
          </w:p>
        </w:tc>
        <w:tc>
          <w:tcPr/>
          <w:p>
            <w:pPr>
              <w:pStyle w:val="Compact"/>
              <w:jc w:val="left"/>
            </w:pPr>
            <w:r>
              <w:t xml:space="preserve">0.40</w:t>
            </w:r>
          </w:p>
        </w:tc>
        <w:tc>
          <w:tcPr/>
          <w:p>
            <w:pPr>
              <w:pStyle w:val="Compact"/>
              <w:jc w:val="left"/>
            </w:pPr>
            <w:r>
              <w:t xml:space="preserve">0.29</w:t>
            </w:r>
          </w:p>
        </w:tc>
        <w:tc>
          <w:tcPr/>
          <w:p>
            <w:pPr>
              <w:pStyle w:val="Compact"/>
              <w:jc w:val="left"/>
            </w:pPr>
            <w:r>
              <w:t xml:space="preserve">0.20</w:t>
            </w:r>
          </w:p>
        </w:tc>
      </w:tr>
    </w:tbl>
    <w:p>
      <w:pPr>
        <w:pStyle w:val="BodyText"/>
      </w:pPr>
      <w:r>
        <w:t xml:space="preserve">Your NHP TNP vs TNP+L1 comparison, at 96 shanks across two arrays, has an MDE of roughly 0.40 σ</w:t>
      </w:r>
      <w:r>
        <w:t xml:space="preserve">w</w:t>
      </w:r>
      <w:r>
        <w:t xml:space="preserve"> </w:t>
      </w:r>
      <w:r>
        <w:t xml:space="preserve">— before spillover attenuation. Multiply by 1/(1−φ̂) once you have φ̂. Stating</w:t>
      </w:r>
      <w:r>
        <w:t xml:space="preserve"> </w:t>
      </w:r>
      <w:r>
        <w:t xml:space="preserve">“</w:t>
      </w:r>
      <w:r>
        <w:t xml:space="preserve">we could have detected 0.4 SD and did not</w:t>
      </w:r>
      <w:r>
        <w:t xml:space="preserve">”</w:t>
      </w:r>
      <w:r>
        <w:t xml:space="preserve"> </w:t>
      </w:r>
      <w:r>
        <w:t xml:space="preserve">is a far stronger sentence than</w:t>
      </w:r>
      <w:r>
        <w:t xml:space="preserve"> </w:t>
      </w:r>
      <w:r>
        <w:t xml:space="preserve">“</w:t>
      </w:r>
      <w:r>
        <w:t xml:space="preserve">p &gt; 0.05.</w:t>
      </w:r>
      <w:r>
        <w:t xml:space="preserve">”</w:t>
      </w:r>
    </w:p>
    <w:bookmarkEnd w:id="30"/>
    <w:bookmarkStart w:id="31" w:name="state-the-replication-unit-explicitly"/>
    <w:p>
      <w:pPr>
        <w:pStyle w:val="Heading3"/>
      </w:pPr>
      <w:r>
        <w:t xml:space="preserve">7.6 State the replication unit explicitly</w:t>
      </w:r>
    </w:p>
    <w:p>
      <w:pPr>
        <w:pStyle w:val="FirstParagraph"/>
      </w:pPr>
      <w:r>
        <w:t xml:space="preserve">Your figure captions report N = 96 shanks and N = 44-46 images. Shanks within an array and images within an animal are not independent replicates; treating them as such inflates Type I error dramatically — Aarts et al. 2014 show rates reaching 80% at a nominal 5% when nesting is ignored. Every model above handles this correctly via the random effects, but the captions need to say what the sampling unit was.</w:t>
      </w:r>
    </w:p>
    <w:p>
      <w:r>
        <w:pict>
          <v:rect style="width:0;height:1.5pt" o:hralign="center" o:hrstd="t" o:hr="t"/>
        </w:pict>
      </w:r>
    </w:p>
    <w:bookmarkEnd w:id="31"/>
    <w:bookmarkEnd w:id="32"/>
    <w:bookmarkStart w:id="33" w:name="the-claim-you-can-defend"/>
    <w:p>
      <w:pPr>
        <w:pStyle w:val="Heading2"/>
      </w:pPr>
      <w:r>
        <w:t xml:space="preserve">8. The claim you can defend</w:t>
      </w:r>
    </w:p>
    <w:p>
      <w:pPr>
        <w:pStyle w:val="FirstParagraph"/>
      </w:pPr>
      <w:r>
        <w:t xml:space="preserve">Not this:</w:t>
      </w:r>
    </w:p>
    <w:p>
      <w:pPr>
        <w:pStyle w:val="BlockText"/>
      </w:pPr>
      <w:r>
        <w:t xml:space="preserve">“</w:t>
      </w:r>
      <w:r>
        <w:t xml:space="preserve">The within-array paradigm eliminates confounds and reduces the number of arrays needed, and is therefore superior to between-array and between-subject designs.</w:t>
      </w:r>
      <w:r>
        <w:t xml:space="preserve">”</w:t>
      </w:r>
    </w:p>
    <w:p>
      <w:pPr>
        <w:pStyle w:val="FirstParagraph"/>
      </w:pPr>
      <w:r>
        <w:t xml:space="preserve">But this:</w:t>
      </w:r>
    </w:p>
    <w:p>
      <w:pPr>
        <w:pStyle w:val="BlockText"/>
      </w:pPr>
      <w:r>
        <w:t xml:space="preserve">“</w:t>
      </w:r>
      <w:r>
        <w:t xml:space="preserve">Assigning surface conditions within a single array removes the animal- and device-level variance components from the treatment contrast by construction. In our data these components accounted for ρ̂ = X (95% CI …) of the total variance in unit amplitude, so a between-subject design would require N-fold more animals for equivalent precision on the same contrast (Table). This advantage is conditional on the biological effect radius being small relative to the inter-shank pitch; we estimated a GFAP length constant of λ̂ = Y µm against a pitch of 200 µm, implying a spillover fraction of φ̂ = Z and a net efficiency gain of W-fold. The design estimates an effect conditional on the arrays tested; with A arrays we could not exclude a treatment × array interaction of size σ̂²</w:t>
      </w:r>
      <w:r>
        <w:t xml:space="preserve">τD</w:t>
      </w:r>
      <w:r>
        <w:t xml:space="preserve">.</w:t>
      </w:r>
      <w:r>
        <w:t xml:space="preserve">”</w:t>
      </w:r>
    </w:p>
    <w:p>
      <w:pPr>
        <w:pStyle w:val="FirstParagraph"/>
      </w:pPr>
      <w:r>
        <w:t xml:space="preserve">Every clause there is checkable, and the last two are the ones reviewers will look for. A paper that reports a</w:t>
      </w:r>
      <w:r>
        <w:t xml:space="preserve"> </w:t>
      </w:r>
      <w:r>
        <w:rPr>
          <w:iCs/>
          <w:i/>
        </w:rPr>
        <w:t xml:space="preserve">smaller</w:t>
      </w:r>
      <w:r>
        <w:t xml:space="preserve"> </w:t>
      </w:r>
      <w:r>
        <w:t xml:space="preserve">efficiency gain honestly derived is more persuasive than one asserting a large gain from a rabbit-knee citation.</w:t>
      </w:r>
    </w:p>
    <w:bookmarkEnd w:id="33"/>
    <w:bookmarkStart w:id="34" w:name="what-this-does-for-your-null"/>
    <w:p>
      <w:pPr>
        <w:pStyle w:val="Heading2"/>
      </w:pPr>
      <w:r>
        <w:t xml:space="preserve">9. What this does for your null</w:t>
      </w:r>
    </w:p>
    <w:p>
      <w:pPr>
        <w:pStyle w:val="FirstParagraph"/>
      </w:pPr>
      <w:r>
        <w:t xml:space="preserve">The variance-components analysis is what converts your null from a failure into the finding. A null from a high-precision design carries information; a null from a noisy one does not. Once you can write</w:t>
      </w:r>
      <w:r>
        <w:t xml:space="preserve"> </w:t>
      </w:r>
      <w:r>
        <w:t xml:space="preserve">“</w:t>
      </w:r>
      <w:r>
        <w:t xml:space="preserve">the within-array design achieved a minimum detectable effect of 0.4 SD on two animals, which a between-subject design would have needed roughly 25 animals to match, and within that resolution L1 adds nothing detectable over the TNP base layer</w:t>
      </w:r>
      <w:r>
        <w:t xml:space="preserve">”</w:t>
      </w:r>
      <w:r>
        <w:t xml:space="preserve"> </w:t>
      </w:r>
      <w:r>
        <w:t xml:space="preserve">— that is a substantive, quantitative, publishable claim about the biology</w:t>
      </w:r>
      <w:r>
        <w:t xml:space="preserve"> </w:t>
      </w:r>
      <w:r>
        <w:rPr>
          <w:iCs/>
          <w:i/>
        </w:rPr>
        <w:t xml:space="preserve">and</w:t>
      </w:r>
      <w:r>
        <w:t xml:space="preserve"> </w:t>
      </w:r>
      <w:r>
        <w:t xml:space="preserve">a demonstration of the method in the same sentence. It is a better paper than a marginal positive.</w:t>
      </w:r>
    </w:p>
    <w:p>
      <w:pPr>
        <w:pStyle w:val="BodyText"/>
      </w:pPr>
      <w:r>
        <w:t xml:space="preserve">The order of operations matters: estimate φ first. If spillover turns out to be large, the null is uninterpretable and the methodological claim needs qualifying rather than defending.</w:t>
      </w:r>
    </w:p>
    <w:p>
      <w:r>
        <w:pict>
          <v:rect style="width:0;height:1.5pt" o:hralign="center" o:hrstd="t" o:hr="t"/>
        </w:pict>
      </w:r>
    </w:p>
    <w:bookmarkEnd w:id="34"/>
    <w:bookmarkStart w:id="35" w:name="references"/>
    <w:p>
      <w:pPr>
        <w:pStyle w:val="Heading2"/>
      </w:pPr>
      <w:r>
        <w:t xml:space="preserve">References</w:t>
      </w:r>
    </w:p>
    <w:p>
      <w:pPr>
        <w:numPr>
          <w:ilvl w:val="0"/>
          <w:numId w:val="1002"/>
        </w:numPr>
        <w:pStyle w:val="Compact"/>
      </w:pPr>
      <w:r>
        <w:t xml:space="preserve">Aarts E, Verhage M, Veenvliet JV, Dolan CV, van der Sluis S. A solution to dependency: using multilevel analysis to accommodate nested data.</w:t>
      </w:r>
      <w:r>
        <w:t xml:space="preserve"> </w:t>
      </w:r>
      <w:r>
        <w:rPr>
          <w:iCs/>
          <w:i/>
        </w:rPr>
        <w:t xml:space="preserve">Nature Neuroscience</w:t>
      </w:r>
      <w:r>
        <w:t xml:space="preserve"> </w:t>
      </w:r>
      <w:r>
        <w:t xml:space="preserve">2014;17(4):491-496. doi:10.1038/nn.3648</w:t>
      </w:r>
    </w:p>
    <w:p>
      <w:pPr>
        <w:numPr>
          <w:ilvl w:val="0"/>
          <w:numId w:val="1002"/>
        </w:numPr>
        <w:pStyle w:val="Compact"/>
      </w:pPr>
      <w:r>
        <w:t xml:space="preserve">Hudgens MG, Halloran ME. Toward causal inference with interference.</w:t>
      </w:r>
      <w:r>
        <w:t xml:space="preserve"> </w:t>
      </w:r>
      <w:r>
        <w:rPr>
          <w:iCs/>
          <w:i/>
        </w:rPr>
        <w:t xml:space="preserve">Journal of the American Statistical Association</w:t>
      </w:r>
      <w:r>
        <w:t xml:space="preserve"> </w:t>
      </w:r>
      <w:r>
        <w:t xml:space="preserve">2008;103(482):832-842. doi:10.1198/016214508000000292</w:t>
      </w:r>
    </w:p>
    <w:p>
      <w:pPr>
        <w:numPr>
          <w:ilvl w:val="0"/>
          <w:numId w:val="1002"/>
        </w:numPr>
        <w:pStyle w:val="Compact"/>
      </w:pPr>
      <w:r>
        <w:t xml:space="preserve">Lakens D. Equivalence tests: a practical primer for t tests, correlations, and meta-analyses.</w:t>
      </w:r>
      <w:r>
        <w:t xml:space="preserve"> </w:t>
      </w:r>
      <w:r>
        <w:rPr>
          <w:iCs/>
          <w:i/>
        </w:rPr>
        <w:t xml:space="preserve">Social Psychological and Personality Science</w:t>
      </w:r>
      <w:r>
        <w:t xml:space="preserve"> </w:t>
      </w:r>
      <w:r>
        <w:t xml:space="preserve">2017;8(4):355-369. doi:10.1177/1948550617697177</w:t>
      </w:r>
    </w:p>
    <w:p>
      <w:pPr>
        <w:numPr>
          <w:ilvl w:val="0"/>
          <w:numId w:val="1002"/>
        </w:numPr>
        <w:pStyle w:val="Compact"/>
      </w:pPr>
      <w:r>
        <w:t xml:space="preserve">Lazic SE. The problem of pseudoreplication in neuroscientific studies: is it affecting your analysis?</w:t>
      </w:r>
      <w:r>
        <w:t xml:space="preserve"> </w:t>
      </w:r>
      <w:r>
        <w:rPr>
          <w:iCs/>
          <w:i/>
        </w:rPr>
        <w:t xml:space="preserve">BMC Neuroscience</w:t>
      </w:r>
      <w:r>
        <w:t xml:space="preserve"> </w:t>
      </w:r>
      <w:r>
        <w:t xml:space="preserve">2010;11:5. doi:10.1186/1471-2202-11-5</w:t>
      </w:r>
    </w:p>
    <w:p>
      <w:pPr>
        <w:numPr>
          <w:ilvl w:val="0"/>
          <w:numId w:val="1002"/>
        </w:numPr>
        <w:pStyle w:val="Compact"/>
      </w:pPr>
      <w:r>
        <w:t xml:space="preserve">Orth P, Zurakowski D, Alini M, Cucchiarini M, Madry H. Reduction of sample size requirements by bilateral versus unilateral research designs in animal models for cartilage tissue engineering.</w:t>
      </w:r>
      <w:r>
        <w:t xml:space="preserve"> </w:t>
      </w:r>
      <w:r>
        <w:rPr>
          <w:iCs/>
          <w:i/>
        </w:rPr>
        <w:t xml:space="preserve">Tissue Engineering Part C: Methods</w:t>
      </w:r>
      <w:r>
        <w:t xml:space="preserve"> </w:t>
      </w:r>
      <w:r>
        <w:t xml:space="preserve">2013;19(11):885-891. doi:10.1089/ten.tec.2012.0699</w:t>
      </w:r>
    </w:p>
    <w:p>
      <w:pPr>
        <w:pStyle w:val="FirstParagraph"/>
      </w:pPr>
      <w:r>
        <w:t xml:space="preserve">The variance-component algebra in §1-§3 is standard mixed-model and cluster-trial theory rather than anything attributable to a single source; I derived the expressions here and verified each against simulation rather than taking them from a text. The design-effect form 1 + m·ρ/(1−ρ) is the familiar cluster-randomised-trial result applied with the roles of clustering and blocking reversed.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2026-09-17T16:14:24Z</dcterms:created>
  <dcterms:modified xsi:type="dcterms:W3CDTF">2026-09-17T16:14:24Z</dcterms:modified>
</cp:coreProperties>
</file>

<file path=docProps/custom.xml><?xml version="1.0" encoding="utf-8"?>
<Properties xmlns="http://schemas.openxmlformats.org/officeDocument/2006/custom-properties" xmlns:vt="http://schemas.openxmlformats.org/officeDocument/2006/docPropsVTypes"/>
</file>