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4"/>
          <w:szCs w:val="34"/>
        </w:rPr>
        <w:t xml:space="preserve">Software Requirements Specification (SRS)</w:t>
      </w:r>
    </w:p>
    <w:p>
      <w:pPr>
        <w:spacing w:after="40"/>
        <w:jc w:val="center"/>
      </w:pPr>
      <w:r>
        <w:rPr>
          <w:rFonts w:ascii="Calibri" w:cs="Calibri" w:eastAsia="Calibri" w:hAnsi="Calibri"/>
          <w:b/>
          <w:bCs/>
          <w:color w:val="1F3864"/>
          <w:sz w:val="26"/>
          <w:szCs w:val="26"/>
        </w:rPr>
        <w:t xml:space="preserve">SIM — Security Incident Mapping</w:t>
      </w:r>
    </w:p>
    <w:p>
      <w:pPr>
        <w:spacing w:after="120" w:line="264"/>
        <w:jc w:val="center"/>
      </w:pPr>
      <w:r>
        <w:rPr>
          <w:rFonts w:ascii="Calibri" w:cs="Calibri" w:eastAsia="Calibri" w:hAnsi="Calibri"/>
          <w:i/>
          <w:iCs/>
          <w:sz w:val="20"/>
          <w:szCs w:val="20"/>
        </w:rPr>
        <w:t xml:space="preserve">A web-based platform for rapid, anonymous reporting of security incidents across the AAUA campus and villa community.</w:t>
      </w:r>
    </w:p>
    <w:p>
      <w:pPr>
        <w:spacing w:after="120" w:line="264"/>
        <w:jc w:val="center"/>
      </w:pPr>
      <w:r>
        <w:rPr>
          <w:rFonts w:ascii="Calibri" w:cs="Calibri" w:eastAsia="Calibri" w:hAnsi="Calibri"/>
          <w:sz w:val="20"/>
          <w:szCs w:val="20"/>
        </w:rPr>
        <w:t xml:space="preserve">Course: SEN 202 (Requirements Engineering &amp; System Modeling)  ·  Lecturer: Dr. O. O. Ajayi  ·  Weekend Dev 1  ·  Version 1.0</w:t>
      </w:r>
    </w:p>
    <w:p>
      <w:pPr>
        <w:spacing w:after="160" w:line="264"/>
        <w:jc w:val="center"/>
      </w:pPr>
      <w:r>
        <w:rPr>
          <w:rFonts w:ascii="Calibri" w:cs="Calibri" w:eastAsia="Calibri" w:hAnsi="Calibri"/>
          <w:b/>
          <w:sz w:val="20"/>
          <w:szCs w:val="20"/>
          <w:color w:val="1F3864"/>
        </w:rPr>
        <w:t xml:space="preserve">Submitted by: Irem Emmanuel Iduma  ·  241201035  ·  Faculty of Computing, AAUA</w:t>
      </w:r>
    </w:p>
    <w:p>
      <w:pPr>
        <w:pBdr>
          <w:bottom w:val="single" w:color="1F3864" w:sz="8"/>
        </w:pBdr>
        <w:spacing w:after="160"/>
      </w:pPr>
    </w:p>
    <w:p>
      <w:pPr>
        <w:pStyle w:val="Heading1"/>
        <w:spacing w:after="120" w:before="220"/>
      </w:pPr>
      <w:r>
        <w:rPr>
          <w:rFonts w:ascii="Calibri" w:cs="Calibri" w:eastAsia="Calibri" w:hAnsi="Calibri"/>
          <w:b/>
          <w:bCs/>
          <w:sz w:val="26"/>
          <w:szCs w:val="26"/>
        </w:rPr>
        <w:t xml:space="preserve">1. Introduction</w:t>
      </w:r>
    </w:p>
    <w:p>
      <w:pPr>
        <w:pStyle w:val="Heading2"/>
        <w:spacing w:after="80" w:before="160"/>
      </w:pPr>
      <w:r>
        <w:rPr>
          <w:rFonts w:ascii="Calibri" w:cs="Calibri" w:eastAsia="Calibri" w:hAnsi="Calibri"/>
          <w:b/>
          <w:bCs/>
          <w:sz w:val="22"/>
          <w:szCs w:val="22"/>
        </w:rPr>
        <w:t xml:space="preserve">1.1 Purpose</w:t>
      </w:r>
    </w:p>
    <w:p>
      <w:pPr>
        <w:spacing w:after="120" w:line="264"/>
      </w:pPr>
      <w:r>
        <w:rPr>
          <w:rFonts w:ascii="Calibri" w:cs="Calibri" w:eastAsia="Calibri" w:hAnsi="Calibri"/>
          <w:sz w:val="20"/>
          <w:szCs w:val="20"/>
        </w:rPr>
        <w:t xml:space="preserve">This document specifies the functional and non-functional requirements for SIM (Security Incident Mapping), a web platform that lets students/villa mates, university staff, and landlords report campus-community crimes (theft, assault, stabbing, rape, robbery, harassment) quickly and, where they choose, anonymously. It defines what the system must do, the constraints it must respect, and how its major components interact, so that the design, implementation, and grading can be measured against a single agreed baseline.</w:t>
      </w:r>
    </w:p>
    <w:p>
      <w:pPr>
        <w:pStyle w:val="Heading2"/>
        <w:spacing w:after="80" w:before="160"/>
      </w:pPr>
      <w:r>
        <w:rPr>
          <w:rFonts w:ascii="Calibri" w:cs="Calibri" w:eastAsia="Calibri" w:hAnsi="Calibri"/>
          <w:b/>
          <w:bCs/>
          <w:sz w:val="22"/>
          <w:szCs w:val="22"/>
        </w:rPr>
        <w:t xml:space="preserve">1.2 Scope</w:t>
      </w:r>
    </w:p>
    <w:p>
      <w:pPr>
        <w:spacing w:after="120" w:line="264"/>
      </w:pPr>
      <w:r>
        <w:rPr>
          <w:rFonts w:ascii="Calibri" w:cs="Calibri" w:eastAsia="Calibri" w:hAnsi="Calibri"/>
          <w:sz w:val="20"/>
          <w:szCs w:val="20"/>
        </w:rPr>
        <w:t xml:space="preserve">SIM provides a single-page reporting interface, a live incident feed, and a zone-based threat heatmap, backed by a lightweight store for incident records. In scope: incident submission with dynamic timestamping, anonymity masking, categorisation by crime type and location zone, an administrator view for triaging flagged logs, and notification routing to security. Out of scope for this weekend build: user account management at scale, native mobile apps, third-party emergency-service integration, and payment features. The prototype prioritises a working, simple solution over feature breadth, in line with the submission timeline.</w:t>
      </w:r>
    </w:p>
    <w:p>
      <w:pPr>
        <w:pStyle w:val="Heading2"/>
        <w:spacing w:after="80" w:before="160"/>
      </w:pPr>
      <w:r>
        <w:rPr>
          <w:rFonts w:ascii="Calibri" w:cs="Calibri" w:eastAsia="Calibri" w:hAnsi="Calibri"/>
          <w:b/>
          <w:bCs/>
          <w:sz w:val="22"/>
          <w:szCs w:val="22"/>
        </w:rPr>
        <w:t xml:space="preserve">1.3 Definitions, Acronyms &amp; Dictionary</w:t>
      </w:r>
    </w:p>
    <w:tbl>
      <w:tblPr>
        <w:tblW w:type="dxa" w:w="9000"/>
        <w:tblBorders>
          <w:top w:val="single" w:color="9AA7B5" w:sz="4"/>
          <w:left w:val="single" w:color="9AA7B5" w:sz="4"/>
          <w:bottom w:val="single" w:color="9AA7B5" w:sz="4"/>
          <w:right w:val="single" w:color="9AA7B5" w:sz="4"/>
          <w:insideH w:val="single" w:color="C7D0DA" w:sz="4"/>
          <w:insideV w:val="single" w:color="C7D0DA" w:sz="4"/>
        </w:tblBorders>
      </w:tblPr>
      <w:tblGrid>
        <w:gridCol w:w="2400"/>
        <w:gridCol w:w="6600"/>
      </w:tblGrid>
      <w:tr>
        <w:tc>
          <w:tcPr>
            <w:tcW w:type="dxa" w:w="24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Term</w:t>
            </w:r>
          </w:p>
        </w:tc>
        <w:tc>
          <w:tcPr>
            <w:tcW w:type="dxa" w:w="66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Definition</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SIM</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Security Incident Mapping — the platform specified by this document.</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Reporter / Villa Mate</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A student, staff member, or landlord who files an incident report.</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Security Administrator</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Authorised user who reviews, triages, and routes reported incidents.</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Incident record</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A single stored report: type, location zone, severity, description, timestamp, anonymity flag.</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Threat heatmap</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Visual map that sizes/colours zone markers by report density and severity.</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Anonymity masking</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Replacing a reporter's identity with a non-reversible generic label before storage/display.</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Villa zone</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A named off-campus student-housing area used as a map/reporting location unit.</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KISS</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Keep It Simple, Stupid — design principle favouring the simplest workable solution.</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MoSCoW</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Prioritisation scheme: Must have, Should have, Could have, Won't have (this release).</w:t>
            </w:r>
          </w:p>
        </w:tc>
      </w:tr>
      <w:tr>
        <w:tc>
          <w:tcPr>
            <w:tcW w:type="dxa" w:w="2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DIP-M</w:t>
            </w:r>
          </w:p>
        </w:tc>
        <w:tc>
          <w:tcPr>
            <w:tcW w:type="dxa" w:w="6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Requirements-quality objective: Detect inaccuracies, Identify ambiguities, Prioritise, MoSCoW.</w:t>
            </w:r>
          </w:p>
        </w:tc>
      </w:tr>
    </w:tbl>
    <w:p>
      <w:pPr>
        <w:pStyle w:val="Heading2"/>
        <w:spacing w:after="80" w:before="160"/>
      </w:pPr>
      <w:r>
        <w:rPr>
          <w:rFonts w:ascii="Calibri" w:cs="Calibri" w:eastAsia="Calibri" w:hAnsi="Calibri"/>
          <w:b/>
          <w:bCs/>
          <w:sz w:val="22"/>
          <w:szCs w:val="22"/>
        </w:rPr>
        <w:t xml:space="preserve">1.4 Overview</w:t>
      </w:r>
    </w:p>
    <w:p>
      <w:pPr>
        <w:spacing w:after="120" w:line="264"/>
      </w:pPr>
      <w:r>
        <w:rPr>
          <w:rFonts w:ascii="Calibri" w:cs="Calibri" w:eastAsia="Calibri" w:hAnsi="Calibri"/>
          <w:sz w:val="20"/>
          <w:szCs w:val="20"/>
        </w:rPr>
        <w:t xml:space="preserve">Section 2 gives the overall description and component interactions. Section 3 lists functional requirements in a parameter–item table. Section 4 lists non-functional requirements. Section 5 explains how the specification satisfies the DIP-M objective framework.</w:t>
      </w:r>
    </w:p>
    <w:p>
      <w:pPr>
        <w:pStyle w:val="Heading1"/>
        <w:spacing w:after="120" w:before="220"/>
      </w:pPr>
      <w:r>
        <w:rPr>
          <w:rFonts w:ascii="Calibri" w:cs="Calibri" w:eastAsia="Calibri" w:hAnsi="Calibri"/>
          <w:b/>
          <w:bCs/>
          <w:sz w:val="26"/>
          <w:szCs w:val="26"/>
        </w:rPr>
        <w:t xml:space="preserve">2. Overall Description &amp; Component Interactions</w:t>
      </w:r>
    </w:p>
    <w:p>
      <w:pPr>
        <w:pStyle w:val="Heading2"/>
        <w:spacing w:after="80" w:before="160"/>
      </w:pPr>
      <w:r>
        <w:rPr>
          <w:rFonts w:ascii="Calibri" w:cs="Calibri" w:eastAsia="Calibri" w:hAnsi="Calibri"/>
          <w:b/>
          <w:bCs/>
          <w:sz w:val="22"/>
          <w:szCs w:val="22"/>
        </w:rPr>
        <w:t xml:space="preserve">2.1 Product perspective</w:t>
      </w:r>
    </w:p>
    <w:p>
      <w:pPr>
        <w:spacing w:after="120" w:line="264"/>
      </w:pPr>
      <w:r>
        <w:rPr>
          <w:rFonts w:ascii="Calibri" w:cs="Calibri" w:eastAsia="Calibri" w:hAnsi="Calibri"/>
          <w:sz w:val="20"/>
          <w:szCs w:val="20"/>
        </w:rPr>
        <w:t xml:space="preserve">SIM is a new, self-contained web application. It follows a simple three-tier structure so its parts can be reasoned about independently:</w:t>
      </w:r>
    </w:p>
    <w:p>
      <w:pPr>
        <w:pStyle w:val="ListParagraph"/>
        <w:numPr>
          <w:ilvl w:val="0"/>
          <w:numId w:val="1"/>
        </w:numPr>
        <w:spacing w:after="60" w:line="252"/>
      </w:pPr>
      <w:r>
        <w:rPr>
          <w:rFonts w:ascii="Calibri" w:cs="Calibri" w:eastAsia="Calibri" w:hAnsi="Calibri"/>
          <w:sz w:val="20"/>
          <w:szCs w:val="20"/>
        </w:rPr>
        <w:t xml:space="preserve">Presentation tier — a single HTML5 page (internal CSS + vanilla JavaScript) rendering the report form, the live incident feed, and the SVG threat heatmap.</w:t>
      </w:r>
    </w:p>
    <w:p>
      <w:pPr>
        <w:pStyle w:val="ListParagraph"/>
        <w:numPr>
          <w:ilvl w:val="0"/>
          <w:numId w:val="1"/>
        </w:numPr>
        <w:spacing w:after="60" w:line="252"/>
      </w:pPr>
      <w:r>
        <w:rPr>
          <w:rFonts w:ascii="Calibri" w:cs="Calibri" w:eastAsia="Calibri" w:hAnsi="Calibri"/>
          <w:sz w:val="20"/>
          <w:szCs w:val="20"/>
        </w:rPr>
        <w:t xml:space="preserve">Application tier — request handling that validates input, applies dynamic timestamping, performs anonymity masking, and routes notifications to the Security Administrator.</w:t>
      </w:r>
    </w:p>
    <w:p>
      <w:pPr>
        <w:pStyle w:val="ListParagraph"/>
        <w:numPr>
          <w:ilvl w:val="0"/>
          <w:numId w:val="1"/>
        </w:numPr>
        <w:spacing w:after="60" w:line="252"/>
      </w:pPr>
      <w:r>
        <w:rPr>
          <w:rFonts w:ascii="Calibri" w:cs="Calibri" w:eastAsia="Calibri" w:hAnsi="Calibri"/>
          <w:sz w:val="20"/>
          <w:szCs w:val="20"/>
        </w:rPr>
        <w:t xml:space="preserve">Data tier — a store of incident records (in the prototype, an in-memory/JSON structure; in production, a small relational or document database).</w:t>
      </w:r>
    </w:p>
    <w:p>
      <w:pPr>
        <w:spacing w:after="120" w:line="264"/>
      </w:pPr>
      <w:r>
        <w:rPr>
          <w:rFonts w:ascii="Calibri" w:cs="Calibri" w:eastAsia="Calibri" w:hAnsi="Calibri"/>
          <w:sz w:val="20"/>
          <w:szCs w:val="20"/>
        </w:rPr>
        <w:t xml:space="preserve">Interaction flow: a Reporter completes the form → the application tier validates and timestamps the record, masks identity if the anonymous flag is set, and persists it → the feed and heatmap re-render from the updated store → a notification is routed to the Security Administrator, who can view and manage flagged logs.</w:t>
      </w:r>
    </w:p>
    <w:p>
      <w:pPr>
        <w:pStyle w:val="Heading2"/>
        <w:spacing w:after="80" w:before="160"/>
      </w:pPr>
      <w:r>
        <w:rPr>
          <w:rFonts w:ascii="Calibri" w:cs="Calibri" w:eastAsia="Calibri" w:hAnsi="Calibri"/>
          <w:b/>
          <w:bCs/>
          <w:sz w:val="22"/>
          <w:szCs w:val="22"/>
        </w:rPr>
        <w:t xml:space="preserve">2.2 User classes</w:t>
      </w:r>
    </w:p>
    <w:p>
      <w:pPr>
        <w:pStyle w:val="ListParagraph"/>
        <w:numPr>
          <w:ilvl w:val="0"/>
          <w:numId w:val="1"/>
        </w:numPr>
        <w:spacing w:after="60" w:line="252"/>
      </w:pPr>
      <w:r>
        <w:rPr>
          <w:rFonts w:ascii="Calibri" w:cs="Calibri" w:eastAsia="Calibri" w:hAnsi="Calibri"/>
          <w:sz w:val="20"/>
          <w:szCs w:val="20"/>
        </w:rPr>
        <w:t xml:space="preserve">Reporter / Villa Mate — submits reports, views the feed and heatmap; may report anonymously; may be traumatised, so the interface must stay calm and minimal.</w:t>
      </w:r>
    </w:p>
    <w:p>
      <w:pPr>
        <w:pStyle w:val="ListParagraph"/>
        <w:numPr>
          <w:ilvl w:val="0"/>
          <w:numId w:val="1"/>
        </w:numPr>
        <w:spacing w:after="60" w:line="252"/>
      </w:pPr>
      <w:r>
        <w:rPr>
          <w:rFonts w:ascii="Calibri" w:cs="Calibri" w:eastAsia="Calibri" w:hAnsi="Calibri"/>
          <w:sz w:val="20"/>
          <w:szCs w:val="20"/>
        </w:rPr>
        <w:t xml:space="preserve">Security Administrator — authenticates, reviews and triages flagged logs, updates incident status, and oversees notification routing.</w:t>
      </w:r>
    </w:p>
    <w:p>
      <w:pPr>
        <w:pStyle w:val="Heading2"/>
        <w:spacing w:after="80" w:before="160"/>
      </w:pPr>
      <w:r>
        <w:rPr>
          <w:rFonts w:ascii="Calibri" w:cs="Calibri" w:eastAsia="Calibri" w:hAnsi="Calibri"/>
          <w:b/>
          <w:bCs/>
          <w:sz w:val="22"/>
          <w:szCs w:val="22"/>
        </w:rPr>
        <w:t xml:space="preserve">2.3 Operating environment &amp; constraints</w:t>
      </w:r>
    </w:p>
    <w:p>
      <w:pPr>
        <w:pStyle w:val="ListParagraph"/>
        <w:numPr>
          <w:ilvl w:val="0"/>
          <w:numId w:val="1"/>
        </w:numPr>
        <w:spacing w:after="60" w:line="252"/>
      </w:pPr>
      <w:r>
        <w:rPr>
          <w:rFonts w:ascii="Calibri" w:cs="Calibri" w:eastAsia="Calibri" w:hAnsi="Calibri"/>
          <w:sz w:val="20"/>
          <w:szCs w:val="20"/>
        </w:rPr>
        <w:t xml:space="preserve">Runs in any modern browser on smartphone or laptop; must remain usable on low-bandwidth mobile networks.</w:t>
      </w:r>
    </w:p>
    <w:p>
      <w:pPr>
        <w:pStyle w:val="ListParagraph"/>
        <w:numPr>
          <w:ilvl w:val="0"/>
          <w:numId w:val="1"/>
        </w:numPr>
        <w:spacing w:after="60" w:line="252"/>
      </w:pPr>
      <w:r>
        <w:rPr>
          <w:rFonts w:ascii="Calibri" w:cs="Calibri" w:eastAsia="Calibri" w:hAnsi="Calibri"/>
          <w:sz w:val="20"/>
          <w:szCs w:val="20"/>
        </w:rPr>
        <w:t xml:space="preserve">Built under KISS to fit the weekend submission window — no heavy frameworks or over-engineering.</w:t>
      </w:r>
    </w:p>
    <w:p>
      <w:pPr>
        <w:pStyle w:val="ListParagraph"/>
        <w:numPr>
          <w:ilvl w:val="0"/>
          <w:numId w:val="1"/>
        </w:numPr>
        <w:spacing w:after="60" w:line="252"/>
      </w:pPr>
      <w:r>
        <w:rPr>
          <w:rFonts w:ascii="Calibri" w:cs="Calibri" w:eastAsia="Calibri" w:hAnsi="Calibri"/>
          <w:sz w:val="20"/>
          <w:szCs w:val="20"/>
        </w:rPr>
        <w:t xml:space="preserve">Sensitive data (crime reports, identities) imposes strict privacy and anonymity constraints.</w:t>
      </w:r>
    </w:p>
    <w:p>
      <w:pPr>
        <w:pStyle w:val="Heading2"/>
        <w:spacing w:after="80" w:before="160"/>
      </w:pPr>
      <w:r>
        <w:rPr>
          <w:rFonts w:ascii="Calibri" w:cs="Calibri" w:eastAsia="Calibri" w:hAnsi="Calibri"/>
          <w:b/>
          <w:bCs/>
          <w:sz w:val="22"/>
          <w:szCs w:val="22"/>
        </w:rPr>
        <w:t xml:space="preserve">2.4 Assumptions &amp; dependencies</w:t>
      </w:r>
    </w:p>
    <w:p>
      <w:pPr>
        <w:pStyle w:val="ListParagraph"/>
        <w:numPr>
          <w:ilvl w:val="0"/>
          <w:numId w:val="1"/>
        </w:numPr>
        <w:spacing w:after="60" w:line="252"/>
      </w:pPr>
      <w:r>
        <w:rPr>
          <w:rFonts w:ascii="Calibri" w:cs="Calibri" w:eastAsia="Calibri" w:hAnsi="Calibri"/>
          <w:sz w:val="20"/>
          <w:szCs w:val="20"/>
        </w:rPr>
        <w:t xml:space="preserve">Respondents to the elicitation survey answer honestly; the mock-seed dataset is used only to validate analysis, not as real evidence.</w:t>
      </w:r>
    </w:p>
    <w:p>
      <w:pPr>
        <w:pStyle w:val="ListParagraph"/>
        <w:numPr>
          <w:ilvl w:val="0"/>
          <w:numId w:val="1"/>
        </w:numPr>
        <w:spacing w:after="60" w:line="252"/>
      </w:pPr>
      <w:r>
        <w:rPr>
          <w:rFonts w:ascii="Calibri" w:cs="Calibri" w:eastAsia="Calibri" w:hAnsi="Calibri"/>
          <w:sz w:val="20"/>
          <w:szCs w:val="20"/>
        </w:rPr>
        <w:t xml:space="preserve">A Security Administrator monitors incoming notifications during operating hours.</w:t>
      </w:r>
    </w:p>
    <w:p>
      <w:pPr>
        <w:pStyle w:val="Heading1"/>
        <w:spacing w:after="120" w:before="220"/>
      </w:pPr>
      <w:r>
        <w:rPr>
          <w:rFonts w:ascii="Calibri" w:cs="Calibri" w:eastAsia="Calibri" w:hAnsi="Calibri"/>
          <w:b/>
          <w:bCs/>
          <w:sz w:val="26"/>
          <w:szCs w:val="26"/>
        </w:rPr>
        <w:t xml:space="preserve">3. Functional Requirements</w:t>
      </w:r>
    </w:p>
    <w:p>
      <w:pPr>
        <w:spacing w:after="120" w:line="264"/>
      </w:pPr>
      <w:r>
        <w:rPr>
          <w:rFonts w:ascii="Calibri" w:cs="Calibri" w:eastAsia="Calibri" w:hAnsi="Calibri"/>
          <w:sz w:val="20"/>
          <w:szCs w:val="20"/>
        </w:rPr>
        <w:t xml:space="preserve">Each requirement states what the system must execute. Priority uses MoSCoW (M = Must, S = Should, C = Could).</w:t>
      </w:r>
    </w:p>
    <w:tbl>
      <w:tblPr>
        <w:tblW w:type="dxa" w:w="9000"/>
        <w:tblBorders>
          <w:top w:val="single" w:color="9AA7B5" w:sz="4"/>
          <w:left w:val="single" w:color="9AA7B5" w:sz="4"/>
          <w:bottom w:val="single" w:color="9AA7B5" w:sz="4"/>
          <w:right w:val="single" w:color="9AA7B5" w:sz="4"/>
          <w:insideH w:val="single" w:color="C7D0DA" w:sz="4"/>
          <w:insideV w:val="single" w:color="C7D0DA" w:sz="4"/>
        </w:tblBorders>
      </w:tblPr>
      <w:tblGrid>
        <w:gridCol w:w="1000"/>
        <w:gridCol w:w="6400"/>
        <w:gridCol w:w="1600"/>
      </w:tblGrid>
      <w:tr>
        <w:tc>
          <w:tcPr>
            <w:tcW w:type="dxa" w:w="10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ID</w:t>
            </w:r>
          </w:p>
        </w:tc>
        <w:tc>
          <w:tcPr>
            <w:tcW w:type="dxa" w:w="64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The system shall…</w:t>
            </w:r>
          </w:p>
        </w:tc>
        <w:tc>
          <w:tcPr>
            <w:tcW w:type="dxa" w:w="16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Priority</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FR-01</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Present a single, simple report form capturing role, crime type, location zone, severity, and description.</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FR-02</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Apply a dynamic server-side timestamp to every incident at the moment of submission.</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FR-03</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Offer an anonymity flag and, when set, replace the reporter's identity with a non-reversible masked label (cryptographic/one-way masking) before storage and display.</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FR-04</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Validate that required fields are present and within allowed option sets before accepting a report.</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FR-05</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Persist each accepted report as a structured incident record.</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FR-06</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Render a live incident feed, newest first, updating immediately after submission.</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FR-07</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Render a zone-based threat heatmap that sizes/colours markers by report density and worst severity.</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FR-08</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Route a notification of each new incident to the Security Administrator.</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FR-09</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Require the Security Administrator to authenticate before accessing administrative operations.</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FR-10</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Let the Security Administrator view, triage, and update the status of flagged logs.</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Should</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FR-11</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Allow optional upload of media/evidence to extend a report when a reporter chooses to add it.</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Should</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FR-12</w:t>
            </w:r>
          </w:p>
        </w:tc>
        <w:tc>
          <w:tcPr>
            <w:tcW w:type="dxa" w:w="6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Let any user filter the feed/heatmap by location zone or crime type.</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Could</w:t>
            </w:r>
          </w:p>
        </w:tc>
      </w:tr>
    </w:tbl>
    <w:p>
      <w:pPr>
        <w:pStyle w:val="Heading1"/>
        <w:spacing w:after="120" w:before="220"/>
      </w:pPr>
      <w:r>
        <w:rPr>
          <w:rFonts w:ascii="Calibri" w:cs="Calibri" w:eastAsia="Calibri" w:hAnsi="Calibri"/>
          <w:b/>
          <w:bCs/>
          <w:sz w:val="26"/>
          <w:szCs w:val="26"/>
        </w:rPr>
        <w:t xml:space="preserve">4. Non-Functional Requirements</w:t>
      </w:r>
    </w:p>
    <w:tbl>
      <w:tblPr>
        <w:tblW w:type="dxa" w:w="9000"/>
        <w:tblBorders>
          <w:top w:val="single" w:color="9AA7B5" w:sz="4"/>
          <w:left w:val="single" w:color="9AA7B5" w:sz="4"/>
          <w:bottom w:val="single" w:color="9AA7B5" w:sz="4"/>
          <w:right w:val="single" w:color="9AA7B5" w:sz="4"/>
          <w:insideH w:val="single" w:color="C7D0DA" w:sz="4"/>
          <w:insideV w:val="single" w:color="C7D0DA" w:sz="4"/>
        </w:tblBorders>
      </w:tblPr>
      <w:tblGrid>
        <w:gridCol w:w="1000"/>
        <w:gridCol w:w="2200"/>
        <w:gridCol w:w="5800"/>
      </w:tblGrid>
      <w:tr>
        <w:tc>
          <w:tcPr>
            <w:tcW w:type="dxa" w:w="10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ID</w:t>
            </w:r>
          </w:p>
        </w:tc>
        <w:tc>
          <w:tcPr>
            <w:tcW w:type="dxa" w:w="22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Category</w:t>
            </w:r>
          </w:p>
        </w:tc>
        <w:tc>
          <w:tcPr>
            <w:tcW w:type="dxa" w:w="58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The system shall…</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NFR-01</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Usability (KISS)</w:t>
            </w:r>
          </w:p>
        </w:tc>
        <w:tc>
          <w:tcPr>
            <w:tcW w:type="dxa" w:w="58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Present the simplest possible flow — one screen, minimal fields, calm neutral styling — so a distressed or traumatised user can file a report in under a minute without training.</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NFR-02</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Accessibility</w:t>
            </w:r>
          </w:p>
        </w:tc>
        <w:tc>
          <w:tcPr>
            <w:tcW w:type="dxa" w:w="58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Use clear labels, adequate contrast, and large tap targets suitable for one-handed phone use.</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NFR-03</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Performance / Bandwidth</w:t>
            </w:r>
          </w:p>
        </w:tc>
        <w:tc>
          <w:tcPr>
            <w:tcW w:type="dxa" w:w="58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Load and remain interactive on low-bandwidth mobile networks; keep the page lightweight with no heavy external assets.</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NFR-04</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Portability</w:t>
            </w:r>
          </w:p>
        </w:tc>
        <w:tc>
          <w:tcPr>
            <w:tcW w:type="dxa" w:w="58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Render correctly across smartphone and laptop browsers (cross-platform responsiveness).</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NFR-05</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Privacy</w:t>
            </w:r>
          </w:p>
        </w:tc>
        <w:tc>
          <w:tcPr>
            <w:tcW w:type="dxa" w:w="58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Never store personally identifying data for anonymous reports; expose only masked identities in any view.</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NFR-06</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Security</w:t>
            </w:r>
          </w:p>
        </w:tc>
        <w:tc>
          <w:tcPr>
            <w:tcW w:type="dxa" w:w="58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Protect administrative functions behind authentication and guard against tampering with stored records.</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NFR-07</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Reliability</w:t>
            </w:r>
          </w:p>
        </w:tc>
        <w:tc>
          <w:tcPr>
            <w:tcW w:type="dxa" w:w="58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Preserve accepted reports and keep the feed/heatmap consistent with the stored data.</w:t>
            </w:r>
          </w:p>
        </w:tc>
      </w:tr>
      <w:tr>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NFR-08</w:t>
            </w:r>
          </w:p>
        </w:tc>
        <w:tc>
          <w:tcPr>
            <w:tcW w:type="dxa" w:w="22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Maintainability</w:t>
            </w:r>
          </w:p>
        </w:tc>
        <w:tc>
          <w:tcPr>
            <w:tcW w:type="dxa" w:w="58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Keep the codebase small and single-file where practical, so it can be read, printed, and extended quickly.</w:t>
            </w:r>
          </w:p>
        </w:tc>
      </w:tr>
    </w:tbl>
    <w:p>
      <w:pPr>
        <w:pStyle w:val="Heading1"/>
        <w:spacing w:after="120" w:before="220"/>
      </w:pPr>
      <w:r>
        <w:rPr>
          <w:rFonts w:ascii="Calibri" w:cs="Calibri" w:eastAsia="Calibri" w:hAnsi="Calibri"/>
          <w:b/>
          <w:bCs/>
          <w:sz w:val="26"/>
          <w:szCs w:val="26"/>
        </w:rPr>
        <w:t xml:space="preserve">5. The DIP-M Objective Framework</w:t>
      </w:r>
    </w:p>
    <w:p>
      <w:pPr>
        <w:spacing w:after="120" w:line="264"/>
      </w:pPr>
      <w:r>
        <w:rPr>
          <w:rFonts w:ascii="Calibri" w:cs="Calibri" w:eastAsia="Calibri" w:hAnsi="Calibri"/>
          <w:sz w:val="20"/>
          <w:szCs w:val="20"/>
        </w:rPr>
        <w:t xml:space="preserve">DIP-M evaluates how well this specification improves requirements quality: Detect inaccuracies, Identify ambiguities, Prioritise requirements, and apply the MoSCoW method.</w:t>
      </w:r>
    </w:p>
    <w:p>
      <w:pPr>
        <w:pStyle w:val="Heading2"/>
        <w:spacing w:after="80" w:before="160"/>
      </w:pPr>
      <w:r>
        <w:rPr>
          <w:rFonts w:ascii="Calibri" w:cs="Calibri" w:eastAsia="Calibri" w:hAnsi="Calibri"/>
          <w:b/>
          <w:bCs/>
          <w:sz w:val="22"/>
          <w:szCs w:val="22"/>
        </w:rPr>
        <w:t xml:space="preserve">5.1 Detect inaccuracies</w:t>
      </w:r>
    </w:p>
    <w:p>
      <w:pPr>
        <w:spacing w:after="120" w:line="264"/>
      </w:pPr>
      <w:r>
        <w:rPr>
          <w:rFonts w:ascii="Calibri" w:cs="Calibri" w:eastAsia="Calibri" w:hAnsi="Calibri"/>
          <w:sz w:val="20"/>
          <w:szCs w:val="20"/>
        </w:rPr>
        <w:t xml:space="preserve">The close-ended elicitation survey and the automated seed/verification script (100 mock responses) cross-check that every questionnaire field maps to a real system field. Field-level validation (FR-04) catches inaccurate or out-of-range inputs at source, so requirements are grounded in clean, uniform data rather than free-text guesses.</w:t>
      </w:r>
    </w:p>
    <w:p>
      <w:pPr>
        <w:pStyle w:val="Heading2"/>
        <w:spacing w:after="80" w:before="160"/>
      </w:pPr>
      <w:r>
        <w:rPr>
          <w:rFonts w:ascii="Calibri" w:cs="Calibri" w:eastAsia="Calibri" w:hAnsi="Calibri"/>
          <w:b/>
          <w:bCs/>
          <w:sz w:val="22"/>
          <w:szCs w:val="22"/>
        </w:rPr>
        <w:t xml:space="preserve">5.2 Identify ambiguities</w:t>
      </w:r>
    </w:p>
    <w:p>
      <w:pPr>
        <w:spacing w:after="120" w:line="264"/>
      </w:pPr>
      <w:r>
        <w:rPr>
          <w:rFonts w:ascii="Calibri" w:cs="Calibri" w:eastAsia="Calibri" w:hAnsi="Calibri"/>
          <w:sz w:val="20"/>
          <w:szCs w:val="20"/>
        </w:rPr>
        <w:t xml:space="preserve">The data dictionary (§1.3) fixes a single meaning for each term (e.g., 'anonymity masking', 'villa zone'), removing wording ambiguity. Each functional requirement is phrased as a single testable 'the system shall…' statement, which exposes any vague or double-barrelled requirement for splitting.</w:t>
      </w:r>
    </w:p>
    <w:p>
      <w:pPr>
        <w:pStyle w:val="Heading2"/>
        <w:spacing w:after="80" w:before="160"/>
      </w:pPr>
      <w:r>
        <w:rPr>
          <w:rFonts w:ascii="Calibri" w:cs="Calibri" w:eastAsia="Calibri" w:hAnsi="Calibri"/>
          <w:b/>
          <w:bCs/>
          <w:sz w:val="22"/>
          <w:szCs w:val="22"/>
        </w:rPr>
        <w:t xml:space="preserve">5.3 Prioritise requirements</w:t>
      </w:r>
    </w:p>
    <w:p>
      <w:pPr>
        <w:spacing w:after="120" w:line="264"/>
      </w:pPr>
      <w:r>
        <w:rPr>
          <w:rFonts w:ascii="Calibri" w:cs="Calibri" w:eastAsia="Calibri" w:hAnsi="Calibri"/>
          <w:sz w:val="20"/>
          <w:szCs w:val="20"/>
        </w:rPr>
        <w:t xml:space="preserve">Every requirement carries an explicit priority, and the Ishikawa analysis links each high-priority feature to a real root cause (e.g., anonymity masking answers 'fear of retaliation'; the centralized portal answers 'no distress portal'). Prioritisation is therefore evidence-driven, not arbitrary.</w:t>
      </w:r>
    </w:p>
    <w:p>
      <w:pPr>
        <w:pStyle w:val="Heading2"/>
        <w:spacing w:after="80" w:before="160"/>
      </w:pPr>
      <w:r>
        <w:rPr>
          <w:rFonts w:ascii="Calibri" w:cs="Calibri" w:eastAsia="Calibri" w:hAnsi="Calibri"/>
          <w:b/>
          <w:bCs/>
          <w:sz w:val="22"/>
          <w:szCs w:val="22"/>
        </w:rPr>
        <w:t xml:space="preserve">5.4 MoSCoW application</w:t>
      </w:r>
    </w:p>
    <w:tbl>
      <w:tblPr>
        <w:tblW w:type="dxa" w:w="9000"/>
        <w:tblBorders>
          <w:top w:val="single" w:color="9AA7B5" w:sz="4"/>
          <w:left w:val="single" w:color="9AA7B5" w:sz="4"/>
          <w:bottom w:val="single" w:color="9AA7B5" w:sz="4"/>
          <w:right w:val="single" w:color="9AA7B5" w:sz="4"/>
          <w:insideH w:val="single" w:color="C7D0DA" w:sz="4"/>
          <w:insideV w:val="single" w:color="C7D0DA" w:sz="4"/>
        </w:tblBorders>
      </w:tblPr>
      <w:tblGrid>
        <w:gridCol w:w="1400"/>
        <w:gridCol w:w="7600"/>
      </w:tblGrid>
      <w:tr>
        <w:tc>
          <w:tcPr>
            <w:tcW w:type="dxa" w:w="14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Class</w:t>
            </w:r>
          </w:p>
        </w:tc>
        <w:tc>
          <w:tcPr>
            <w:tcW w:type="dxa" w:w="7600"/>
            <w:shd w:fill="1F3864"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Requirements &amp; rationale</w:t>
            </w:r>
          </w:p>
        </w:tc>
      </w:tr>
      <w:tr>
        <w:tc>
          <w:tcPr>
            <w:tcW w:type="dxa" w:w="1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Must</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FR-01…FR-09 — the minimum that makes SIM usable and safe: simple reporting, timestamping, anonymity masking, validation, storage, feed, heatmap, notification routing, and admin authentication.</w:t>
            </w:r>
          </w:p>
        </w:tc>
      </w:tr>
      <w:tr>
        <w:tc>
          <w:tcPr>
            <w:tcW w:type="dxa" w:w="1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Should</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FR-10, FR-11 — flagged-log management and optional evidence upload; strengthen the tool but are not required for a first working submission.</w:t>
            </w:r>
          </w:p>
        </w:tc>
      </w:tr>
      <w:tr>
        <w:tc>
          <w:tcPr>
            <w:tcW w:type="dxa" w:w="1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Could</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FR-12 — feed/heatmap filtering; a convenience enhancement for later.</w:t>
            </w:r>
          </w:p>
        </w:tc>
      </w:tr>
      <w:tr>
        <w:tc>
          <w:tcPr>
            <w:tcW w:type="dxa" w:w="14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Won't (this release)</w:t>
            </w:r>
          </w:p>
        </w:tc>
        <w:tc>
          <w:tcPr>
            <w:tcW w:type="dxa" w:w="7600"/>
            <w:tcMar>
              <w:top w:type="dxa" w:w="40"/>
              <w:left w:type="dxa" w:w="80"/>
              <w:bottom w:type="dxa" w:w="40"/>
              <w:right w:type="dxa" w:w="80"/>
            </w:tcMar>
          </w:tcPr>
          <w:p>
            <w:pPr>
              <w:spacing w:after="0" w:line="240"/>
            </w:pPr>
            <w:r>
              <w:rPr>
                <w:rFonts w:ascii="Calibri" w:cs="Calibri" w:eastAsia="Calibri" w:hAnsi="Calibri"/>
                <w:b w:val="false"/>
                <w:bCs w:val="false"/>
                <w:color w:val="000000"/>
                <w:sz w:val="18"/>
                <w:szCs w:val="18"/>
              </w:rPr>
              <w:t xml:space="preserve">Native mobile apps, large-scale accounts, external emergency-service integration — deferred to keep the build within scope and time.</w:t>
            </w:r>
          </w:p>
        </w:tc>
      </w:tr>
    </w:tbl>
    <w:p>
      <w:pPr>
        <w:spacing w:before="200"/>
      </w:pPr>
      <w:r>
        <w:br w:type="page"/>
      </w:r>
    </w:p>
    <w:p>
      <w:pPr>
        <w:spacing w:after="120" w:line="264"/>
        <w:jc w:val="center"/>
      </w:pPr>
      <w:r>
        <w:rPr>
          <w:rFonts w:ascii="Calibri" w:cs="Calibri" w:eastAsia="Calibri" w:hAnsi="Calibri"/>
          <w:i/>
          <w:iCs/>
          <w:sz w:val="20"/>
          <w:szCs w:val="20"/>
        </w:rPr>
        <w:t xml:space="preserve">End of SRS — SIM (Security Incident Mapping),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SIM (Security Incident Mapping)</dc:title>
  <dc:creator>Irem Emmanuel Iduma</dc:creator>
  <cp:lastModifiedBy>Un-named</cp:lastModifiedBy>
  <cp:revision>1</cp:revision>
  <dcterms:created xsi:type="dcterms:W3CDTF">2026-07-03T20:25:24.396Z</dcterms:created>
  <dcterms:modified xsi:type="dcterms:W3CDTF">2026-07-03T20:25:24.396Z</dcterms:modified>
</cp:coreProperties>
</file>

<file path=docProps/custom.xml><?xml version="1.0" encoding="utf-8"?>
<Properties xmlns="http://schemas.openxmlformats.org/officeDocument/2006/custom-properties" xmlns:vt="http://schemas.openxmlformats.org/officeDocument/2006/docPropsVTypes"/>
</file>