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48d749bafb37936de3dc78c8f94c29fd3d0ff80"/>
    <w:p>
      <w:pPr>
        <w:pStyle w:val="Heading1"/>
      </w:pPr>
      <w:r>
        <w:t xml:space="preserve">Backtest Discovery Report &amp; ₹1,00,000 Deployment Plan</w:t>
      </w:r>
    </w:p>
    <w:bookmarkStart w:id="20" w:name="version"/>
    <w:p>
      <w:pPr>
        <w:pStyle w:val="Heading2"/>
      </w:pPr>
      <w:r>
        <w:t xml:space="preserve">Version</w:t>
      </w:r>
    </w:p>
    <w:p>
      <w:pPr>
        <w:pStyle w:val="FirstParagraph"/>
      </w:pPr>
      <w:r>
        <w:t xml:space="preserve">Version: 1.0</w:t>
      </w:r>
    </w:p>
    <w:bookmarkEnd w:id="20"/>
    <w:bookmarkStart w:id="21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summarizes the findings from the historical backtest analysis and converts those findings into a practical deployment framework for managing a ₹1,00,000 trading portfolio.</w:t>
      </w:r>
    </w:p>
    <w:p>
      <w:pPr>
        <w:pStyle w:val="BodyText"/>
      </w:pPr>
      <w:r>
        <w:t xml:space="preserve">The objective is to bridge the gap between statistical discovery and real-world execution while maintaining disciplined risk management.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capital-feasibility-analysis"/>
    <w:p>
      <w:pPr>
        <w:pStyle w:val="Heading1"/>
      </w:pPr>
      <w:r>
        <w:t xml:space="preserve">1. Capital Feasibility Analysis</w:t>
      </w:r>
    </w:p>
    <w:bookmarkStart w:id="25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Determine whether a capital base of ₹1,00,000 is sufficient to execute the strategy effectively.</w:t>
      </w:r>
    </w:p>
    <w:bookmarkStart w:id="23" w:name="discovery-results"/>
    <w:p>
      <w:pPr>
        <w:pStyle w:val="Heading3"/>
      </w:pPr>
      <w:r>
        <w:t xml:space="preserve">Discovery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Entry Price</w:t>
            </w:r>
          </w:p>
        </w:tc>
        <w:tc>
          <w:tcPr/>
          <w:p>
            <w:pPr>
              <w:pStyle w:val="Compact"/>
            </w:pPr>
            <w:r>
              <w:t xml:space="preserve">₹329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Trades Below ₹500</w:t>
            </w:r>
          </w:p>
        </w:tc>
        <w:tc>
          <w:tcPr/>
          <w:p>
            <w:pPr>
              <w:pStyle w:val="Compact"/>
            </w:pPr>
            <w:r>
              <w:t xml:space="preserve">62.6%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Trades Below ₹2,000</w:t>
            </w:r>
          </w:p>
        </w:tc>
        <w:tc>
          <w:tcPr/>
          <w:p>
            <w:pPr>
              <w:pStyle w:val="Compact"/>
            </w:pPr>
            <w:r>
              <w:t xml:space="preserve">90.1%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Affordable Signals per Month</w:t>
            </w:r>
          </w:p>
        </w:tc>
        <w:tc>
          <w:tcPr/>
          <w:p>
            <w:pPr>
              <w:pStyle w:val="Compact"/>
            </w:pPr>
            <w:r>
              <w:t xml:space="preserve">~46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Kelly Optimal Bet (14-Day Horizon)</w:t>
            </w:r>
          </w:p>
        </w:tc>
        <w:tc>
          <w:tcPr/>
          <w:p>
            <w:pPr>
              <w:pStyle w:val="Compact"/>
            </w:pPr>
            <w:r>
              <w:t xml:space="preserve">1855%</w:t>
            </w:r>
          </w:p>
        </w:tc>
      </w:tr>
    </w:tbl>
    <w:bookmarkEnd w:id="23"/>
    <w:bookmarkStart w:id="24" w:name="interpretation"/>
    <w:p>
      <w:pPr>
        <w:pStyle w:val="Heading3"/>
      </w:pPr>
      <w:r>
        <w:t xml:space="preserve">Interpretation</w:t>
      </w:r>
    </w:p>
    <w:p>
      <w:pPr>
        <w:pStyle w:val="FirstParagraph"/>
      </w:pPr>
      <w:r>
        <w:t xml:space="preserve">The analysis indicates that capital availability is not the limiting factor.</w:t>
      </w:r>
    </w:p>
    <w:p>
      <w:pPr>
        <w:pStyle w:val="BodyText"/>
      </w:pPr>
      <w:r>
        <w:t xml:space="preserve">With a median entry price of approximately ₹329:</w:t>
      </w:r>
    </w:p>
    <w:p>
      <w:pPr>
        <w:pStyle w:val="Compact"/>
        <w:numPr>
          <w:ilvl w:val="0"/>
          <w:numId w:val="1001"/>
        </w:numPr>
      </w:pPr>
      <w:r>
        <w:t xml:space="preserve">200–300 shares can be purchased for many opportunities.</w:t>
      </w:r>
    </w:p>
    <w:p>
      <w:pPr>
        <w:pStyle w:val="Compact"/>
        <w:numPr>
          <w:ilvl w:val="0"/>
          <w:numId w:val="1001"/>
        </w:numPr>
      </w:pPr>
      <w:r>
        <w:t xml:space="preserve">Approximately 46 affordable signals appear each month.</w:t>
      </w:r>
    </w:p>
    <w:p>
      <w:pPr>
        <w:pStyle w:val="Compact"/>
        <w:numPr>
          <w:ilvl w:val="0"/>
          <w:numId w:val="1001"/>
        </w:numPr>
      </w:pPr>
      <w:r>
        <w:t xml:space="preserve">The practical limitation is signal selection rather than available capital.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9" w:name="horizon-performance-analysis"/>
    <w:p>
      <w:pPr>
        <w:pStyle w:val="Heading1"/>
      </w:pPr>
      <w:r>
        <w:t xml:space="preserve">2. Horizon Performance Analysis</w:t>
      </w:r>
    </w:p>
    <w:bookmarkStart w:id="27" w:name="performance-ranking"/>
    <w:p>
      <w:pPr>
        <w:pStyle w:val="Heading2"/>
      </w:pPr>
      <w:r>
        <w:t xml:space="preserve">Performance Ranking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1"/>
        <w:gridCol w:w="1827"/>
        <w:gridCol w:w="1340"/>
        <w:gridCol w:w="1096"/>
        <w:gridCol w:w="109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Holding Period</w:t>
            </w:r>
          </w:p>
        </w:tc>
        <w:tc>
          <w:tcPr/>
          <w:p>
            <w:pPr>
              <w:pStyle w:val="Compact"/>
            </w:pPr>
            <w:r>
              <w:t xml:space="preserve">Avg Return</w:t>
            </w:r>
          </w:p>
        </w:tc>
        <w:tc>
          <w:tcPr/>
          <w:p>
            <w:pPr>
              <w:pStyle w:val="Compact"/>
            </w:pPr>
            <w:r>
              <w:t xml:space="preserve">Win Rate</w:t>
            </w:r>
          </w:p>
        </w:tc>
        <w:tc>
          <w:tcPr/>
          <w:p>
            <w:pPr>
              <w:pStyle w:val="Compact"/>
            </w:pPr>
            <w:r>
              <w:t xml:space="preserve">Sharpe</w:t>
            </w:r>
          </w:p>
        </w:tc>
        <w:tc>
          <w:tcPr/>
          <w:p>
            <w:pPr>
              <w:pStyle w:val="Compact"/>
            </w:pPr>
            <w:r>
              <w:t xml:space="preserve">Profit Factor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14 Days</w:t>
            </w:r>
          </w:p>
        </w:tc>
        <w:tc>
          <w:tcPr/>
          <w:p>
            <w:pPr>
              <w:pStyle w:val="Compact"/>
            </w:pPr>
            <w:r>
              <w:t xml:space="preserve">+9.40%</w:t>
            </w:r>
          </w:p>
        </w:tc>
        <w:tc>
          <w:tcPr/>
          <w:p>
            <w:pPr>
              <w:pStyle w:val="Compact"/>
            </w:pPr>
            <w:r>
              <w:t xml:space="preserve">82.1%</w:t>
            </w:r>
          </w:p>
        </w:tc>
        <w:tc>
          <w:tcPr/>
          <w:p>
            <w:pPr>
              <w:pStyle w:val="Compact"/>
            </w:pPr>
            <w:r>
              <w:t xml:space="preserve">0.753</w:t>
            </w:r>
          </w:p>
        </w:tc>
        <w:tc>
          <w:tcPr/>
          <w:p>
            <w:pPr>
              <w:pStyle w:val="Compact"/>
            </w:pPr>
            <w:r>
              <w:t xml:space="preserve">13.90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  <w:tc>
          <w:tcPr/>
          <w:p>
            <w:pPr>
              <w:pStyle w:val="Compact"/>
            </w:pPr>
            <w:r>
              <w:t xml:space="preserve">+6.72%</w:t>
            </w:r>
          </w:p>
        </w:tc>
        <w:tc>
          <w:tcPr/>
          <w:p>
            <w:pPr>
              <w:pStyle w:val="Compact"/>
            </w:pPr>
            <w:r>
              <w:t xml:space="preserve">80.0%</w:t>
            </w:r>
          </w:p>
        </w:tc>
        <w:tc>
          <w:tcPr/>
          <w:p>
            <w:pPr>
              <w:pStyle w:val="Compact"/>
            </w:pPr>
            <w:r>
              <w:t xml:space="preserve">0.718</w:t>
            </w:r>
          </w:p>
        </w:tc>
        <w:tc>
          <w:tcPr/>
          <w:p>
            <w:pPr>
              <w:pStyle w:val="Compact"/>
            </w:pPr>
            <w:r>
              <w:t xml:space="preserve">11.67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+13.20%</w:t>
            </w:r>
          </w:p>
        </w:tc>
        <w:tc>
          <w:tcPr/>
          <w:p>
            <w:pPr>
              <w:pStyle w:val="Compact"/>
            </w:pPr>
            <w:r>
              <w:t xml:space="preserve">79.2%</w:t>
            </w:r>
          </w:p>
        </w:tc>
        <w:tc>
          <w:tcPr/>
          <w:p>
            <w:pPr>
              <w:pStyle w:val="Compact"/>
            </w:pPr>
            <w:r>
              <w:t xml:space="preserve">0.700</w:t>
            </w:r>
          </w:p>
        </w:tc>
        <w:tc>
          <w:tcPr/>
          <w:p>
            <w:pPr>
              <w:pStyle w:val="Compact"/>
            </w:pPr>
            <w:r>
              <w:t xml:space="preserve">12.24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45 Days</w:t>
            </w:r>
          </w:p>
        </w:tc>
        <w:tc>
          <w:tcPr/>
          <w:p>
            <w:pPr>
              <w:pStyle w:val="Compact"/>
            </w:pPr>
            <w:r>
              <w:t xml:space="preserve">+14.72%</w:t>
            </w:r>
          </w:p>
        </w:tc>
        <w:tc>
          <w:tcPr/>
          <w:p>
            <w:pPr>
              <w:pStyle w:val="Compact"/>
            </w:pPr>
            <w:r>
              <w:t xml:space="preserve">76.5%</w:t>
            </w:r>
          </w:p>
        </w:tc>
        <w:tc>
          <w:tcPr/>
          <w:p>
            <w:pPr>
              <w:pStyle w:val="Compact"/>
            </w:pPr>
            <w:r>
              <w:t xml:space="preserve">0.585</w:t>
            </w:r>
          </w:p>
        </w:tc>
        <w:tc>
          <w:tcPr/>
          <w:p>
            <w:pPr>
              <w:pStyle w:val="Compact"/>
            </w:pPr>
            <w:r>
              <w:t xml:space="preserve">9.37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60 Days</w:t>
            </w:r>
          </w:p>
        </w:tc>
        <w:tc>
          <w:tcPr/>
          <w:p>
            <w:pPr>
              <w:pStyle w:val="Compact"/>
            </w:pPr>
            <w:r>
              <w:t xml:space="preserve">+16.27%</w:t>
            </w:r>
          </w:p>
        </w:tc>
        <w:tc>
          <w:tcPr/>
          <w:p>
            <w:pPr>
              <w:pStyle w:val="Compact"/>
            </w:pPr>
            <w:r>
              <w:t xml:space="preserve">74.4%</w:t>
            </w:r>
          </w:p>
        </w:tc>
        <w:tc>
          <w:tcPr/>
          <w:p>
            <w:pPr>
              <w:pStyle w:val="Compact"/>
            </w:pPr>
            <w:r>
              <w:t xml:space="preserve">0.495</w:t>
            </w:r>
          </w:p>
        </w:tc>
        <w:tc>
          <w:tcPr/>
          <w:p>
            <w:pPr>
              <w:pStyle w:val="Compact"/>
            </w:pPr>
            <w:r>
              <w:t xml:space="preserve">8.08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+19.57%</w:t>
            </w:r>
          </w:p>
        </w:tc>
        <w:tc>
          <w:tcPr/>
          <w:p>
            <w:pPr>
              <w:pStyle w:val="Compact"/>
            </w:pPr>
            <w:r>
              <w:t xml:space="preserve">72.2%</w:t>
            </w:r>
          </w:p>
        </w:tc>
        <w:tc>
          <w:tcPr/>
          <w:p>
            <w:pPr>
              <w:pStyle w:val="Compact"/>
            </w:pPr>
            <w:r>
              <w:t xml:space="preserve">0.363</w:t>
            </w:r>
          </w:p>
        </w:tc>
        <w:tc>
          <w:tcPr/>
          <w:p>
            <w:pPr>
              <w:pStyle w:val="Compact"/>
            </w:pPr>
            <w:r>
              <w:t xml:space="preserve">6.99</w:t>
            </w:r>
          </w:p>
        </w:tc>
      </w:tr>
    </w:tbl>
    <w:bookmarkEnd w:id="27"/>
    <w:bookmarkStart w:id="28" w:name="key-observation"/>
    <w:p>
      <w:pPr>
        <w:pStyle w:val="Heading2"/>
      </w:pPr>
      <w:r>
        <w:t xml:space="preserve">Key Observation</w:t>
      </w:r>
    </w:p>
    <w:p>
      <w:pPr>
        <w:pStyle w:val="FirstParagraph"/>
      </w:pPr>
      <w:r>
        <w:t xml:space="preserve">The 14-day holding period delivers the highest risk-adjusted performance.</w:t>
      </w:r>
    </w:p>
    <w:p>
      <w:pPr>
        <w:pStyle w:val="BodyText"/>
      </w:pPr>
      <w:r>
        <w:t xml:space="preserve">Although longer holding periods generate higher absolute returns, their Sharpe Ratio declines steadily, indicating increasing risk per unit of return.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recommended-exit-framework"/>
    <w:p>
      <w:pPr>
        <w:pStyle w:val="Heading1"/>
      </w:pPr>
      <w:r>
        <w:t xml:space="preserve">3. Recommended Exit Framework</w:t>
      </w:r>
    </w:p>
    <w:bookmarkStart w:id="31" w:name="ladder-exit-strategy"/>
    <w:p>
      <w:pPr>
        <w:pStyle w:val="Heading2"/>
      </w:pPr>
      <w:r>
        <w:t xml:space="preserve">Ladder Exit Strategy</w:t>
      </w:r>
    </w:p>
    <w:p>
      <w:pPr>
        <w:pStyle w:val="FirstParagraph"/>
      </w:pPr>
      <w:r>
        <w:t xml:space="preserve">Position exits are divided equally across four holding periods.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7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14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30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60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</w:tbl>
    <w:bookmarkStart w:id="30" w:name="expected-benefits"/>
    <w:p>
      <w:pPr>
        <w:pStyle w:val="Heading3"/>
      </w:pPr>
      <w:r>
        <w:t xml:space="preserve">Expected Benefits</w:t>
      </w:r>
    </w:p>
    <w:p>
      <w:pPr>
        <w:pStyle w:val="Compact"/>
        <w:numPr>
          <w:ilvl w:val="0"/>
          <w:numId w:val="1002"/>
        </w:numPr>
      </w:pPr>
      <w:r>
        <w:t xml:space="preserve">Early profit realization</w:t>
      </w:r>
    </w:p>
    <w:p>
      <w:pPr>
        <w:pStyle w:val="Compact"/>
        <w:numPr>
          <w:ilvl w:val="0"/>
          <w:numId w:val="1002"/>
        </w:numPr>
      </w:pPr>
      <w:r>
        <w:t xml:space="preserve">Reduced winner-to-loser reversals</w:t>
      </w:r>
    </w:p>
    <w:p>
      <w:pPr>
        <w:pStyle w:val="Compact"/>
        <w:numPr>
          <w:ilvl w:val="0"/>
          <w:numId w:val="1002"/>
        </w:numPr>
      </w:pPr>
      <w:r>
        <w:t xml:space="preserve">Participation in larger trends</w:t>
      </w:r>
    </w:p>
    <w:p>
      <w:pPr>
        <w:pStyle w:val="Compact"/>
        <w:numPr>
          <w:ilvl w:val="0"/>
          <w:numId w:val="1002"/>
        </w:numPr>
      </w:pPr>
      <w:r>
        <w:t xml:space="preserve">Diversified exit timing</w:t>
      </w:r>
    </w:p>
    <w:p>
      <w:pPr>
        <w:pStyle w:val="FirstParagraph"/>
      </w:pPr>
      <w:r>
        <w:t xml:space="preserve">Reported combined statistics:</w:t>
      </w:r>
    </w:p>
    <w:p>
      <w:pPr>
        <w:pStyle w:val="Compact"/>
        <w:numPr>
          <w:ilvl w:val="0"/>
          <w:numId w:val="1003"/>
        </w:numPr>
      </w:pPr>
      <w:r>
        <w:t xml:space="preserve">Sharpe Ratio: 0.731</w:t>
      </w:r>
    </w:p>
    <w:p>
      <w:pPr>
        <w:pStyle w:val="Compact"/>
        <w:numPr>
          <w:ilvl w:val="0"/>
          <w:numId w:val="1003"/>
        </w:numPr>
      </w:pPr>
      <w:r>
        <w:t xml:space="preserve">Average Return: +11.39%</w:t>
      </w:r>
    </w:p>
    <w:p>
      <w:pPr>
        <w:pStyle w:val="Compact"/>
        <w:numPr>
          <w:ilvl w:val="0"/>
          <w:numId w:val="1003"/>
        </w:numPr>
      </w:pPr>
      <w:r>
        <w:t xml:space="preserve">Win Rate: 83%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5" w:name="risk-management-framework"/>
    <w:p>
      <w:pPr>
        <w:pStyle w:val="Heading1"/>
      </w:pPr>
      <w:r>
        <w:t xml:space="preserve">4. Risk Management Framework</w:t>
      </w:r>
    </w:p>
    <w:bookmarkStart w:id="34" w:name="statistical-findings"/>
    <w:p>
      <w:pPr>
        <w:pStyle w:val="Heading2"/>
      </w:pPr>
      <w:r>
        <w:t xml:space="preserve">Statistical Findings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2511"/>
        <w:gridCol w:w="28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Metric</w:t>
            </w:r>
          </w:p>
        </w:tc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Proposed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Worst Losses</w:t>
            </w:r>
          </w:p>
        </w:tc>
        <w:tc>
          <w:tcPr/>
          <w:p>
            <w:pPr>
              <w:pStyle w:val="Compact"/>
            </w:pPr>
            <w:r>
              <w:t xml:space="preserve">−19% to −32%</w:t>
            </w:r>
          </w:p>
        </w:tc>
        <w:tc>
          <w:tcPr/>
          <w:p>
            <w:pPr>
              <w:pStyle w:val="Compact"/>
            </w:pPr>
            <w:r>
              <w:t xml:space="preserve">Hard Stop: −12%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Drawdown During Trades</w:t>
            </w:r>
          </w:p>
        </w:tc>
        <w:tc>
          <w:tcPr/>
          <w:p>
            <w:pPr>
              <w:pStyle w:val="Compact"/>
            </w:pPr>
            <w:r>
              <w:t xml:space="preserve">Approximately 28%</w:t>
            </w:r>
          </w:p>
        </w:tc>
        <w:tc>
          <w:tcPr/>
          <w:p>
            <w:pPr>
              <w:pStyle w:val="Compact"/>
            </w:pPr>
            <w:r>
              <w:t xml:space="preserve">Move stop to breakeven after +10% 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Winner Reversal</w:t>
            </w:r>
          </w:p>
        </w:tc>
        <w:tc>
          <w:tcPr/>
          <w:p>
            <w:pPr>
              <w:pStyle w:val="Compact"/>
            </w:pPr>
            <w:r>
              <w:t xml:space="preserve">19% of 7-day winners became 90-day losers</w:t>
            </w:r>
          </w:p>
        </w:tc>
        <w:tc>
          <w:tcPr/>
          <w:p>
            <w:pPr>
              <w:pStyle w:val="Compact"/>
            </w:pPr>
            <w:r>
              <w:t xml:space="preserve">Partial profit 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Consecutive Losses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Prepare psychologically; avoid revenge trading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 Signals</w:t>
            </w:r>
          </w:p>
        </w:tc>
        <w:tc>
          <w:tcPr/>
          <w:p>
            <w:pPr>
              <w:pStyle w:val="Compact"/>
            </w:pPr>
            <w:r>
              <w:t xml:space="preserve">26 symbols generated 10+ signals</w:t>
            </w:r>
          </w:p>
        </w:tc>
        <w:tc>
          <w:tcPr/>
          <w:p>
            <w:pPr>
              <w:pStyle w:val="Compact"/>
            </w:pPr>
            <w:r>
              <w:t xml:space="preserve">Limit repeat exposure</w:t>
            </w:r>
          </w:p>
        </w:tc>
      </w:tr>
    </w:tbl>
    <w:bookmarkStart w:id="33" w:name="stop-management"/>
    <w:p>
      <w:pPr>
        <w:pStyle w:val="Heading3"/>
      </w:pPr>
      <w:r>
        <w:t xml:space="preserve">Stop Management</w:t>
      </w:r>
    </w:p>
    <w:p>
      <w:pPr>
        <w:pStyle w:val="FirstParagraph"/>
      </w:pPr>
      <w:r>
        <w:t xml:space="preserve">Hard Stop:</w:t>
      </w:r>
    </w:p>
    <w:p>
      <w:pPr>
        <w:pStyle w:val="Compact"/>
        <w:numPr>
          <w:ilvl w:val="0"/>
          <w:numId w:val="1004"/>
        </w:numPr>
      </w:pPr>
      <w:r>
        <w:t xml:space="preserve">12% below entry.</w:t>
      </w:r>
    </w:p>
    <w:p>
      <w:pPr>
        <w:pStyle w:val="FirstParagraph"/>
      </w:pPr>
      <w:r>
        <w:t xml:space="preserve">Breakeven Rule:</w:t>
      </w:r>
    </w:p>
    <w:p>
      <w:pPr>
        <w:pStyle w:val="Compact"/>
        <w:numPr>
          <w:ilvl w:val="0"/>
          <w:numId w:val="1005"/>
        </w:numPr>
      </w:pPr>
      <w:r>
        <w:t xml:space="preserve">Once profit reaches +10%, move stop loss to entry price.</w:t>
      </w:r>
    </w:p>
    <w:p>
      <w:pPr>
        <w:pStyle w:val="FirstParagraph"/>
      </w:pPr>
      <w:r>
        <w:t xml:space="preserve">Time Stop:</w:t>
      </w:r>
    </w:p>
    <w:p>
      <w:pPr>
        <w:pStyle w:val="Compact"/>
        <w:numPr>
          <w:ilvl w:val="0"/>
          <w:numId w:val="1006"/>
        </w:numPr>
      </w:pPr>
      <w:r>
        <w:t xml:space="preserve">If the trade remains negative after Day 14, exit at market.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7" w:name="portfolio-construction"/>
    <w:p>
      <w:pPr>
        <w:pStyle w:val="Heading1"/>
      </w:pPr>
      <w:r>
        <w:t xml:space="preserve">5. Portfolio Construction</w:t>
      </w:r>
    </w:p>
    <w:bookmarkStart w:id="36" w:name="capital-allocation"/>
    <w:p>
      <w:pPr>
        <w:pStyle w:val="Heading2"/>
      </w:pPr>
      <w:r>
        <w:t xml:space="preserve">Capital Allocation</w:t>
      </w:r>
    </w:p>
    <w:p>
      <w:pPr>
        <w:pStyle w:val="FirstParagraph"/>
      </w:pPr>
      <w:r>
        <w:t xml:space="preserve">Total Capital:</w:t>
      </w:r>
      <w:r>
        <w:t xml:space="preserve"> </w:t>
      </w:r>
      <w:r>
        <w:t xml:space="preserve">₹1,00,000</w:t>
      </w:r>
    </w:p>
    <w:p>
      <w:pPr>
        <w:pStyle w:val="BodyText"/>
      </w:pPr>
      <w:r>
        <w:t xml:space="preserve">Maximum Simultaneous Positions:</w:t>
      </w:r>
      <w:r>
        <w:t xml:space="preserve"> </w:t>
      </w:r>
      <w:r>
        <w:t xml:space="preserve">3–4</w:t>
      </w:r>
    </w:p>
    <w:p>
      <w:pPr>
        <w:pStyle w:val="BodyText"/>
      </w:pPr>
      <w:r>
        <w:t xml:space="preserve">Capital Per Position:</w:t>
      </w:r>
      <w:r>
        <w:t xml:space="preserve"> </w:t>
      </w:r>
      <w:r>
        <w:t xml:space="preserve">₹25,000–₹33,000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Median Price = ₹329</w:t>
      </w:r>
    </w:p>
    <w:p>
      <w:pPr>
        <w:pStyle w:val="BodyText"/>
      </w:pPr>
      <w:r>
        <w:t xml:space="preserve">Position Size:</w:t>
      </w:r>
    </w:p>
    <w:p>
      <w:pPr>
        <w:pStyle w:val="BodyText"/>
      </w:pPr>
      <w:r>
        <w:t xml:space="preserve">₹25,000 ÷ ₹329 ≈ 75 shares</w:t>
      </w:r>
    </w:p>
    <w:p>
      <w:pPr>
        <w:pStyle w:val="BodyText"/>
      </w:pPr>
      <w:r>
        <w:t xml:space="preserve">Approximate deployment:</w:t>
      </w:r>
    </w:p>
    <w:p>
      <w:pPr>
        <w:pStyle w:val="Compact"/>
        <w:numPr>
          <w:ilvl w:val="0"/>
          <w:numId w:val="1007"/>
        </w:numPr>
      </w:pPr>
      <w:r>
        <w:t xml:space="preserve">Three positions</w:t>
      </w:r>
    </w:p>
    <w:p>
      <w:pPr>
        <w:pStyle w:val="Compact"/>
        <w:numPr>
          <w:ilvl w:val="0"/>
          <w:numId w:val="1007"/>
        </w:numPr>
      </w:pPr>
      <w:r>
        <w:t xml:space="preserve">~₹74,000 invested</w:t>
      </w:r>
    </w:p>
    <w:p>
      <w:pPr>
        <w:pStyle w:val="Compact"/>
        <w:numPr>
          <w:ilvl w:val="0"/>
          <w:numId w:val="1007"/>
        </w:numPr>
      </w:pPr>
      <w:r>
        <w:t xml:space="preserve">₹26,000 retained as cash reserve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ignal-selection-rules"/>
    <w:p>
      <w:pPr>
        <w:pStyle w:val="Heading1"/>
      </w:pPr>
      <w:r>
        <w:t xml:space="preserve">6. Signal Selection Rules</w:t>
      </w:r>
    </w:p>
    <w:p>
      <w:pPr>
        <w:pStyle w:val="FirstParagraph"/>
      </w:pPr>
      <w:r>
        <w:t xml:space="preserve">Because approximately 46 signals may appear monthly, selection criteria become essential.</w:t>
      </w:r>
    </w:p>
    <w:p>
      <w:pPr>
        <w:pStyle w:val="BodyText"/>
      </w:pPr>
      <w:r>
        <w:t xml:space="preserve">Priority ranking:</w:t>
      </w:r>
    </w:p>
    <w:p>
      <w:pPr>
        <w:pStyle w:val="Compact"/>
        <w:numPr>
          <w:ilvl w:val="0"/>
          <w:numId w:val="1008"/>
        </w:numPr>
      </w:pPr>
      <w:r>
        <w:t xml:space="preserve">Entry price ≤ ₹600</w:t>
      </w:r>
    </w:p>
    <w:p>
      <w:pPr>
        <w:pStyle w:val="Compact"/>
        <w:numPr>
          <w:ilvl w:val="0"/>
          <w:numId w:val="1008"/>
        </w:numPr>
      </w:pPr>
      <w:r>
        <w:t xml:space="preserve">Prefer Midcap over Smallcap</w:t>
      </w:r>
    </w:p>
    <w:p>
      <w:pPr>
        <w:pStyle w:val="Compact"/>
        <w:numPr>
          <w:ilvl w:val="0"/>
          <w:numId w:val="1008"/>
        </w:numPr>
      </w:pPr>
      <w:r>
        <w:t xml:space="preserve">Skip stocks traded within the previous 30 days</w:t>
      </w:r>
    </w:p>
    <w:p>
      <w:pPr>
        <w:pStyle w:val="Compact"/>
        <w:numPr>
          <w:ilvl w:val="0"/>
          <w:numId w:val="1008"/>
        </w:numPr>
      </w:pPr>
      <w:r>
        <w:t xml:space="preserve">Avoid duplicate sector exposure</w:t>
      </w:r>
    </w:p>
    <w:p>
      <w:pPr>
        <w:pStyle w:val="Compact"/>
        <w:numPr>
          <w:ilvl w:val="0"/>
          <w:numId w:val="1008"/>
        </w:numPr>
      </w:pPr>
      <w:r>
        <w:t xml:space="preserve">If choosing between two candidates, prefer stronger recent momentum</w:t>
      </w:r>
    </w:p>
    <w:p>
      <w:r>
        <w:pict>
          <v:rect style="width:0;height:1.5pt" o:hralign="center" o:hrstd="t" o:hr="t"/>
        </w:pict>
      </w:r>
    </w:p>
    <w:bookmarkEnd w:id="38"/>
    <w:bookmarkStart w:id="39" w:name="cost-assumptions"/>
    <w:p>
      <w:pPr>
        <w:pStyle w:val="Heading1"/>
      </w:pPr>
      <w:r>
        <w:t xml:space="preserve">7. Cost Assumptions</w:t>
      </w:r>
    </w:p>
    <w:p>
      <w:pPr>
        <w:pStyle w:val="FirstParagraph"/>
      </w:pPr>
      <w:r>
        <w:t xml:space="preserve">Estimated transaction cost per ₹25,000 trade: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Estimated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Brokerage</w:t>
            </w:r>
          </w:p>
        </w:tc>
        <w:tc>
          <w:tcPr/>
          <w:p>
            <w:pPr>
              <w:pStyle w:val="Compact"/>
            </w:pPr>
            <w:r>
              <w:t xml:space="preserve">₹80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Taxes &amp; Charges</w:t>
            </w:r>
          </w:p>
        </w:tc>
        <w:tc>
          <w:tcPr/>
          <w:p>
            <w:pPr>
              <w:pStyle w:val="Compact"/>
            </w:pPr>
            <w:r>
              <w:t xml:space="preserve">₹25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Slippage</w:t>
            </w:r>
          </w:p>
        </w:tc>
        <w:tc>
          <w:tcPr/>
          <w:p>
            <w:pPr>
              <w:pStyle w:val="Compact"/>
            </w:pPr>
            <w:r>
              <w:t xml:space="preserve">₹125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₹230</w:t>
            </w:r>
          </w:p>
        </w:tc>
      </w:tr>
    </w:tbl>
    <w:p>
      <w:pPr>
        <w:pStyle w:val="BodyText"/>
      </w:pPr>
      <w:r>
        <w:t xml:space="preserve">Estimated cost impact:</w:t>
      </w:r>
    </w:p>
    <w:p>
      <w:pPr>
        <w:pStyle w:val="BodyText"/>
      </w:pPr>
      <w:r>
        <w:t xml:space="preserve">Approximately 0.9% per trade.</w:t>
      </w:r>
    </w:p>
    <w:p>
      <w:r>
        <w:pict>
          <v:rect style="width:0;height:1.5pt" o:hralign="center" o:hrstd="t" o:hr="t"/>
        </w:pict>
      </w:r>
    </w:p>
    <w:bookmarkEnd w:id="39"/>
    <w:bookmarkStart w:id="40" w:name="portfolio-guardrails"/>
    <w:p>
      <w:pPr>
        <w:pStyle w:val="Heading1"/>
      </w:pPr>
      <w:r>
        <w:t xml:space="preserve">8. Portfolio Guardrails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Open Positions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Exposure Per Sector</w:t>
            </w:r>
          </w:p>
        </w:tc>
        <w:tc>
          <w:tcPr/>
          <w:p>
            <w:pPr>
              <w:pStyle w:val="Compact"/>
            </w:pPr>
            <w:r>
              <w:t xml:space="preserve">One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Exposure Per Stock</w:t>
            </w:r>
          </w:p>
        </w:tc>
        <w:tc>
          <w:tcPr/>
          <w:p>
            <w:pPr>
              <w:pStyle w:val="Compact"/>
            </w:pPr>
            <w:r>
              <w:t xml:space="preserve">One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Reserve</w:t>
            </w:r>
          </w:p>
        </w:tc>
        <w:tc>
          <w:tcPr/>
          <w:p>
            <w:pPr>
              <w:pStyle w:val="Compact"/>
            </w:pPr>
            <w:r>
              <w:t xml:space="preserve">₹20,000–₹25,000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Portfolio Loss Limit</w:t>
            </w:r>
          </w:p>
        </w:tc>
        <w:tc>
          <w:tcPr/>
          <w:p>
            <w:pPr>
              <w:pStyle w:val="Compact"/>
            </w:pPr>
            <w:r>
              <w:t xml:space="preserve">₹2,000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 Drawdown Review Threshold</w:t>
            </w:r>
          </w:p>
        </w:tc>
        <w:tc>
          <w:tcPr/>
          <w:p>
            <w:pPr>
              <w:pStyle w:val="Compact"/>
            </w:pPr>
            <w:r>
              <w:t xml:space="preserve">−15%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4" w:name="repeat-signal-policy"/>
    <w:p>
      <w:pPr>
        <w:pStyle w:val="Heading1"/>
      </w:pPr>
      <w:r>
        <w:t xml:space="preserve">9. Repeat Signal Policy</w:t>
      </w:r>
    </w:p>
    <w:p>
      <w:pPr>
        <w:pStyle w:val="FirstParagraph"/>
      </w:pPr>
      <w:r>
        <w:t xml:space="preserve">Suggested handling:</w:t>
      </w:r>
    </w:p>
    <w:bookmarkStart w:id="41" w:name="signal-within-30-days"/>
    <w:p>
      <w:pPr>
        <w:pStyle w:val="Heading3"/>
      </w:pPr>
      <w:r>
        <w:t xml:space="preserve">Signal within 30 Days</w:t>
      </w:r>
    </w:p>
    <w:p>
      <w:pPr>
        <w:pStyle w:val="FirstParagraph"/>
      </w:pPr>
      <w:r>
        <w:t xml:space="preserve">Skip.</w:t>
      </w:r>
    </w:p>
    <w:bookmarkEnd w:id="41"/>
    <w:bookmarkStart w:id="42" w:name="signal-after-60-days"/>
    <w:p>
      <w:pPr>
        <w:pStyle w:val="Heading3"/>
      </w:pPr>
      <w:r>
        <w:t xml:space="preserve">Signal after 60 Days</w:t>
      </w:r>
    </w:p>
    <w:p>
      <w:pPr>
        <w:pStyle w:val="FirstParagraph"/>
      </w:pPr>
      <w:r>
        <w:t xml:space="preserve">Consider entry at reduced size.</w:t>
      </w:r>
    </w:p>
    <w:bookmarkEnd w:id="42"/>
    <w:bookmarkStart w:id="43" w:name="frequent-repeat-symbols"/>
    <w:p>
      <w:pPr>
        <w:pStyle w:val="Heading3"/>
      </w:pPr>
      <w:r>
        <w:t xml:space="preserve">Frequent Repeat Symbols</w:t>
      </w:r>
    </w:p>
    <w:p>
      <w:pPr>
        <w:pStyle w:val="FirstParagraph"/>
      </w:pPr>
      <w:r>
        <w:t xml:space="preserve">Monitor separately for persistent underperformance before allocating capital.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expected-practical-outcomes"/>
    <w:p>
      <w:pPr>
        <w:pStyle w:val="Heading1"/>
      </w:pPr>
      <w:r>
        <w:t xml:space="preserve">10. Expected Practical Outcomes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Historical Backtest</w:t>
            </w:r>
          </w:p>
        </w:tc>
        <w:tc>
          <w:tcPr/>
          <w:p>
            <w:pPr>
              <w:pStyle w:val="Compact"/>
            </w:pPr>
            <w:r>
              <w:t xml:space="preserve">Practical Expectation*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Trade Return</w:t>
            </w:r>
          </w:p>
        </w:tc>
        <w:tc>
          <w:tcPr/>
          <w:p>
            <w:pPr>
              <w:pStyle w:val="Compact"/>
            </w:pPr>
            <w:r>
              <w:t xml:space="preserve">+9.40%</w:t>
            </w:r>
          </w:p>
        </w:tc>
        <w:tc>
          <w:tcPr/>
          <w:p>
            <w:pPr>
              <w:pStyle w:val="Compact"/>
            </w:pPr>
            <w:r>
              <w:t xml:space="preserve">+4% to +7%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 Rate</w:t>
            </w:r>
          </w:p>
        </w:tc>
        <w:tc>
          <w:tcPr/>
          <w:p>
            <w:pPr>
              <w:pStyle w:val="Compact"/>
            </w:pPr>
            <w:r>
              <w:t xml:space="preserve">82.1%</w:t>
            </w:r>
          </w:p>
        </w:tc>
        <w:tc>
          <w:tcPr/>
          <w:p>
            <w:pPr>
              <w:pStyle w:val="Compact"/>
            </w:pPr>
            <w:r>
              <w:t xml:space="preserve">65%–75%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Return</w:t>
            </w:r>
          </w:p>
        </w:tc>
        <w:tc>
          <w:tcPr/>
          <w:p>
            <w:pPr>
              <w:pStyle w:val="Compact"/>
            </w:pPr>
            <w:r>
              <w:t xml:space="preserve">₹6.9k–₹12.3k</w:t>
            </w:r>
          </w:p>
        </w:tc>
        <w:tc>
          <w:tcPr/>
          <w:p>
            <w:pPr>
              <w:pStyle w:val="Compact"/>
            </w:pPr>
            <w:r>
              <w:t xml:space="preserve">₹3k–₹6k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Return</w:t>
            </w:r>
          </w:p>
        </w:tc>
        <w:tc>
          <w:tcPr/>
          <w:p>
            <w:pPr>
              <w:pStyle w:val="Compact"/>
            </w:pPr>
            <w:r>
              <w:t xml:space="preserve">85–150%+</w:t>
            </w:r>
          </w:p>
        </w:tc>
        <w:tc>
          <w:tcPr/>
          <w:p>
            <w:pPr>
              <w:pStyle w:val="Compact"/>
            </w:pPr>
            <w:r>
              <w:t xml:space="preserve">30–60%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Drawdown</w:t>
            </w:r>
          </w:p>
        </w:tc>
        <w:tc>
          <w:tcPr/>
          <w:p>
            <w:pPr>
              <w:pStyle w:val="Compact"/>
            </w:pPr>
            <w:r>
              <w:t xml:space="preserve">&lt;1%</w:t>
            </w:r>
          </w:p>
        </w:tc>
        <w:tc>
          <w:tcPr/>
          <w:p>
            <w:pPr>
              <w:pStyle w:val="Compact"/>
            </w:pPr>
            <w:r>
              <w:t xml:space="preserve">8–15%</w:t>
            </w:r>
          </w:p>
        </w:tc>
      </w:tr>
    </w:tbl>
    <w:p>
      <w:pPr>
        <w:pStyle w:val="BodyText"/>
      </w:pPr>
      <w:r>
        <w:t xml:space="preserve">*These practical expectations are planning assumptions and have not been validated by historical testing.</w:t>
      </w:r>
    </w:p>
    <w:p>
      <w:r>
        <w:pict>
          <v:rect style="width:0;height:1.5pt" o:hralign="center" o:hrstd="t" o:hr="t"/>
        </w:pict>
      </w:r>
    </w:p>
    <w:bookmarkEnd w:id="45"/>
    <w:bookmarkStart w:id="46" w:name="daily-execution-workflow"/>
    <w:p>
      <w:pPr>
        <w:pStyle w:val="Heading1"/>
      </w:pPr>
      <w:r>
        <w:t xml:space="preserve">11. Daily Execution Workflow</w:t>
      </w:r>
    </w:p>
    <w:p>
      <w:pPr>
        <w:pStyle w:val="Compact"/>
        <w:numPr>
          <w:ilvl w:val="0"/>
          <w:numId w:val="1009"/>
        </w:numPr>
      </w:pPr>
      <w:r>
        <w:t xml:space="preserve">Review today’s generated signals.</w:t>
      </w:r>
    </w:p>
    <w:p>
      <w:pPr>
        <w:pStyle w:val="Compact"/>
        <w:numPr>
          <w:ilvl w:val="0"/>
          <w:numId w:val="1009"/>
        </w:numPr>
      </w:pPr>
      <w:r>
        <w:t xml:space="preserve">Apply selection filters.</w:t>
      </w:r>
    </w:p>
    <w:p>
      <w:pPr>
        <w:pStyle w:val="Compact"/>
        <w:numPr>
          <w:ilvl w:val="0"/>
          <w:numId w:val="1009"/>
        </w:numPr>
      </w:pPr>
      <w:r>
        <w:t xml:space="preserve">Calculate position size.</w:t>
      </w:r>
    </w:p>
    <w:p>
      <w:pPr>
        <w:pStyle w:val="Compact"/>
        <w:numPr>
          <w:ilvl w:val="0"/>
          <w:numId w:val="1009"/>
        </w:numPr>
      </w:pPr>
      <w:r>
        <w:t xml:space="preserve">Enter using a limit order.</w:t>
      </w:r>
    </w:p>
    <w:p>
      <w:pPr>
        <w:pStyle w:val="Compact"/>
        <w:numPr>
          <w:ilvl w:val="0"/>
          <w:numId w:val="1009"/>
        </w:numPr>
      </w:pPr>
      <w:r>
        <w:t xml:space="preserve">Set stop-loss and alerts.</w:t>
      </w:r>
    </w:p>
    <w:p>
      <w:pPr>
        <w:pStyle w:val="Compact"/>
        <w:numPr>
          <w:ilvl w:val="0"/>
          <w:numId w:val="1009"/>
        </w:numPr>
      </w:pPr>
      <w:r>
        <w:t xml:space="preserve">Execute Day 7 partial exit.</w:t>
      </w:r>
    </w:p>
    <w:p>
      <w:pPr>
        <w:pStyle w:val="Compact"/>
        <w:numPr>
          <w:ilvl w:val="0"/>
          <w:numId w:val="1009"/>
        </w:numPr>
      </w:pPr>
      <w:r>
        <w:t xml:space="preserve">Execute Day 14 partial exit.</w:t>
      </w:r>
    </w:p>
    <w:p>
      <w:pPr>
        <w:pStyle w:val="Compact"/>
        <w:numPr>
          <w:ilvl w:val="0"/>
          <w:numId w:val="1009"/>
        </w:numPr>
      </w:pPr>
      <w:r>
        <w:t xml:space="preserve">Execute Day 30 partial exit.</w:t>
      </w:r>
    </w:p>
    <w:p>
      <w:pPr>
        <w:pStyle w:val="Compact"/>
        <w:numPr>
          <w:ilvl w:val="0"/>
          <w:numId w:val="1009"/>
        </w:numPr>
      </w:pPr>
      <w:r>
        <w:t xml:space="preserve">Execute Day 60 final exit.</w:t>
      </w:r>
    </w:p>
    <w:p>
      <w:pPr>
        <w:pStyle w:val="Compact"/>
        <w:numPr>
          <w:ilvl w:val="0"/>
          <w:numId w:val="1009"/>
        </w:numPr>
      </w:pPr>
      <w:r>
        <w:t xml:space="preserve">Record actual trade performance.</w:t>
      </w:r>
    </w:p>
    <w:p>
      <w:r>
        <w:pict>
          <v:rect style="width:0;height:1.5pt" o:hralign="center" o:hrstd="t" o:hr="t"/>
        </w:pict>
      </w:r>
    </w:p>
    <w:bookmarkEnd w:id="46"/>
    <w:bookmarkStart w:id="47" w:name="operational-questions"/>
    <w:p>
      <w:pPr>
        <w:pStyle w:val="Heading1"/>
      </w:pPr>
      <w:r>
        <w:t xml:space="preserve">12. Operational Questions</w:t>
      </w:r>
    </w:p>
    <w:p>
      <w:pPr>
        <w:pStyle w:val="FirstParagraph"/>
      </w:pPr>
      <w:r>
        <w:t xml:space="preserve">Before deployment, confirm:</w:t>
      </w:r>
    </w:p>
    <w:p>
      <w:pPr>
        <w:pStyle w:val="Compact"/>
        <w:numPr>
          <w:ilvl w:val="0"/>
          <w:numId w:val="1010"/>
        </w:numPr>
      </w:pPr>
      <w:r>
        <w:t xml:space="preserve">Brokerage structure</w:t>
      </w:r>
    </w:p>
    <w:p>
      <w:pPr>
        <w:pStyle w:val="Compact"/>
        <w:numPr>
          <w:ilvl w:val="0"/>
          <w:numId w:val="1010"/>
        </w:numPr>
      </w:pPr>
      <w:r>
        <w:t xml:space="preserve">Ability to monitor trades daily</w:t>
      </w:r>
    </w:p>
    <w:p>
      <w:pPr>
        <w:pStyle w:val="Compact"/>
        <w:numPr>
          <w:ilvl w:val="0"/>
          <w:numId w:val="1010"/>
        </w:numPr>
      </w:pPr>
      <w:r>
        <w:t xml:space="preserve">Preferred order type (limit or market)</w:t>
      </w:r>
    </w:p>
    <w:p>
      <w:pPr>
        <w:pStyle w:val="Compact"/>
        <w:numPr>
          <w:ilvl w:val="0"/>
          <w:numId w:val="1010"/>
        </w:numPr>
      </w:pPr>
      <w:r>
        <w:t xml:space="preserve">Availability of a ranking/tracking tool</w:t>
      </w:r>
    </w:p>
    <w:p>
      <w:pPr>
        <w:pStyle w:val="Compact"/>
        <w:numPr>
          <w:ilvl w:val="0"/>
          <w:numId w:val="1010"/>
        </w:numPr>
      </w:pPr>
      <w:r>
        <w:t xml:space="preserve">Whether the strategy is supplemental income or primary income</w:t>
      </w:r>
    </w:p>
    <w:p>
      <w:r>
        <w:pict>
          <v:rect style="width:0;height:1.5pt" o:hralign="center" o:hrstd="t" o:hr="t"/>
        </w:pict>
      </w:r>
    </w:p>
    <w:bookmarkEnd w:id="47"/>
    <w:bookmarkStart w:id="48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The historical analysis suggests that ₹1,00,000 is sufficient capital to execute the strategy.</w:t>
      </w:r>
    </w:p>
    <w:p>
      <w:pPr>
        <w:pStyle w:val="BodyText"/>
      </w:pPr>
      <w:r>
        <w:t xml:space="preserve">The primary operational challenge is selecting the highest-quality opportunities from a large number of available signals.</w:t>
      </w:r>
    </w:p>
    <w:p>
      <w:pPr>
        <w:pStyle w:val="BodyText"/>
      </w:pPr>
      <w:r>
        <w:t xml:space="preserve">The 14-day holding period demonstrates the strongest risk-adjusted performance, while a four-stage ladder exit may provide a balanced trade-off between early profit capture and participation in longer trends.</w:t>
      </w:r>
    </w:p>
    <w:p>
      <w:pPr>
        <w:pStyle w:val="BodyText"/>
      </w:pPr>
      <w:r>
        <w:t xml:space="preserve">A disciplined implementation should emphasize:</w:t>
      </w:r>
    </w:p>
    <w:p>
      <w:pPr>
        <w:pStyle w:val="Compact"/>
        <w:numPr>
          <w:ilvl w:val="0"/>
          <w:numId w:val="1011"/>
        </w:numPr>
      </w:pPr>
      <w:r>
        <w:t xml:space="preserve">Controlled position sizing</w:t>
      </w:r>
    </w:p>
    <w:p>
      <w:pPr>
        <w:pStyle w:val="Compact"/>
        <w:numPr>
          <w:ilvl w:val="0"/>
          <w:numId w:val="1011"/>
        </w:numPr>
      </w:pPr>
      <w:r>
        <w:t xml:space="preserve">Strict stop-loss enforcement</w:t>
      </w:r>
    </w:p>
    <w:p>
      <w:pPr>
        <w:pStyle w:val="Compact"/>
        <w:numPr>
          <w:ilvl w:val="0"/>
          <w:numId w:val="1011"/>
        </w:numPr>
      </w:pPr>
      <w:r>
        <w:t xml:space="preserve">Diversification across sectors</w:t>
      </w:r>
    </w:p>
    <w:p>
      <w:pPr>
        <w:pStyle w:val="Compact"/>
        <w:numPr>
          <w:ilvl w:val="0"/>
          <w:numId w:val="1011"/>
        </w:numPr>
      </w:pPr>
      <w:r>
        <w:t xml:space="preserve">Careful signal selection</w:t>
      </w:r>
    </w:p>
    <w:p>
      <w:pPr>
        <w:pStyle w:val="Compact"/>
        <w:numPr>
          <w:ilvl w:val="0"/>
          <w:numId w:val="1011"/>
        </w:numPr>
      </w:pPr>
      <w:r>
        <w:t xml:space="preserve">Consistent performance tracking</w:t>
      </w:r>
    </w:p>
    <w:p>
      <w:pPr>
        <w:pStyle w:val="FirstParagraph"/>
      </w:pPr>
      <w:r>
        <w:t xml:space="preserve">Several implementation rules and return expectations described in this document are operational assumptions and should be validated through forward testing or paper trading before live deployment.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2026-07-19T16:57:05Z</dcterms:created>
  <dcterms:modified xsi:type="dcterms:W3CDTF">2026-07-19T16:57:05Z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