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A8CEF"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明白了。我将对你列出的所有金融学经典书籍进行深度提炼与系统化研究，内容将涵盖核心理论、作者背景、市场与行为分析、投资策略，并与当前市场状况（包括美股近期波动、特朗普的关税政策、全球金融风险与美</w:t>
      </w:r>
      <w:proofErr w:type="gramStart"/>
      <w:r w:rsidRPr="00CA29E9">
        <w:rPr>
          <w:rFonts w:ascii="宋体" w:eastAsia="宋体" w:hAnsi="宋体" w:cs="宋体"/>
          <w:kern w:val="0"/>
          <w:sz w:val="24"/>
          <w14:ligatures w14:val="none"/>
        </w:rPr>
        <w:t>债需求</w:t>
      </w:r>
      <w:proofErr w:type="gramEnd"/>
      <w:r w:rsidRPr="00CA29E9">
        <w:rPr>
          <w:rFonts w:ascii="宋体" w:eastAsia="宋体" w:hAnsi="宋体" w:cs="宋体"/>
          <w:kern w:val="0"/>
          <w:sz w:val="24"/>
          <w14:ligatures w14:val="none"/>
        </w:rPr>
        <w:t>之间的关系）相结合。</w:t>
      </w:r>
    </w:p>
    <w:p w14:paraId="19ED894A"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研究成果将以中文报告的形式呈现，包含结构化对比、知识地图、实操工具和长期优化路径。完成后我会第一时间与你分享。</w:t>
      </w:r>
    </w:p>
    <w:p w14:paraId="48B894E7" w14:textId="77777777" w:rsidR="00CA29E9" w:rsidRPr="00CA29E9" w:rsidRDefault="00CA29E9" w:rsidP="00CA29E9">
      <w:pPr>
        <w:widowControl/>
        <w:spacing w:before="100" w:beforeAutospacing="1" w:after="100" w:afterAutospacing="1" w:line="240" w:lineRule="auto"/>
        <w:outlineLvl w:val="0"/>
        <w:rPr>
          <w:rFonts w:ascii="宋体" w:eastAsia="宋体" w:hAnsi="宋体" w:cs="宋体"/>
          <w:b/>
          <w:bCs/>
          <w:kern w:val="36"/>
          <w:sz w:val="48"/>
          <w:szCs w:val="48"/>
          <w14:ligatures w14:val="none"/>
        </w:rPr>
      </w:pPr>
      <w:r w:rsidRPr="00CA29E9">
        <w:rPr>
          <w:rFonts w:ascii="宋体" w:eastAsia="宋体" w:hAnsi="宋体" w:cs="宋体"/>
          <w:b/>
          <w:bCs/>
          <w:kern w:val="36"/>
          <w:sz w:val="48"/>
          <w:szCs w:val="48"/>
          <w14:ligatures w14:val="none"/>
        </w:rPr>
        <w:t>经典金融书籍深度研究报告</w:t>
      </w:r>
    </w:p>
    <w:p w14:paraId="6C354485"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1. 经典书籍内容提炼与结构化总结</w:t>
      </w:r>
    </w:p>
    <w:p w14:paraId="5292A404" w14:textId="77777777" w:rsidR="00CA29E9" w:rsidRPr="00CA29E9" w:rsidRDefault="00CA29E9" w:rsidP="00CA29E9">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A29E9">
        <w:rPr>
          <w:rFonts w:ascii="宋体" w:eastAsia="宋体" w:hAnsi="宋体" w:cs="宋体"/>
          <w:b/>
          <w:bCs/>
          <w:kern w:val="0"/>
          <w:sz w:val="27"/>
          <w:szCs w:val="27"/>
          <w14:ligatures w14:val="none"/>
        </w:rPr>
        <w:t>投资类经典书籍</w:t>
      </w:r>
    </w:p>
    <w:p w14:paraId="5EAB177A" w14:textId="77777777" w:rsidR="00CA29E9" w:rsidRPr="00CA29E9" w:rsidRDefault="00CA29E9" w:rsidP="00CA29E9">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《聪明的投资者》</w:t>
      </w:r>
      <w:r w:rsidRPr="00CA29E9">
        <w:rPr>
          <w:rFonts w:ascii="宋体" w:eastAsia="宋体" w:hAnsi="宋体" w:cs="宋体"/>
          <w:kern w:val="0"/>
          <w:sz w:val="24"/>
          <w14:ligatures w14:val="none"/>
        </w:rPr>
        <w:t>（本杰明·格雷厄姆）：提出了价值投资的核心理念，主张通过基本面分析确定公司的内在价值，并在市场价格显著低于内在价值时买入，即坚持**“安全边际”**原则 (</w:t>
      </w:r>
      <w:hyperlink r:id="rId5" w:anchor=":~:text=The%20margin%20of%20safety%20is,lower%20than%20their%20intrinsic%20value" w:history="1">
        <w:r w:rsidRPr="00CA29E9">
          <w:rPr>
            <w:rFonts w:ascii="宋体" w:eastAsia="宋体" w:hAnsi="宋体" w:cs="宋体"/>
            <w:color w:val="0000FF"/>
            <w:kern w:val="0"/>
            <w:sz w:val="24"/>
            <w:u w:val="single"/>
            <w14:ligatures w14:val="none"/>
          </w:rPr>
          <w:t>Margin of Safety: Definition and Examples</w:t>
        </w:r>
      </w:hyperlink>
      <w:r w:rsidRPr="00CA29E9">
        <w:rPr>
          <w:rFonts w:ascii="宋体" w:eastAsia="宋体" w:hAnsi="宋体" w:cs="宋体"/>
          <w:kern w:val="0"/>
          <w:sz w:val="24"/>
          <w14:ligatures w14:val="none"/>
        </w:rPr>
        <w:t>)。格雷厄姆认为股票市场短期可能非理性波动，但长期来看股价会回归反映公司真实价值。他以“</w:t>
      </w:r>
      <w:r w:rsidRPr="00CA29E9">
        <w:rPr>
          <w:rFonts w:ascii="宋体" w:eastAsia="宋体" w:hAnsi="宋体" w:cs="宋体"/>
          <w:b/>
          <w:bCs/>
          <w:kern w:val="0"/>
          <w:sz w:val="24"/>
          <w14:ligatures w14:val="none"/>
        </w:rPr>
        <w:t>市场先生</w:t>
      </w:r>
      <w:r w:rsidRPr="00CA29E9">
        <w:rPr>
          <w:rFonts w:ascii="宋体" w:eastAsia="宋体" w:hAnsi="宋体" w:cs="宋体"/>
          <w:kern w:val="0"/>
          <w:sz w:val="24"/>
          <w14:ligatures w14:val="none"/>
        </w:rPr>
        <w:t>”比喻市场情绪的波动，告诫投资者应利用市场的愚蠢而非被其左右 (</w:t>
      </w:r>
      <w:hyperlink r:id="rId6" w:anchor=":~:text=One%20of%20Graham%27s%20important%20allegories,day%20to%20quote%20another%20price" w:history="1">
        <w:r w:rsidRPr="00CA29E9">
          <w:rPr>
            <w:rFonts w:ascii="宋体" w:eastAsia="宋体" w:hAnsi="宋体" w:cs="宋体"/>
            <w:color w:val="0000FF"/>
            <w:kern w:val="0"/>
            <w:sz w:val="24"/>
            <w:u w:val="single"/>
            <w14:ligatures w14:val="none"/>
          </w:rPr>
          <w:t>The Intelligent Investor - Wikipedia</w:t>
        </w:r>
      </w:hyperlink>
      <w:r w:rsidRPr="00CA29E9">
        <w:rPr>
          <w:rFonts w:ascii="宋体" w:eastAsia="宋体" w:hAnsi="宋体" w:cs="宋体"/>
          <w:kern w:val="0"/>
          <w:sz w:val="24"/>
          <w14:ligatures w14:val="none"/>
        </w:rPr>
        <w:t>) (</w:t>
      </w:r>
      <w:hyperlink r:id="rId7" w:anchor=":~:text=The%20point%20of%20this%20anecdote,Market%27s%20often%20irrational%20behavior" w:history="1">
        <w:r w:rsidRPr="00CA29E9">
          <w:rPr>
            <w:rFonts w:ascii="宋体" w:eastAsia="宋体" w:hAnsi="宋体" w:cs="宋体"/>
            <w:color w:val="0000FF"/>
            <w:kern w:val="0"/>
            <w:sz w:val="24"/>
            <w:u w:val="single"/>
            <w14:ligatures w14:val="none"/>
          </w:rPr>
          <w:t>The Intelligent Investor - Wikipedia</w:t>
        </w:r>
      </w:hyperlink>
      <w:r w:rsidRPr="00CA29E9">
        <w:rPr>
          <w:rFonts w:ascii="宋体" w:eastAsia="宋体" w:hAnsi="宋体" w:cs="宋体"/>
          <w:kern w:val="0"/>
          <w:sz w:val="24"/>
          <w14:ligatures w14:val="none"/>
        </w:rPr>
        <w:t>)。书中区分了防御型投资者和积极型投资者的策略，并强调纪律性、耐心和情绪控制是投资成功的关键。</w:t>
      </w:r>
    </w:p>
    <w:p w14:paraId="64B07DFB" w14:textId="77777777" w:rsidR="00CA29E9" w:rsidRPr="00CA29E9" w:rsidRDefault="00CA29E9" w:rsidP="00CA29E9">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《巴菲特致股东的信》</w:t>
      </w:r>
      <w:r w:rsidRPr="00CA29E9">
        <w:rPr>
          <w:rFonts w:ascii="宋体" w:eastAsia="宋体" w:hAnsi="宋体" w:cs="宋体"/>
          <w:kern w:val="0"/>
          <w:sz w:val="24"/>
          <w14:ligatures w14:val="none"/>
        </w:rPr>
        <w:t>（沃伦·巴菲特）：巴菲特在致伯克希尔·哈撒韦股东的多年信件中分享了他的投资哲学和公司管理理念。这些信件贯穿价值投资思想，例如将股票视作</w:t>
      </w:r>
      <w:r w:rsidRPr="00CA29E9">
        <w:rPr>
          <w:rFonts w:ascii="宋体" w:eastAsia="宋体" w:hAnsi="宋体" w:cs="宋体"/>
          <w:b/>
          <w:bCs/>
          <w:kern w:val="0"/>
          <w:sz w:val="24"/>
          <w14:ligatures w14:val="none"/>
        </w:rPr>
        <w:t>企业的部分所有权</w:t>
      </w:r>
      <w:r w:rsidRPr="00CA29E9">
        <w:rPr>
          <w:rFonts w:ascii="宋体" w:eastAsia="宋体" w:hAnsi="宋体" w:cs="宋体"/>
          <w:kern w:val="0"/>
          <w:sz w:val="24"/>
          <w14:ligatures w14:val="none"/>
        </w:rPr>
        <w:t>，关注公司长期内在价值而非短期股价波动 (</w:t>
      </w:r>
      <w:hyperlink r:id="rId8" w:anchor=":~:text=Buffett%20isn%E2%80%99t%20concerned%20with%20the,%E2%80%9D" w:history="1">
        <w:r w:rsidRPr="00CA29E9">
          <w:rPr>
            <w:rFonts w:ascii="宋体" w:eastAsia="宋体" w:hAnsi="宋体" w:cs="宋体"/>
            <w:color w:val="0000FF"/>
            <w:kern w:val="0"/>
            <w:sz w:val="24"/>
            <w:u w:val="single"/>
            <w14:ligatures w14:val="none"/>
          </w:rPr>
          <w:t>Warren Buffett</w:t>
        </w:r>
        <w:proofErr w:type="gramStart"/>
        <w:r w:rsidRPr="00CA29E9">
          <w:rPr>
            <w:rFonts w:ascii="宋体" w:eastAsia="宋体" w:hAnsi="宋体" w:cs="宋体"/>
            <w:color w:val="0000FF"/>
            <w:kern w:val="0"/>
            <w:sz w:val="24"/>
            <w:u w:val="single"/>
            <w14:ligatures w14:val="none"/>
          </w:rPr>
          <w:t>’</w:t>
        </w:r>
        <w:proofErr w:type="gramEnd"/>
        <w:r w:rsidRPr="00CA29E9">
          <w:rPr>
            <w:rFonts w:ascii="宋体" w:eastAsia="宋体" w:hAnsi="宋体" w:cs="宋体"/>
            <w:color w:val="0000FF"/>
            <w:kern w:val="0"/>
            <w:sz w:val="24"/>
            <w:u w:val="single"/>
            <w14:ligatures w14:val="none"/>
          </w:rPr>
          <w:t>s Investment Strategy</w:t>
        </w:r>
      </w:hyperlink>
      <w:r w:rsidRPr="00CA29E9">
        <w:rPr>
          <w:rFonts w:ascii="宋体" w:eastAsia="宋体" w:hAnsi="宋体" w:cs="宋体"/>
          <w:kern w:val="0"/>
          <w:sz w:val="24"/>
          <w14:ligatures w14:val="none"/>
        </w:rPr>
        <w:t>)。巴菲特秉承格雷厄姆的原则，如**“短期来看市场是投票机，长期来看是称重机”** (</w:t>
      </w:r>
      <w:hyperlink r:id="rId9" w:anchor=":~:text=Buffett%20isn%E2%80%99t%20concerned%20with%20the,%E2%80%9D" w:history="1">
        <w:r w:rsidRPr="00CA29E9">
          <w:rPr>
            <w:rFonts w:ascii="宋体" w:eastAsia="宋体" w:hAnsi="宋体" w:cs="宋体"/>
            <w:color w:val="0000FF"/>
            <w:kern w:val="0"/>
            <w:sz w:val="24"/>
            <w:u w:val="single"/>
            <w14:ligatures w14:val="none"/>
          </w:rPr>
          <w:t>Warren Buffett</w:t>
        </w:r>
        <w:proofErr w:type="gramStart"/>
        <w:r w:rsidRPr="00CA29E9">
          <w:rPr>
            <w:rFonts w:ascii="宋体" w:eastAsia="宋体" w:hAnsi="宋体" w:cs="宋体"/>
            <w:color w:val="0000FF"/>
            <w:kern w:val="0"/>
            <w:sz w:val="24"/>
            <w:u w:val="single"/>
            <w14:ligatures w14:val="none"/>
          </w:rPr>
          <w:t>’</w:t>
        </w:r>
        <w:proofErr w:type="gramEnd"/>
        <w:r w:rsidRPr="00CA29E9">
          <w:rPr>
            <w:rFonts w:ascii="宋体" w:eastAsia="宋体" w:hAnsi="宋体" w:cs="宋体"/>
            <w:color w:val="0000FF"/>
            <w:kern w:val="0"/>
            <w:sz w:val="24"/>
            <w:u w:val="single"/>
            <w14:ligatures w14:val="none"/>
          </w:rPr>
          <w:t>s Investment Strategy</w:t>
        </w:r>
      </w:hyperlink>
      <w:r w:rsidRPr="00CA29E9">
        <w:rPr>
          <w:rFonts w:ascii="宋体" w:eastAsia="宋体" w:hAnsi="宋体" w:cs="宋体"/>
          <w:kern w:val="0"/>
          <w:sz w:val="24"/>
          <w14:ligatures w14:val="none"/>
        </w:rPr>
        <w:t>)，坚持</w:t>
      </w:r>
      <w:r w:rsidRPr="00CA29E9">
        <w:rPr>
          <w:rFonts w:ascii="宋体" w:eastAsia="宋体" w:hAnsi="宋体" w:cs="宋体"/>
          <w:b/>
          <w:bCs/>
          <w:i/>
          <w:iCs/>
          <w:kern w:val="0"/>
          <w:sz w:val="24"/>
          <w14:ligatures w14:val="none"/>
        </w:rPr>
        <w:t>margin of safety</w:t>
      </w:r>
      <w:r w:rsidRPr="00CA29E9">
        <w:rPr>
          <w:rFonts w:ascii="宋体" w:eastAsia="宋体" w:hAnsi="宋体" w:cs="宋体"/>
          <w:kern w:val="0"/>
          <w:sz w:val="24"/>
          <w14:ligatures w14:val="none"/>
        </w:rPr>
        <w:t>（安全边际）和只投资自己能理解的业务（“能力圈”）。他强调保持理性和耐心，在他人贪婪时恐惧、他人恐惧时贪婪，以及集中投资优秀企业、长期持有。 (</w:t>
      </w:r>
      <w:hyperlink r:id="rId10" w:anchor=":~:text=Buffett%20takes%20this%20value%20investing,were%20undervalued%20for%20a%20time" w:history="1">
        <w:r w:rsidRPr="00CA29E9">
          <w:rPr>
            <w:rFonts w:ascii="宋体" w:eastAsia="宋体" w:hAnsi="宋体" w:cs="宋体"/>
            <w:color w:val="0000FF"/>
            <w:kern w:val="0"/>
            <w:sz w:val="24"/>
            <w:u w:val="single"/>
            <w14:ligatures w14:val="none"/>
          </w:rPr>
          <w:t>Warren Buffett</w:t>
        </w:r>
        <w:proofErr w:type="gramStart"/>
        <w:r w:rsidRPr="00CA29E9">
          <w:rPr>
            <w:rFonts w:ascii="宋体" w:eastAsia="宋体" w:hAnsi="宋体" w:cs="宋体"/>
            <w:color w:val="0000FF"/>
            <w:kern w:val="0"/>
            <w:sz w:val="24"/>
            <w:u w:val="single"/>
            <w14:ligatures w14:val="none"/>
          </w:rPr>
          <w:t>’</w:t>
        </w:r>
        <w:proofErr w:type="gramEnd"/>
        <w:r w:rsidRPr="00CA29E9">
          <w:rPr>
            <w:rFonts w:ascii="宋体" w:eastAsia="宋体" w:hAnsi="宋体" w:cs="宋体"/>
            <w:color w:val="0000FF"/>
            <w:kern w:val="0"/>
            <w:sz w:val="24"/>
            <w:u w:val="single"/>
            <w14:ligatures w14:val="none"/>
          </w:rPr>
          <w:t>s Investment Strategy</w:t>
        </w:r>
      </w:hyperlink>
      <w:r w:rsidRPr="00CA29E9">
        <w:rPr>
          <w:rFonts w:ascii="宋体" w:eastAsia="宋体" w:hAnsi="宋体" w:cs="宋体"/>
          <w:kern w:val="0"/>
          <w:sz w:val="24"/>
          <w14:ligatures w14:val="none"/>
        </w:rPr>
        <w:t>) (</w:t>
      </w:r>
      <w:hyperlink r:id="rId11" w:anchor=":~:text=Buffett%20isn%E2%80%99t%20concerned%20with%20the,%E2%80%9D" w:history="1">
        <w:r w:rsidRPr="00CA29E9">
          <w:rPr>
            <w:rFonts w:ascii="宋体" w:eastAsia="宋体" w:hAnsi="宋体" w:cs="宋体"/>
            <w:color w:val="0000FF"/>
            <w:kern w:val="0"/>
            <w:sz w:val="24"/>
            <w:u w:val="single"/>
            <w14:ligatures w14:val="none"/>
          </w:rPr>
          <w:t>Warren Buffett</w:t>
        </w:r>
        <w:proofErr w:type="gramStart"/>
        <w:r w:rsidRPr="00CA29E9">
          <w:rPr>
            <w:rFonts w:ascii="宋体" w:eastAsia="宋体" w:hAnsi="宋体" w:cs="宋体"/>
            <w:color w:val="0000FF"/>
            <w:kern w:val="0"/>
            <w:sz w:val="24"/>
            <w:u w:val="single"/>
            <w14:ligatures w14:val="none"/>
          </w:rPr>
          <w:t>’</w:t>
        </w:r>
        <w:proofErr w:type="gramEnd"/>
        <w:r w:rsidRPr="00CA29E9">
          <w:rPr>
            <w:rFonts w:ascii="宋体" w:eastAsia="宋体" w:hAnsi="宋体" w:cs="宋体"/>
            <w:color w:val="0000FF"/>
            <w:kern w:val="0"/>
            <w:sz w:val="24"/>
            <w:u w:val="single"/>
            <w14:ligatures w14:val="none"/>
          </w:rPr>
          <w:t>s Investment Strategy</w:t>
        </w:r>
      </w:hyperlink>
      <w:r w:rsidRPr="00CA29E9">
        <w:rPr>
          <w:rFonts w:ascii="宋体" w:eastAsia="宋体" w:hAnsi="宋体" w:cs="宋体"/>
          <w:kern w:val="0"/>
          <w:sz w:val="24"/>
          <w14:ligatures w14:val="none"/>
        </w:rPr>
        <w:t>)这些信念帮助他获取了远超市场的复合回报，并在投资界树立了长期价值投资的典范。</w:t>
      </w:r>
    </w:p>
    <w:p w14:paraId="61DDFE24" w14:textId="77777777" w:rsidR="00CA29E9" w:rsidRPr="00CA29E9" w:rsidRDefault="00CA29E9" w:rsidP="00CA29E9">
      <w:pPr>
        <w:widowControl/>
        <w:numPr>
          <w:ilvl w:val="0"/>
          <w:numId w:val="10"/>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《金融炼金术》</w:t>
      </w:r>
      <w:r w:rsidRPr="00CA29E9">
        <w:rPr>
          <w:rFonts w:ascii="宋体" w:eastAsia="宋体" w:hAnsi="宋体" w:cs="宋体"/>
          <w:kern w:val="0"/>
          <w:sz w:val="24"/>
          <w14:ligatures w14:val="none"/>
        </w:rPr>
        <w:t>（乔治·索罗斯）：这本书中索罗斯分享了他的宏观对冲投资日记，并提出了著名的**“反身性”理论**。反身性理论认为，投资者对市场的认知会影响市场走势，而市场走势又反过来影响投资者认知，从而形成自我强化的反馈循环 (</w:t>
      </w:r>
      <w:hyperlink r:id="rId12" w:anchor=":~:text=,their%20perceptions%20all%20over%20again" w:history="1">
        <w:r w:rsidRPr="00CA29E9">
          <w:rPr>
            <w:rFonts w:ascii="宋体" w:eastAsia="宋体" w:hAnsi="宋体" w:cs="宋体"/>
            <w:color w:val="0000FF"/>
            <w:kern w:val="0"/>
            <w:sz w:val="24"/>
            <w:u w:val="single"/>
            <w14:ligatures w14:val="none"/>
          </w:rPr>
          <w:t>How to use the theory that made George Soros rich - Finimize</w:t>
        </w:r>
      </w:hyperlink>
      <w:r w:rsidRPr="00CA29E9">
        <w:rPr>
          <w:rFonts w:ascii="宋体" w:eastAsia="宋体" w:hAnsi="宋体" w:cs="宋体"/>
          <w:kern w:val="0"/>
          <w:sz w:val="24"/>
          <w14:ligatures w14:val="none"/>
        </w:rPr>
        <w:t>)。索罗斯指出传统经济学假设市场趋于均衡、价格反映基本面，但实际上金融市场常存在正反馈驱动的</w:t>
      </w:r>
      <w:r w:rsidRPr="00CA29E9">
        <w:rPr>
          <w:rFonts w:ascii="宋体" w:eastAsia="宋体" w:hAnsi="宋体" w:cs="宋体"/>
          <w:b/>
          <w:bCs/>
          <w:kern w:val="0"/>
          <w:sz w:val="24"/>
          <w14:ligatures w14:val="none"/>
        </w:rPr>
        <w:t>繁荣-萧条</w:t>
      </w:r>
      <w:r w:rsidRPr="00CA29E9">
        <w:rPr>
          <w:rFonts w:ascii="宋体" w:eastAsia="宋体" w:hAnsi="宋体" w:cs="宋体"/>
          <w:kern w:val="0"/>
          <w:sz w:val="24"/>
          <w14:ligatures w14:val="none"/>
        </w:rPr>
        <w:t>周期 (</w:t>
      </w:r>
      <w:hyperlink r:id="rId13" w:anchor=":~:text=Soros%E2%80%99s%20theory%20of%20reflexivity%20runs,Changes%20in" w:history="1">
        <w:r w:rsidRPr="00CA29E9">
          <w:rPr>
            <w:rFonts w:ascii="宋体" w:eastAsia="宋体" w:hAnsi="宋体" w:cs="宋体"/>
            <w:color w:val="0000FF"/>
            <w:kern w:val="0"/>
            <w:sz w:val="24"/>
            <w:u w:val="single"/>
            <w14:ligatures w14:val="none"/>
          </w:rPr>
          <w:t xml:space="preserve">What Is Reflexivity? How It Works, History, and </w:t>
        </w:r>
        <w:r w:rsidRPr="00CA29E9">
          <w:rPr>
            <w:rFonts w:ascii="宋体" w:eastAsia="宋体" w:hAnsi="宋体" w:cs="宋体"/>
            <w:color w:val="0000FF"/>
            <w:kern w:val="0"/>
            <w:sz w:val="24"/>
            <w:u w:val="single"/>
            <w14:ligatures w14:val="none"/>
          </w:rPr>
          <w:lastRenderedPageBreak/>
          <w:t>Opposing Theories</w:t>
        </w:r>
      </w:hyperlink>
      <w:r w:rsidRPr="00CA29E9">
        <w:rPr>
          <w:rFonts w:ascii="宋体" w:eastAsia="宋体" w:hAnsi="宋体" w:cs="宋体"/>
          <w:kern w:val="0"/>
          <w:sz w:val="24"/>
          <w14:ligatures w14:val="none"/>
        </w:rPr>
        <w:t>)。例如他举例说明房价上涨引发银行放贷增加，贷款激增又助推房价进一步上涨，最终形成泡沫与崩溃 (</w:t>
      </w:r>
      <w:hyperlink r:id="rId14" w:anchor=":~:text=detached%20from%20reality,this%20resulted%20in%20a%20price" w:history="1">
        <w:r w:rsidRPr="00CA29E9">
          <w:rPr>
            <w:rFonts w:ascii="宋体" w:eastAsia="宋体" w:hAnsi="宋体" w:cs="宋体"/>
            <w:color w:val="0000FF"/>
            <w:kern w:val="0"/>
            <w:sz w:val="24"/>
            <w:u w:val="single"/>
            <w14:ligatures w14:val="none"/>
          </w:rPr>
          <w:t>What Is Reflexivity? How It Works, History, and Opposing Theories</w:t>
        </w:r>
      </w:hyperlink>
      <w:r w:rsidRPr="00CA29E9">
        <w:rPr>
          <w:rFonts w:ascii="宋体" w:eastAsia="宋体" w:hAnsi="宋体" w:cs="宋体"/>
          <w:kern w:val="0"/>
          <w:sz w:val="24"/>
          <w14:ligatures w14:val="none"/>
        </w:rPr>
        <w:t>)。索罗斯在书中将这种“金融炼金术”用于投资实践，通过识别市场参与者的偏见和预期转变来捕捉投机性机会。他的投资理念强调理解市场心理和预期变化，比纯粹基本面分析更关注市场行为本身对基本面的影响 (</w:t>
      </w:r>
      <w:hyperlink r:id="rId15" w:anchor=":~:text=Soros%E2%80%99s%20theory%20of%20reflexivity%20runs,Changes%20in" w:history="1">
        <w:r w:rsidRPr="00CA29E9">
          <w:rPr>
            <w:rFonts w:ascii="宋体" w:eastAsia="宋体" w:hAnsi="宋体" w:cs="宋体"/>
            <w:color w:val="0000FF"/>
            <w:kern w:val="0"/>
            <w:sz w:val="24"/>
            <w:u w:val="single"/>
            <w14:ligatures w14:val="none"/>
          </w:rPr>
          <w:t>What Is Reflexivity? How It Works, History, and Opposing Theories</w:t>
        </w:r>
      </w:hyperlink>
      <w:r w:rsidRPr="00CA29E9">
        <w:rPr>
          <w:rFonts w:ascii="宋体" w:eastAsia="宋体" w:hAnsi="宋体" w:cs="宋体"/>
          <w:kern w:val="0"/>
          <w:sz w:val="24"/>
          <w14:ligatures w14:val="none"/>
        </w:rPr>
        <w:t>)。</w:t>
      </w:r>
    </w:p>
    <w:p w14:paraId="1C6BA3DD" w14:textId="77777777" w:rsidR="00CA29E9" w:rsidRPr="00CA29E9" w:rsidRDefault="00CA29E9" w:rsidP="00CA29E9">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A29E9">
        <w:rPr>
          <w:rFonts w:ascii="宋体" w:eastAsia="宋体" w:hAnsi="宋体" w:cs="宋体"/>
          <w:b/>
          <w:bCs/>
          <w:kern w:val="0"/>
          <w:sz w:val="27"/>
          <w:szCs w:val="27"/>
          <w14:ligatures w14:val="none"/>
        </w:rPr>
        <w:t>市场与经济类经典书籍</w:t>
      </w:r>
    </w:p>
    <w:p w14:paraId="687A27A1" w14:textId="77777777" w:rsidR="00CA29E9" w:rsidRPr="00CA29E9" w:rsidRDefault="00CA29E9" w:rsidP="00CA29E9">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《黑天鹅》</w:t>
      </w:r>
      <w:r w:rsidRPr="00CA29E9">
        <w:rPr>
          <w:rFonts w:ascii="宋体" w:eastAsia="宋体" w:hAnsi="宋体" w:cs="宋体"/>
          <w:kern w:val="0"/>
          <w:sz w:val="24"/>
          <w14:ligatures w14:val="none"/>
        </w:rPr>
        <w:t>（纳西姆·尼古拉斯·塔勒布）：塔勒布聚焦于</w:t>
      </w:r>
      <w:r w:rsidRPr="00CA29E9">
        <w:rPr>
          <w:rFonts w:ascii="宋体" w:eastAsia="宋体" w:hAnsi="宋体" w:cs="宋体"/>
          <w:b/>
          <w:bCs/>
          <w:kern w:val="0"/>
          <w:sz w:val="24"/>
          <w14:ligatures w14:val="none"/>
        </w:rPr>
        <w:t>极端不可预测事件</w:t>
      </w:r>
      <w:r w:rsidRPr="00CA29E9">
        <w:rPr>
          <w:rFonts w:ascii="宋体" w:eastAsia="宋体" w:hAnsi="宋体" w:cs="宋体"/>
          <w:kern w:val="0"/>
          <w:sz w:val="24"/>
          <w14:ligatures w14:val="none"/>
        </w:rPr>
        <w:t>对金融市场和人类社会的巨大冲击，称之为“黑天鹅”事件 (</w:t>
      </w:r>
      <w:hyperlink r:id="rId16" w:anchor=":~:text=The%20Black%20Swan%3A%20The%20Impact,calls%20this%20the%20%2076" w:history="1">
        <w:r w:rsidRPr="00CA29E9">
          <w:rPr>
            <w:rFonts w:ascii="宋体" w:eastAsia="宋体" w:hAnsi="宋体" w:cs="宋体"/>
            <w:color w:val="0000FF"/>
            <w:kern w:val="0"/>
            <w:sz w:val="24"/>
            <w:u w:val="single"/>
            <w14:ligatures w14:val="none"/>
          </w:rPr>
          <w:t>The Black Swan: The Impact of the Highly Improbable - Wikipedia</w:t>
        </w:r>
      </w:hyperlink>
      <w:r w:rsidRPr="00CA29E9">
        <w:rPr>
          <w:rFonts w:ascii="宋体" w:eastAsia="宋体" w:hAnsi="宋体" w:cs="宋体"/>
          <w:kern w:val="0"/>
          <w:sz w:val="24"/>
          <w14:ligatures w14:val="none"/>
        </w:rPr>
        <w:t>)。此类事件具有三大特征：罕见出乎意料、冲击影响巨大、事后却被人用合理化方式解释。塔勒布批判传统风险模型低估尾部风险，主张不要试图精确预测黑天鹅，而应构建能够</w:t>
      </w:r>
      <w:r w:rsidRPr="00CA29E9">
        <w:rPr>
          <w:rFonts w:ascii="宋体" w:eastAsia="宋体" w:hAnsi="宋体" w:cs="宋体"/>
          <w:b/>
          <w:bCs/>
          <w:kern w:val="0"/>
          <w:sz w:val="24"/>
          <w14:ligatures w14:val="none"/>
        </w:rPr>
        <w:t>抵御负面黑天鹅冲击并利用正面黑天鹅机会</w:t>
      </w:r>
      <w:r w:rsidRPr="00CA29E9">
        <w:rPr>
          <w:rFonts w:ascii="宋体" w:eastAsia="宋体" w:hAnsi="宋体" w:cs="宋体"/>
          <w:kern w:val="0"/>
          <w:sz w:val="24"/>
          <w14:ligatures w14:val="none"/>
        </w:rPr>
        <w:t>的稳健系统 (</w:t>
      </w:r>
      <w:hyperlink r:id="rId17" w:anchor=":~:text=A%20central%20idea%20in%20Taleb%27s,by%20their%20defective%20financial%20models" w:history="1">
        <w:r w:rsidRPr="00CA29E9">
          <w:rPr>
            <w:rFonts w:ascii="宋体" w:eastAsia="宋体" w:hAnsi="宋体" w:cs="宋体"/>
            <w:color w:val="0000FF"/>
            <w:kern w:val="0"/>
            <w:sz w:val="24"/>
            <w:u w:val="single"/>
            <w14:ligatures w14:val="none"/>
          </w:rPr>
          <w:t>The Black Swan: The Impact of the Highly Improbable - Wikipedia</w:t>
        </w:r>
      </w:hyperlink>
      <w:r w:rsidRPr="00CA29E9">
        <w:rPr>
          <w:rFonts w:ascii="宋体" w:eastAsia="宋体" w:hAnsi="宋体" w:cs="宋体"/>
          <w:kern w:val="0"/>
          <w:sz w:val="24"/>
          <w14:ligatures w14:val="none"/>
        </w:rPr>
        <w:t>)。他提出实践中应避免过度金融杠杆和侥幸心理，采取“杠铃策略”等分散风险的方法来提高反脆弱性(antifragility)。该书影响了风险管理领域，使人们更加重视非常态事件（如2008年金融危机）的可能性，以及在不确定性下保持弹性的必要性。</w:t>
      </w:r>
    </w:p>
    <w:p w14:paraId="314F3D3B" w14:textId="77777777" w:rsidR="00CA29E9" w:rsidRPr="00CA29E9" w:rsidRDefault="00CA29E9" w:rsidP="00CA29E9">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《有效市场假说》</w:t>
      </w:r>
      <w:r w:rsidRPr="00CA29E9">
        <w:rPr>
          <w:rFonts w:ascii="宋体" w:eastAsia="宋体" w:hAnsi="宋体" w:cs="宋体"/>
          <w:kern w:val="0"/>
          <w:sz w:val="24"/>
          <w14:ligatures w14:val="none"/>
        </w:rPr>
        <w:t>（尤金·法玛等提出）：严格来说这是金融学理论而非一本通俗书籍，但作为经典理论常被单独讨论。</w:t>
      </w:r>
      <w:r w:rsidRPr="00CA29E9">
        <w:rPr>
          <w:rFonts w:ascii="宋体" w:eastAsia="宋体" w:hAnsi="宋体" w:cs="宋体"/>
          <w:b/>
          <w:bCs/>
          <w:kern w:val="0"/>
          <w:sz w:val="24"/>
          <w14:ligatures w14:val="none"/>
        </w:rPr>
        <w:t>有效市场假说</w:t>
      </w:r>
      <w:r w:rsidRPr="00CA29E9">
        <w:rPr>
          <w:rFonts w:ascii="宋体" w:eastAsia="宋体" w:hAnsi="宋体" w:cs="宋体"/>
          <w:kern w:val="0"/>
          <w:sz w:val="24"/>
          <w14:ligatures w14:val="none"/>
        </w:rPr>
        <w:t>(EMH)认为金融市场上的资产价格已经反映了所有可得信息，因此不存在系统低估或高估的情形 (</w:t>
      </w:r>
      <w:hyperlink r:id="rId18" w:anchor=":~:text=economics%20that%20states%20that%20asset,only%20react%20to%20new%20information" w:history="1">
        <w:r w:rsidRPr="00CA29E9">
          <w:rPr>
            <w:rFonts w:ascii="宋体" w:eastAsia="宋体" w:hAnsi="宋体" w:cs="宋体"/>
            <w:color w:val="0000FF"/>
            <w:kern w:val="0"/>
            <w:sz w:val="24"/>
            <w:u w:val="single"/>
            <w14:ligatures w14:val="none"/>
          </w:rPr>
          <w:t>Efficient-market hypothesis - Wikipedia</w:t>
        </w:r>
      </w:hyperlink>
      <w:r w:rsidRPr="00CA29E9">
        <w:rPr>
          <w:rFonts w:ascii="宋体" w:eastAsia="宋体" w:hAnsi="宋体" w:cs="宋体"/>
          <w:kern w:val="0"/>
          <w:sz w:val="24"/>
          <w14:ligatures w14:val="none"/>
        </w:rPr>
        <w:t>)。直接含义是投资者不可能持续地在风险调整后“战胜市场”，因为价格只有在有新信息出现时才随机变动 (</w:t>
      </w:r>
      <w:hyperlink r:id="rId19" w:anchor=":~:text=economics%20that%20states%20that%20asset,only%20react%20to%20new%20information" w:history="1">
        <w:r w:rsidRPr="00CA29E9">
          <w:rPr>
            <w:rFonts w:ascii="宋体" w:eastAsia="宋体" w:hAnsi="宋体" w:cs="宋体"/>
            <w:color w:val="0000FF"/>
            <w:kern w:val="0"/>
            <w:sz w:val="24"/>
            <w:u w:val="single"/>
            <w14:ligatures w14:val="none"/>
          </w:rPr>
          <w:t>Efficient-market hypothesis - Wikipedia</w:t>
        </w:r>
      </w:hyperlink>
      <w:r w:rsidRPr="00CA29E9">
        <w:rPr>
          <w:rFonts w:ascii="宋体" w:eastAsia="宋体" w:hAnsi="宋体" w:cs="宋体"/>
          <w:kern w:val="0"/>
          <w:sz w:val="24"/>
          <w14:ligatures w14:val="none"/>
        </w:rPr>
        <w:t>)。EMH有弱式、半强式、强式三种形式，分别假定价格反映过去价格信息、公开信息、乃至内幕信息。在这一理论框架下，主动选股难以取得超额收益，因而</w:t>
      </w:r>
      <w:r w:rsidRPr="00CA29E9">
        <w:rPr>
          <w:rFonts w:ascii="宋体" w:eastAsia="宋体" w:hAnsi="宋体" w:cs="宋体"/>
          <w:b/>
          <w:bCs/>
          <w:kern w:val="0"/>
          <w:sz w:val="24"/>
          <w14:ligatures w14:val="none"/>
        </w:rPr>
        <w:t>指数化被动投资</w:t>
      </w:r>
      <w:r w:rsidRPr="00CA29E9">
        <w:rPr>
          <w:rFonts w:ascii="宋体" w:eastAsia="宋体" w:hAnsi="宋体" w:cs="宋体"/>
          <w:kern w:val="0"/>
          <w:sz w:val="24"/>
          <w14:ligatures w14:val="none"/>
        </w:rPr>
        <w:t>被视为合理选择。有效市场假说奠定了现代金融学对市场定价效率的基准认识，但也引来了行为金融学者对其现实适用性的质疑。</w:t>
      </w:r>
    </w:p>
    <w:p w14:paraId="47ECCFEF" w14:textId="77777777" w:rsidR="00CA29E9" w:rsidRPr="00CA29E9" w:rsidRDefault="00CA29E9" w:rsidP="00CA29E9">
      <w:pPr>
        <w:widowControl/>
        <w:numPr>
          <w:ilvl w:val="0"/>
          <w:numId w:val="11"/>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《资本市场理论》</w:t>
      </w:r>
      <w:r w:rsidRPr="00CA29E9">
        <w:rPr>
          <w:rFonts w:ascii="宋体" w:eastAsia="宋体" w:hAnsi="宋体" w:cs="宋体"/>
          <w:kern w:val="0"/>
          <w:sz w:val="24"/>
          <w14:ligatures w14:val="none"/>
        </w:rPr>
        <w:t>（现代资本市场理论，包括马科维茨的投资组合理论和夏普的资本资产定价模型等）：这部分内容涵盖马克维茨（Harry Markowitz）的</w:t>
      </w:r>
      <w:r w:rsidRPr="00CA29E9">
        <w:rPr>
          <w:rFonts w:ascii="宋体" w:eastAsia="宋体" w:hAnsi="宋体" w:cs="宋体"/>
          <w:b/>
          <w:bCs/>
          <w:kern w:val="0"/>
          <w:sz w:val="24"/>
          <w14:ligatures w14:val="none"/>
        </w:rPr>
        <w:t>现代投资组合理论(MPT)和威廉·夏普（William Sharpe）的资本资产定价模型(CAPM)等经典理论。马克维茨在1952年提出投资组合选择的均值-方差框架，强调通过分散化降低非系统风险，构建有效前沿</w:t>
      </w:r>
      <w:r w:rsidRPr="00CA29E9">
        <w:rPr>
          <w:rFonts w:ascii="宋体" w:eastAsia="宋体" w:hAnsi="宋体" w:cs="宋体"/>
          <w:kern w:val="0"/>
          <w:sz w:val="24"/>
          <w14:ligatures w14:val="none"/>
        </w:rPr>
        <w:t>（即在给定风险水平下收益最高的组合）作为最优选</w:t>
      </w:r>
      <w:proofErr w:type="gramStart"/>
      <w:r w:rsidRPr="00CA29E9">
        <w:rPr>
          <w:rFonts w:ascii="宋体" w:eastAsia="宋体" w:hAnsi="宋体" w:cs="宋体"/>
          <w:kern w:val="0"/>
          <w:sz w:val="24"/>
          <w14:ligatures w14:val="none"/>
        </w:rPr>
        <w:t>择</w:t>
      </w:r>
      <w:proofErr w:type="gramEnd"/>
      <w:r w:rsidRPr="00CA29E9">
        <w:rPr>
          <w:rFonts w:ascii="宋体" w:eastAsia="宋体" w:hAnsi="宋体" w:cs="宋体"/>
          <w:kern w:val="0"/>
          <w:sz w:val="24"/>
          <w14:ligatures w14:val="none"/>
        </w:rPr>
        <w:t>。随后夏普等人在此基础上发展出CAPM，用于刻画</w:t>
      </w:r>
      <w:r w:rsidRPr="00CA29E9">
        <w:rPr>
          <w:rFonts w:ascii="宋体" w:eastAsia="宋体" w:hAnsi="宋体" w:cs="宋体"/>
          <w:b/>
          <w:bCs/>
          <w:kern w:val="0"/>
          <w:sz w:val="24"/>
          <w14:ligatures w14:val="none"/>
        </w:rPr>
        <w:t>资产预期收益与风险（贝塔）之间的线性关系</w:t>
      </w:r>
      <w:r w:rsidRPr="00CA29E9">
        <w:rPr>
          <w:rFonts w:ascii="宋体" w:eastAsia="宋体" w:hAnsi="宋体" w:cs="宋体"/>
          <w:kern w:val="0"/>
          <w:sz w:val="24"/>
          <w14:ligatures w14:val="none"/>
        </w:rPr>
        <w:t xml:space="preserve"> (</w:t>
      </w:r>
      <w:hyperlink r:id="rId20" w:anchor=":~:text=The%20capital%20asset%20pricing%20model,free%20rate" w:history="1">
        <w:r w:rsidRPr="00CA29E9">
          <w:rPr>
            <w:rFonts w:ascii="宋体" w:eastAsia="宋体" w:hAnsi="宋体" w:cs="宋体"/>
            <w:color w:val="0000FF"/>
            <w:kern w:val="0"/>
            <w:sz w:val="24"/>
            <w:u w:val="single"/>
            <w14:ligatures w14:val="none"/>
          </w:rPr>
          <w:t>CAPM Model: Advantages and Disadvantages</w:t>
        </w:r>
      </w:hyperlink>
      <w:r w:rsidRPr="00CA29E9">
        <w:rPr>
          <w:rFonts w:ascii="宋体" w:eastAsia="宋体" w:hAnsi="宋体" w:cs="宋体"/>
          <w:kern w:val="0"/>
          <w:sz w:val="24"/>
          <w14:ligatures w14:val="none"/>
        </w:rPr>
        <w:t xml:space="preserve">)。CAPM公式表达为：预期收益 = 无风险利率 + β * </w:t>
      </w:r>
      <w:r w:rsidRPr="00CA29E9">
        <w:rPr>
          <w:rFonts w:ascii="宋体" w:eastAsia="宋体" w:hAnsi="宋体" w:cs="宋体"/>
          <w:kern w:val="0"/>
          <w:sz w:val="24"/>
          <w14:ligatures w14:val="none"/>
        </w:rPr>
        <w:lastRenderedPageBreak/>
        <w:t>(市场风险溢价)，其要点是只有系统性风险（β）值得获得风险补偿，而多元化可以消除非系统风险。这一系列资本市场理论奠定了人们对</w:t>
      </w:r>
      <w:r w:rsidRPr="00CA29E9">
        <w:rPr>
          <w:rFonts w:ascii="宋体" w:eastAsia="宋体" w:hAnsi="宋体" w:cs="宋体"/>
          <w:b/>
          <w:bCs/>
          <w:kern w:val="0"/>
          <w:sz w:val="24"/>
          <w14:ligatures w14:val="none"/>
        </w:rPr>
        <w:t>风险与报酬权衡</w:t>
      </w:r>
      <w:r w:rsidRPr="00CA29E9">
        <w:rPr>
          <w:rFonts w:ascii="宋体" w:eastAsia="宋体" w:hAnsi="宋体" w:cs="宋体"/>
          <w:kern w:val="0"/>
          <w:sz w:val="24"/>
          <w14:ligatures w14:val="none"/>
        </w:rPr>
        <w:t>的理解，并引入了如β系数、证券市场线等概念，在实际投资中用于资产定价和业绩评价。然而，这些理论基于投资者理性和市场均衡的假设，在现实中也面临如异常现象（收益率异常、泡沫）和行为因素的挑战。</w:t>
      </w:r>
    </w:p>
    <w:p w14:paraId="62F1D2F2" w14:textId="77777777" w:rsidR="00CA29E9" w:rsidRPr="00CA29E9" w:rsidRDefault="00CA29E9" w:rsidP="00CA29E9">
      <w:pPr>
        <w:widowControl/>
        <w:spacing w:before="100" w:beforeAutospacing="1" w:after="100" w:afterAutospacing="1" w:line="240" w:lineRule="auto"/>
        <w:outlineLvl w:val="2"/>
        <w:rPr>
          <w:rFonts w:ascii="宋体" w:eastAsia="宋体" w:hAnsi="宋体" w:cs="宋体"/>
          <w:b/>
          <w:bCs/>
          <w:kern w:val="0"/>
          <w:sz w:val="27"/>
          <w:szCs w:val="27"/>
          <w14:ligatures w14:val="none"/>
        </w:rPr>
      </w:pPr>
      <w:r w:rsidRPr="00CA29E9">
        <w:rPr>
          <w:rFonts w:ascii="宋体" w:eastAsia="宋体" w:hAnsi="宋体" w:cs="宋体"/>
          <w:b/>
          <w:bCs/>
          <w:kern w:val="0"/>
          <w:sz w:val="27"/>
          <w:szCs w:val="27"/>
          <w14:ligatures w14:val="none"/>
        </w:rPr>
        <w:t>行为</w:t>
      </w:r>
      <w:proofErr w:type="gramStart"/>
      <w:r w:rsidRPr="00CA29E9">
        <w:rPr>
          <w:rFonts w:ascii="宋体" w:eastAsia="宋体" w:hAnsi="宋体" w:cs="宋体"/>
          <w:b/>
          <w:bCs/>
          <w:kern w:val="0"/>
          <w:sz w:val="27"/>
          <w:szCs w:val="27"/>
          <w14:ligatures w14:val="none"/>
        </w:rPr>
        <w:t>金融学类经典</w:t>
      </w:r>
      <w:proofErr w:type="gramEnd"/>
      <w:r w:rsidRPr="00CA29E9">
        <w:rPr>
          <w:rFonts w:ascii="宋体" w:eastAsia="宋体" w:hAnsi="宋体" w:cs="宋体"/>
          <w:b/>
          <w:bCs/>
          <w:kern w:val="0"/>
          <w:sz w:val="27"/>
          <w:szCs w:val="27"/>
          <w14:ligatures w14:val="none"/>
        </w:rPr>
        <w:t>书籍</w:t>
      </w:r>
    </w:p>
    <w:p w14:paraId="723686EC" w14:textId="77777777" w:rsidR="00CA29E9" w:rsidRPr="00CA29E9" w:rsidRDefault="00CA29E9" w:rsidP="00CA29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《思考，快与慢》</w:t>
      </w:r>
      <w:r w:rsidRPr="00CA29E9">
        <w:rPr>
          <w:rFonts w:ascii="宋体" w:eastAsia="宋体" w:hAnsi="宋体" w:cs="宋体"/>
          <w:kern w:val="0"/>
          <w:sz w:val="24"/>
          <w14:ligatures w14:val="none"/>
        </w:rPr>
        <w:t>（丹尼尔·卡尼曼）：这本书由心理学家卡尼曼总结其数十年研究，介绍了人类决策的</w:t>
      </w:r>
      <w:r w:rsidRPr="00CA29E9">
        <w:rPr>
          <w:rFonts w:ascii="宋体" w:eastAsia="宋体" w:hAnsi="宋体" w:cs="宋体"/>
          <w:b/>
          <w:bCs/>
          <w:kern w:val="0"/>
          <w:sz w:val="24"/>
          <w14:ligatures w14:val="none"/>
        </w:rPr>
        <w:t>双系统理论</w:t>
      </w:r>
      <w:r w:rsidRPr="00CA29E9">
        <w:rPr>
          <w:rFonts w:ascii="宋体" w:eastAsia="宋体" w:hAnsi="宋体" w:cs="宋体"/>
          <w:kern w:val="0"/>
          <w:sz w:val="24"/>
          <w14:ligatures w14:val="none"/>
        </w:rPr>
        <w:t>。主要论点是存在两个思维系统：</w:t>
      </w:r>
      <w:r w:rsidRPr="00CA29E9">
        <w:rPr>
          <w:rFonts w:ascii="宋体" w:eastAsia="宋体" w:hAnsi="宋体" w:cs="宋体"/>
          <w:b/>
          <w:bCs/>
          <w:kern w:val="0"/>
          <w:sz w:val="24"/>
          <w14:ligatures w14:val="none"/>
        </w:rPr>
        <w:t>系统1</w:t>
      </w:r>
      <w:r w:rsidRPr="00CA29E9">
        <w:rPr>
          <w:rFonts w:ascii="宋体" w:eastAsia="宋体" w:hAnsi="宋体" w:cs="宋体"/>
          <w:kern w:val="0"/>
          <w:sz w:val="24"/>
          <w14:ligatures w14:val="none"/>
        </w:rPr>
        <w:t>快速、直觉、情绪化，</w:t>
      </w:r>
      <w:r w:rsidRPr="00CA29E9">
        <w:rPr>
          <w:rFonts w:ascii="宋体" w:eastAsia="宋体" w:hAnsi="宋体" w:cs="宋体"/>
          <w:b/>
          <w:bCs/>
          <w:kern w:val="0"/>
          <w:sz w:val="24"/>
          <w14:ligatures w14:val="none"/>
        </w:rPr>
        <w:t>系统2</w:t>
      </w:r>
      <w:r w:rsidRPr="00CA29E9">
        <w:rPr>
          <w:rFonts w:ascii="宋体" w:eastAsia="宋体" w:hAnsi="宋体" w:cs="宋体"/>
          <w:kern w:val="0"/>
          <w:sz w:val="24"/>
          <w14:ligatures w14:val="none"/>
        </w:rPr>
        <w:t>缓慢、理性、需努力 (</w:t>
      </w:r>
      <w:hyperlink r:id="rId21" w:anchor=":~:text=Thinking%2C%20Fast%20and%20Slow%20is,and%20more%20%2090" w:history="1">
        <w:r w:rsidRPr="00CA29E9">
          <w:rPr>
            <w:rFonts w:ascii="宋体" w:eastAsia="宋体" w:hAnsi="宋体" w:cs="宋体"/>
            <w:color w:val="0000FF"/>
            <w:kern w:val="0"/>
            <w:sz w:val="24"/>
            <w:u w:val="single"/>
            <w14:ligatures w14:val="none"/>
          </w:rPr>
          <w:t>Thinking, Fast and Slow - Wikipedia</w:t>
        </w:r>
      </w:hyperlink>
      <w:r w:rsidRPr="00CA29E9">
        <w:rPr>
          <w:rFonts w:ascii="宋体" w:eastAsia="宋体" w:hAnsi="宋体" w:cs="宋体"/>
          <w:kern w:val="0"/>
          <w:sz w:val="24"/>
          <w14:ligatures w14:val="none"/>
        </w:rPr>
        <w:t>)。卡尼曼阐释了人类决策中广泛存在的</w:t>
      </w:r>
      <w:r w:rsidRPr="00CA29E9">
        <w:rPr>
          <w:rFonts w:ascii="宋体" w:eastAsia="宋体" w:hAnsi="宋体" w:cs="宋体"/>
          <w:b/>
          <w:bCs/>
          <w:kern w:val="0"/>
          <w:sz w:val="24"/>
          <w14:ligatures w14:val="none"/>
        </w:rPr>
        <w:t>认知偏差和启发法</w:t>
      </w:r>
      <w:r w:rsidRPr="00CA29E9">
        <w:rPr>
          <w:rFonts w:ascii="宋体" w:eastAsia="宋体" w:hAnsi="宋体" w:cs="宋体"/>
          <w:kern w:val="0"/>
          <w:sz w:val="24"/>
          <w14:ligatures w14:val="none"/>
        </w:rPr>
        <w:t>，例如过度自信、锚定效应、框架效应等，以及他与特沃斯基合作提出的</w:t>
      </w:r>
      <w:r w:rsidRPr="00CA29E9">
        <w:rPr>
          <w:rFonts w:ascii="宋体" w:eastAsia="宋体" w:hAnsi="宋体" w:cs="宋体"/>
          <w:b/>
          <w:bCs/>
          <w:kern w:val="0"/>
          <w:sz w:val="24"/>
          <w14:ligatures w14:val="none"/>
        </w:rPr>
        <w:t>前景理论</w:t>
      </w:r>
      <w:r w:rsidRPr="00CA29E9">
        <w:rPr>
          <w:rFonts w:ascii="宋体" w:eastAsia="宋体" w:hAnsi="宋体" w:cs="宋体"/>
          <w:kern w:val="0"/>
          <w:sz w:val="24"/>
          <w14:ligatures w14:val="none"/>
        </w:rPr>
        <w:t>（用于描述人在面对收益和损失时的非对称心理，体现出损失厌恶等现象）。书中揭示，人们往往不是完全理性的“</w:t>
      </w:r>
      <w:proofErr w:type="gramStart"/>
      <w:r w:rsidRPr="00CA29E9">
        <w:rPr>
          <w:rFonts w:ascii="宋体" w:eastAsia="宋体" w:hAnsi="宋体" w:cs="宋体"/>
          <w:kern w:val="0"/>
          <w:sz w:val="24"/>
          <w14:ligatures w14:val="none"/>
        </w:rPr>
        <w:t>经济人</w:t>
      </w:r>
      <w:proofErr w:type="gramEnd"/>
      <w:r w:rsidRPr="00CA29E9">
        <w:rPr>
          <w:rFonts w:ascii="宋体" w:eastAsia="宋体" w:hAnsi="宋体" w:cs="宋体"/>
          <w:kern w:val="0"/>
          <w:sz w:val="24"/>
          <w14:ligatures w14:val="none"/>
        </w:rPr>
        <w:t>”，而是受到心理偏差驱动，这种对</w:t>
      </w:r>
      <w:r w:rsidRPr="00CA29E9">
        <w:rPr>
          <w:rFonts w:ascii="宋体" w:eastAsia="宋体" w:hAnsi="宋体" w:cs="宋体"/>
          <w:b/>
          <w:bCs/>
          <w:kern w:val="0"/>
          <w:sz w:val="24"/>
          <w14:ligatures w14:val="none"/>
        </w:rPr>
        <w:t>非理性行为</w:t>
      </w:r>
      <w:r w:rsidRPr="00CA29E9">
        <w:rPr>
          <w:rFonts w:ascii="宋体" w:eastAsia="宋体" w:hAnsi="宋体" w:cs="宋体"/>
          <w:kern w:val="0"/>
          <w:sz w:val="24"/>
          <w14:ligatures w14:val="none"/>
        </w:rPr>
        <w:t>的洞察为传统金融</w:t>
      </w:r>
      <w:proofErr w:type="gramStart"/>
      <w:r w:rsidRPr="00CA29E9">
        <w:rPr>
          <w:rFonts w:ascii="宋体" w:eastAsia="宋体" w:hAnsi="宋体" w:cs="宋体"/>
          <w:kern w:val="0"/>
          <w:sz w:val="24"/>
          <w14:ligatures w14:val="none"/>
        </w:rPr>
        <w:t>学加入</w:t>
      </w:r>
      <w:proofErr w:type="gramEnd"/>
      <w:r w:rsidRPr="00CA29E9">
        <w:rPr>
          <w:rFonts w:ascii="宋体" w:eastAsia="宋体" w:hAnsi="宋体" w:cs="宋体"/>
          <w:kern w:val="0"/>
          <w:sz w:val="24"/>
          <w14:ligatures w14:val="none"/>
        </w:rPr>
        <w:t>了行为维度。例如，投资者可能因为</w:t>
      </w:r>
      <w:r w:rsidRPr="00CA29E9">
        <w:rPr>
          <w:rFonts w:ascii="宋体" w:eastAsia="宋体" w:hAnsi="宋体" w:cs="宋体"/>
          <w:b/>
          <w:bCs/>
          <w:kern w:val="0"/>
          <w:sz w:val="24"/>
          <w14:ligatures w14:val="none"/>
        </w:rPr>
        <w:t>损失厌恶</w:t>
      </w:r>
      <w:r w:rsidRPr="00CA29E9">
        <w:rPr>
          <w:rFonts w:ascii="宋体" w:eastAsia="宋体" w:hAnsi="宋体" w:cs="宋体"/>
          <w:kern w:val="0"/>
          <w:sz w:val="24"/>
          <w14:ligatures w14:val="none"/>
        </w:rPr>
        <w:t>而不愿割舍亏损的股票，或者因过度自信而高估自己选股能力。这本书加深了对投资决策心理机制的理解，对行为金融学的发展具有里程碑意义。</w:t>
      </w:r>
    </w:p>
    <w:p w14:paraId="30E2F2FD" w14:textId="77777777" w:rsidR="00CA29E9" w:rsidRPr="00CA29E9" w:rsidRDefault="00CA29E9" w:rsidP="00CA29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《非理性繁荣》</w:t>
      </w:r>
      <w:r w:rsidRPr="00CA29E9">
        <w:rPr>
          <w:rFonts w:ascii="宋体" w:eastAsia="宋体" w:hAnsi="宋体" w:cs="宋体"/>
          <w:kern w:val="0"/>
          <w:sz w:val="24"/>
          <w14:ligatures w14:val="none"/>
        </w:rPr>
        <w:t>（罗伯特·席勒）：席勒在此书中探讨了资产价格泡沫形成的原因，聚焦于投资者的</w:t>
      </w:r>
      <w:r w:rsidRPr="00CA29E9">
        <w:rPr>
          <w:rFonts w:ascii="宋体" w:eastAsia="宋体" w:hAnsi="宋体" w:cs="宋体"/>
          <w:b/>
          <w:bCs/>
          <w:kern w:val="0"/>
          <w:sz w:val="24"/>
          <w14:ligatures w14:val="none"/>
        </w:rPr>
        <w:t>心理和群体行为</w:t>
      </w:r>
      <w:r w:rsidRPr="00CA29E9">
        <w:rPr>
          <w:rFonts w:ascii="宋体" w:eastAsia="宋体" w:hAnsi="宋体" w:cs="宋体"/>
          <w:kern w:val="0"/>
          <w:sz w:val="24"/>
          <w14:ligatures w14:val="none"/>
        </w:rPr>
        <w:t>如何导致市场的非理性上涨和下跌。他指出，金融市场常出现</w:t>
      </w:r>
      <w:r w:rsidRPr="00CA29E9">
        <w:rPr>
          <w:rFonts w:ascii="宋体" w:eastAsia="宋体" w:hAnsi="宋体" w:cs="宋体"/>
          <w:b/>
          <w:bCs/>
          <w:kern w:val="0"/>
          <w:sz w:val="24"/>
          <w14:ligatures w14:val="none"/>
        </w:rPr>
        <w:t>投机性泡沫</w:t>
      </w:r>
      <w:r w:rsidRPr="00CA29E9">
        <w:rPr>
          <w:rFonts w:ascii="宋体" w:eastAsia="宋体" w:hAnsi="宋体" w:cs="宋体"/>
          <w:kern w:val="0"/>
          <w:sz w:val="24"/>
          <w14:ligatures w14:val="none"/>
        </w:rPr>
        <w:t>，投资者在正反馈下推高价格远超内在价值，终将导致不可持续的繁荣和随后的崩盘 (</w:t>
      </w:r>
      <w:hyperlink r:id="rId22" w:anchor=":~:text=In%20Irrational%20Exuberance%2C%20Robert%20J,create%20and%20sustain%20these%20bubbles"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)。席勒以2000年互联网科技股泡沫和后来的2007年美国房产泡沫为例，说明“大众的非理性热情”如何驱动资产价格偏离基本面。他构建了</w:t>
      </w:r>
      <w:r w:rsidRPr="00CA29E9">
        <w:rPr>
          <w:rFonts w:ascii="宋体" w:eastAsia="宋体" w:hAnsi="宋体" w:cs="宋体"/>
          <w:b/>
          <w:bCs/>
          <w:kern w:val="0"/>
          <w:sz w:val="24"/>
          <w14:ligatures w14:val="none"/>
        </w:rPr>
        <w:t>周期性调整市盈率(CAPE)等指标来评估市场估值水平，并在2000年首次版中成功预警了美股泡沫破灭的风险 (</w:t>
      </w:r>
      <w:hyperlink r:id="rId23" w:anchor=":~:text=Irrational%20Exuberance%20was%20originally%20published,of%20the%20recent%20bond%20market" w:history="1">
        <w:r w:rsidRPr="00CA29E9">
          <w:rPr>
            <w:rFonts w:ascii="宋体" w:eastAsia="宋体" w:hAnsi="宋体" w:cs="宋体"/>
            <w:b/>
            <w:bCs/>
            <w:color w:val="0000FF"/>
            <w:kern w:val="0"/>
            <w:sz w:val="24"/>
            <w:u w:val="single"/>
            <w14:ligatures w14:val="none"/>
          </w:rPr>
          <w:t>Irrational Exuberance: Robert J. Shiller on Speculative Bubbles | Shortform Books</w:t>
        </w:r>
      </w:hyperlink>
      <w:r w:rsidRPr="00CA29E9">
        <w:rPr>
          <w:rFonts w:ascii="宋体" w:eastAsia="宋体" w:hAnsi="宋体" w:cs="宋体"/>
          <w:b/>
          <w:bCs/>
          <w:kern w:val="0"/>
          <w:sz w:val="24"/>
          <w14:ligatures w14:val="none"/>
        </w:rPr>
        <w:t>)。席勒认为传统的有效市场理论过于乐观地假设市场理性，而实际市场充满了结构性、文化和心理因素导致的过度波动 (</w:t>
      </w:r>
      <w:hyperlink r:id="rId24" w:anchor=":~:text=In%20Irrational%20Exuberance%2C%20Robert%20J,create%20and%20sustain%20these%20bubbles" w:history="1">
        <w:r w:rsidRPr="00CA29E9">
          <w:rPr>
            <w:rFonts w:ascii="宋体" w:eastAsia="宋体" w:hAnsi="宋体" w:cs="宋体"/>
            <w:b/>
            <w:bCs/>
            <w:color w:val="0000FF"/>
            <w:kern w:val="0"/>
            <w:sz w:val="24"/>
            <w:u w:val="single"/>
            <w14:ligatures w14:val="none"/>
          </w:rPr>
          <w:t>Irrational Exuberance: Robert J. Shiller on Speculative Bubbles | Shortform Books</w:t>
        </w:r>
      </w:hyperlink>
      <w:r w:rsidRPr="00CA29E9">
        <w:rPr>
          <w:rFonts w:ascii="宋体" w:eastAsia="宋体" w:hAnsi="宋体" w:cs="宋体"/>
          <w:b/>
          <w:bCs/>
          <w:kern w:val="0"/>
          <w:sz w:val="24"/>
          <w14:ligatures w14:val="none"/>
        </w:rPr>
        <w:t>)。他也讨论了媒体、故事、从众行为等如何放大市场情绪。这本书强化了对市场非理性和泡沫</w:t>
      </w:r>
      <w:r w:rsidRPr="00CA29E9">
        <w:rPr>
          <w:rFonts w:ascii="宋体" w:eastAsia="宋体" w:hAnsi="宋体" w:cs="宋体"/>
          <w:kern w:val="0"/>
          <w:sz w:val="24"/>
          <w14:ligatures w14:val="none"/>
        </w:rPr>
        <w:t>的认识，为政策制定者和投资者在面对过热市场时提供了警示。</w:t>
      </w:r>
    </w:p>
    <w:p w14:paraId="0D909314" w14:textId="77777777" w:rsidR="00CA29E9" w:rsidRPr="00CA29E9" w:rsidRDefault="00CA29E9" w:rsidP="00CA29E9">
      <w:pPr>
        <w:widowControl/>
        <w:numPr>
          <w:ilvl w:val="0"/>
          <w:numId w:val="12"/>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《行为金融学》</w:t>
      </w:r>
      <w:r w:rsidRPr="00CA29E9">
        <w:rPr>
          <w:rFonts w:ascii="宋体" w:eastAsia="宋体" w:hAnsi="宋体" w:cs="宋体"/>
          <w:kern w:val="0"/>
          <w:sz w:val="24"/>
          <w14:ligatures w14:val="none"/>
        </w:rPr>
        <w:t>（一般指行为金融学领域的相关教材或著作，如《Misbehaving: 行为经济学的崛起》等）：行为金融</w:t>
      </w:r>
      <w:proofErr w:type="gramStart"/>
      <w:r w:rsidRPr="00CA29E9">
        <w:rPr>
          <w:rFonts w:ascii="宋体" w:eastAsia="宋体" w:hAnsi="宋体" w:cs="宋体"/>
          <w:kern w:val="0"/>
          <w:sz w:val="24"/>
          <w14:ligatures w14:val="none"/>
        </w:rPr>
        <w:t>学综合</w:t>
      </w:r>
      <w:proofErr w:type="gramEnd"/>
      <w:r w:rsidRPr="00CA29E9">
        <w:rPr>
          <w:rFonts w:ascii="宋体" w:eastAsia="宋体" w:hAnsi="宋体" w:cs="宋体"/>
          <w:kern w:val="0"/>
          <w:sz w:val="24"/>
          <w14:ligatures w14:val="none"/>
        </w:rPr>
        <w:t>了心理学和金融学，研究投资者非理性行为对市场的影响。其核心内容包括对各种</w:t>
      </w:r>
      <w:r w:rsidRPr="00CA29E9">
        <w:rPr>
          <w:rFonts w:ascii="宋体" w:eastAsia="宋体" w:hAnsi="宋体" w:cs="宋体"/>
          <w:b/>
          <w:bCs/>
          <w:kern w:val="0"/>
          <w:sz w:val="24"/>
          <w14:ligatures w14:val="none"/>
        </w:rPr>
        <w:t>认知偏差</w:t>
      </w:r>
      <w:r w:rsidRPr="00CA29E9">
        <w:rPr>
          <w:rFonts w:ascii="宋体" w:eastAsia="宋体" w:hAnsi="宋体" w:cs="宋体"/>
          <w:kern w:val="0"/>
          <w:sz w:val="24"/>
          <w14:ligatures w14:val="none"/>
        </w:rPr>
        <w:t>的分类（如过度自信、确认偏误、锚定效应、从众行为等）和这些偏差如何导致资产定价偏离理性预期 (</w:t>
      </w:r>
      <w:hyperlink r:id="rId25" w:anchor=":~:text=,consensus%20bias%2C%20and%20familiarity%20tendencies" w:history="1">
        <w:r w:rsidRPr="00CA29E9">
          <w:rPr>
            <w:rFonts w:ascii="宋体" w:eastAsia="宋体" w:hAnsi="宋体" w:cs="宋体"/>
            <w:color w:val="0000FF"/>
            <w:kern w:val="0"/>
            <w:sz w:val="24"/>
            <w:u w:val="single"/>
            <w14:ligatures w14:val="none"/>
          </w:rPr>
          <w:t>Behavioral Finance: Biases, Emotions and Financial Behavior</w:t>
        </w:r>
      </w:hyperlink>
      <w:r w:rsidRPr="00CA29E9">
        <w:rPr>
          <w:rFonts w:ascii="宋体" w:eastAsia="宋体" w:hAnsi="宋体" w:cs="宋体"/>
          <w:kern w:val="0"/>
          <w:sz w:val="24"/>
          <w14:ligatures w14:val="none"/>
        </w:rPr>
        <w:t>)。行为金融学强调投资者</w:t>
      </w:r>
      <w:r w:rsidRPr="00CA29E9">
        <w:rPr>
          <w:rFonts w:ascii="宋体" w:eastAsia="宋体" w:hAnsi="宋体" w:cs="宋体"/>
          <w:kern w:val="0"/>
          <w:sz w:val="24"/>
          <w14:ligatures w14:val="none"/>
        </w:rPr>
        <w:lastRenderedPageBreak/>
        <w:t>并非始终理性、自我控制的优化者，而是会受情绪和认知局限影响，在决策中出现系统性偏差 (</w:t>
      </w:r>
      <w:hyperlink r:id="rId26" w:anchor=":~:text=those%20choices%20can%20affect%20markets" w:history="1">
        <w:r w:rsidRPr="00CA29E9">
          <w:rPr>
            <w:rFonts w:ascii="宋体" w:eastAsia="宋体" w:hAnsi="宋体" w:cs="宋体"/>
            <w:color w:val="0000FF"/>
            <w:kern w:val="0"/>
            <w:sz w:val="24"/>
            <w:u w:val="single"/>
            <w14:ligatures w14:val="none"/>
          </w:rPr>
          <w:t>Behavioral Finance: Biases, Emotions and Financial Behavior</w:t>
        </w:r>
      </w:hyperlink>
      <w:r w:rsidRPr="00CA29E9">
        <w:rPr>
          <w:rFonts w:ascii="宋体" w:eastAsia="宋体" w:hAnsi="宋体" w:cs="宋体"/>
          <w:kern w:val="0"/>
          <w:sz w:val="24"/>
          <w14:ligatures w14:val="none"/>
        </w:rPr>
        <w:t>)。例如，投资者常表现出</w:t>
      </w:r>
      <w:r w:rsidRPr="00CA29E9">
        <w:rPr>
          <w:rFonts w:ascii="宋体" w:eastAsia="宋体" w:hAnsi="宋体" w:cs="宋体"/>
          <w:b/>
          <w:bCs/>
          <w:kern w:val="0"/>
          <w:sz w:val="24"/>
          <w14:ligatures w14:val="none"/>
        </w:rPr>
        <w:t>过度反应或反应不足</w:t>
      </w:r>
      <w:r w:rsidRPr="00CA29E9">
        <w:rPr>
          <w:rFonts w:ascii="宋体" w:eastAsia="宋体" w:hAnsi="宋体" w:cs="宋体"/>
          <w:kern w:val="0"/>
          <w:sz w:val="24"/>
          <w14:ligatures w14:val="none"/>
        </w:rPr>
        <w:t>，导致市场出现动量效应或均值回归、价值溢价等异常现象；又如</w:t>
      </w:r>
      <w:r w:rsidRPr="00CA29E9">
        <w:rPr>
          <w:rFonts w:ascii="宋体" w:eastAsia="宋体" w:hAnsi="宋体" w:cs="宋体"/>
          <w:b/>
          <w:bCs/>
          <w:kern w:val="0"/>
          <w:sz w:val="24"/>
          <w14:ligatures w14:val="none"/>
        </w:rPr>
        <w:t>损失厌恶</w:t>
      </w:r>
      <w:r w:rsidRPr="00CA29E9">
        <w:rPr>
          <w:rFonts w:ascii="宋体" w:eastAsia="宋体" w:hAnsi="宋体" w:cs="宋体"/>
          <w:kern w:val="0"/>
          <w:sz w:val="24"/>
          <w14:ligatures w14:val="none"/>
        </w:rPr>
        <w:t>使得投资者对损失的敏感度高于对同等收益的满足，从而解释了股市中的波动溢价等现象。通过实验和实证研究，行为金融学对有效市场假说提出挑战，</w:t>
      </w:r>
      <w:r w:rsidRPr="00CA29E9">
        <w:rPr>
          <w:rFonts w:ascii="宋体" w:eastAsia="宋体" w:hAnsi="宋体" w:cs="宋体"/>
          <w:b/>
          <w:bCs/>
          <w:kern w:val="0"/>
          <w:sz w:val="24"/>
          <w14:ligatures w14:val="none"/>
        </w:rPr>
        <w:t>揭示了人性如何导致市场情绪和价格偏离</w:t>
      </w:r>
      <w:r w:rsidRPr="00CA29E9">
        <w:rPr>
          <w:rFonts w:ascii="宋体" w:eastAsia="宋体" w:hAnsi="宋体" w:cs="宋体"/>
          <w:kern w:val="0"/>
          <w:sz w:val="24"/>
          <w14:ligatures w14:val="none"/>
        </w:rPr>
        <w:t xml:space="preserve"> (</w:t>
      </w:r>
      <w:hyperlink r:id="rId27" w:anchor=":~:text=psychological%20biases.%20,not%20incorporating%20irrational%20emotional%20behavior" w:history="1">
        <w:r w:rsidRPr="00CA29E9">
          <w:rPr>
            <w:rFonts w:ascii="宋体" w:eastAsia="宋体" w:hAnsi="宋体" w:cs="宋体"/>
            <w:color w:val="0000FF"/>
            <w:kern w:val="0"/>
            <w:sz w:val="24"/>
            <w:u w:val="single"/>
            <w14:ligatures w14:val="none"/>
          </w:rPr>
          <w:t>Behavioral Finance: Biases, Emotions and Financial Behavior</w:t>
        </w:r>
      </w:hyperlink>
      <w:r w:rsidRPr="00CA29E9">
        <w:rPr>
          <w:rFonts w:ascii="宋体" w:eastAsia="宋体" w:hAnsi="宋体" w:cs="宋体"/>
          <w:kern w:val="0"/>
          <w:sz w:val="24"/>
          <w14:ligatures w14:val="none"/>
        </w:rPr>
        <w:t>)。这一领域的开拓者包括卡尼曼、特沃斯基、理查德·塞勒（“禀赋效应”“心理账户”等概念提出者）等，他们的研究为金融实践中的投资策略和市场监管提供了新的视角。</w:t>
      </w:r>
    </w:p>
    <w:p w14:paraId="7E671E75"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2. 作者背景与学术影响</w:t>
      </w:r>
    </w:p>
    <w:p w14:paraId="5508778C"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本杰明·格雷厄姆（Benjamin Graham）</w:t>
      </w:r>
      <w:r w:rsidRPr="00CA29E9">
        <w:rPr>
          <w:rFonts w:ascii="宋体" w:eastAsia="宋体" w:hAnsi="宋体" w:cs="宋体"/>
          <w:kern w:val="0"/>
          <w:sz w:val="24"/>
          <w14:ligatures w14:val="none"/>
        </w:rPr>
        <w:t>：作为“价值投资之父”，格雷厄姆是20世纪最具影响力的投资思想家之一。生于1894年，曾任教于哥伦比亚大学商学院，培养出沃伦·巴菲特等门生。格雷厄姆在1920-30年代的市场动荡中总结经验，合著《证券分析》(1934)并于1949年出版《聪明的投资者》，奠定了价值投资的理论基础 (</w:t>
      </w:r>
      <w:hyperlink r:id="rId28" w:anchor=":~:text=The%20Founder%20of%20Value%20Investing" w:history="1">
        <w:r w:rsidRPr="00CA29E9">
          <w:rPr>
            <w:rFonts w:ascii="宋体" w:eastAsia="宋体" w:hAnsi="宋体" w:cs="宋体"/>
            <w:color w:val="0000FF"/>
            <w:kern w:val="0"/>
            <w:sz w:val="24"/>
            <w:u w:val="single"/>
            <w14:ligatures w14:val="none"/>
          </w:rPr>
          <w:t>Learning from Warren Buffett</w:t>
        </w:r>
        <w:proofErr w:type="gramStart"/>
        <w:r w:rsidRPr="00CA29E9">
          <w:rPr>
            <w:rFonts w:ascii="宋体" w:eastAsia="宋体" w:hAnsi="宋体" w:cs="宋体"/>
            <w:color w:val="0000FF"/>
            <w:kern w:val="0"/>
            <w:sz w:val="24"/>
            <w:u w:val="single"/>
            <w14:ligatures w14:val="none"/>
          </w:rPr>
          <w:t>’</w:t>
        </w:r>
        <w:proofErr w:type="gramEnd"/>
        <w:r w:rsidRPr="00CA29E9">
          <w:rPr>
            <w:rFonts w:ascii="宋体" w:eastAsia="宋体" w:hAnsi="宋体" w:cs="宋体"/>
            <w:color w:val="0000FF"/>
            <w:kern w:val="0"/>
            <w:sz w:val="24"/>
            <w:u w:val="single"/>
            <w14:ligatures w14:val="none"/>
          </w:rPr>
          <w:t>s Mentor | by Aaron Schnoor | Exploring Economics | Medium</w:t>
        </w:r>
      </w:hyperlink>
      <w:r w:rsidRPr="00CA29E9">
        <w:rPr>
          <w:rFonts w:ascii="宋体" w:eastAsia="宋体" w:hAnsi="宋体" w:cs="宋体"/>
          <w:kern w:val="0"/>
          <w:sz w:val="24"/>
          <w14:ligatures w14:val="none"/>
        </w:rPr>
        <w:t>)。他主张通过深入分析发掘股票的内在价值，并坚持安全边际来对抗不确定性。格雷厄姆的理念在投资界产生了深远影响，他所强调的理性、纪律和风险防范原则至今仍被视为投资圭臬 (</w:t>
      </w:r>
      <w:hyperlink r:id="rId29" w:anchor=":~:text=The%20Founder%20of%20Value%20Investing" w:history="1">
        <w:r w:rsidRPr="00CA29E9">
          <w:rPr>
            <w:rFonts w:ascii="宋体" w:eastAsia="宋体" w:hAnsi="宋体" w:cs="宋体"/>
            <w:color w:val="0000FF"/>
            <w:kern w:val="0"/>
            <w:sz w:val="24"/>
            <w:u w:val="single"/>
            <w14:ligatures w14:val="none"/>
          </w:rPr>
          <w:t>Learning from Warren Buffett</w:t>
        </w:r>
        <w:proofErr w:type="gramStart"/>
        <w:r w:rsidRPr="00CA29E9">
          <w:rPr>
            <w:rFonts w:ascii="宋体" w:eastAsia="宋体" w:hAnsi="宋体" w:cs="宋体"/>
            <w:color w:val="0000FF"/>
            <w:kern w:val="0"/>
            <w:sz w:val="24"/>
            <w:u w:val="single"/>
            <w14:ligatures w14:val="none"/>
          </w:rPr>
          <w:t>’</w:t>
        </w:r>
        <w:proofErr w:type="gramEnd"/>
        <w:r w:rsidRPr="00CA29E9">
          <w:rPr>
            <w:rFonts w:ascii="宋体" w:eastAsia="宋体" w:hAnsi="宋体" w:cs="宋体"/>
            <w:color w:val="0000FF"/>
            <w:kern w:val="0"/>
            <w:sz w:val="24"/>
            <w:u w:val="single"/>
            <w14:ligatures w14:val="none"/>
          </w:rPr>
          <w:t>s Mentor | by Aaron Schnoor | Exploring Economics | Medium</w:t>
        </w:r>
      </w:hyperlink>
      <w:r w:rsidRPr="00CA29E9">
        <w:rPr>
          <w:rFonts w:ascii="宋体" w:eastAsia="宋体" w:hAnsi="宋体" w:cs="宋体"/>
          <w:kern w:val="0"/>
          <w:sz w:val="24"/>
          <w14:ligatures w14:val="none"/>
        </w:rPr>
        <w:t>)。巴菲特曾称若非当年读到格雷厄姆的书，“人生轨迹将大不相同”，可见其思想对后辈投资者的塑造之深远。</w:t>
      </w:r>
    </w:p>
    <w:p w14:paraId="40DF183E"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沃伦·巴菲特（Warren Buffett）</w:t>
      </w:r>
      <w:r w:rsidRPr="00CA29E9">
        <w:rPr>
          <w:rFonts w:ascii="宋体" w:eastAsia="宋体" w:hAnsi="宋体" w:cs="宋体"/>
          <w:kern w:val="0"/>
          <w:sz w:val="24"/>
          <w14:ligatures w14:val="none"/>
        </w:rPr>
        <w:t>：格雷厄姆最著名的弟子，1930年生于美国奥马哈。“股神”巴菲特凭借</w:t>
      </w:r>
      <w:proofErr w:type="gramStart"/>
      <w:r w:rsidRPr="00CA29E9">
        <w:rPr>
          <w:rFonts w:ascii="宋体" w:eastAsia="宋体" w:hAnsi="宋体" w:cs="宋体"/>
          <w:kern w:val="0"/>
          <w:sz w:val="24"/>
          <w14:ligatures w14:val="none"/>
        </w:rPr>
        <w:t>践行</w:t>
      </w:r>
      <w:proofErr w:type="gramEnd"/>
      <w:r w:rsidRPr="00CA29E9">
        <w:rPr>
          <w:rFonts w:ascii="宋体" w:eastAsia="宋体" w:hAnsi="宋体" w:cs="宋体"/>
          <w:kern w:val="0"/>
          <w:sz w:val="24"/>
          <w14:ligatures w14:val="none"/>
        </w:rPr>
        <w:t>价值投资理念成为全球最成功的投资者之一。他自1956年起管理合伙基金，1965年接手伯克希尔·哈撒韦并将其打造成投资控股帝国。巴菲特将格雷厄姆的理论发扬光大，同时融入自己对优秀企业“护城河”、管理层诚信和长期增长前景的偏好，形成了独特的价值投资哲学。他在致股东信中分享了大量投资见解，包括</w:t>
      </w:r>
      <w:r w:rsidRPr="00CA29E9">
        <w:rPr>
          <w:rFonts w:ascii="宋体" w:eastAsia="宋体" w:hAnsi="宋体" w:cs="宋体"/>
          <w:b/>
          <w:bCs/>
          <w:kern w:val="0"/>
          <w:sz w:val="24"/>
          <w14:ligatures w14:val="none"/>
        </w:rPr>
        <w:t>专注长期、逆向投资、拒绝预测宏观走势</w:t>
      </w:r>
      <w:r w:rsidRPr="00CA29E9">
        <w:rPr>
          <w:rFonts w:ascii="宋体" w:eastAsia="宋体" w:hAnsi="宋体" w:cs="宋体"/>
          <w:kern w:val="0"/>
          <w:sz w:val="24"/>
          <w14:ligatures w14:val="none"/>
        </w:rPr>
        <w:t>等理念，如今这些信件已被奉为投资经典。巴菲特对金融界的长期影响不仅在于其投资业绩，更在于向大众传播了价值投资的思想，使得理性投资、长期主义深入人心。</w:t>
      </w:r>
    </w:p>
    <w:p w14:paraId="49B1C8F5"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乔治·索罗斯（George Soros）</w:t>
      </w:r>
      <w:r w:rsidRPr="00CA29E9">
        <w:rPr>
          <w:rFonts w:ascii="宋体" w:eastAsia="宋体" w:hAnsi="宋体" w:cs="宋体"/>
          <w:kern w:val="0"/>
          <w:sz w:val="24"/>
          <w14:ligatures w14:val="none"/>
        </w:rPr>
        <w:t>：出生于1930年的匈牙利裔美籍投资家，以其宏观对冲交易和“打败英格兰银行”而闻名。索罗斯早年受哲学家波普尔影响，形成了关于不确定性的思考，50年代开始发展其“反身性”理论 (</w:t>
      </w:r>
      <w:hyperlink r:id="rId30" w:anchor=":~:text=,their%20perceptions%20all%20over%20again" w:history="1">
        <w:r w:rsidRPr="00CA29E9">
          <w:rPr>
            <w:rFonts w:ascii="宋体" w:eastAsia="宋体" w:hAnsi="宋体" w:cs="宋体"/>
            <w:color w:val="0000FF"/>
            <w:kern w:val="0"/>
            <w:sz w:val="24"/>
            <w:u w:val="single"/>
            <w14:ligatures w14:val="none"/>
          </w:rPr>
          <w:t>How to use the theory that made George Soros rich - Finimize</w:t>
        </w:r>
      </w:hyperlink>
      <w:r w:rsidRPr="00CA29E9">
        <w:rPr>
          <w:rFonts w:ascii="宋体" w:eastAsia="宋体" w:hAnsi="宋体" w:cs="宋体"/>
          <w:kern w:val="0"/>
          <w:sz w:val="24"/>
          <w14:ligatures w14:val="none"/>
        </w:rPr>
        <w:t>)。1970年他创立索罗斯基金管理公司，旗下量子基金在1973-2011年间创造了年均30%以上的惊人回报 (</w:t>
      </w:r>
      <w:hyperlink r:id="rId31" w:anchor=":~:text=Most%20of%20us%20are%20never,their%20perceptions%20all%20over%20again" w:history="1">
        <w:r w:rsidRPr="00CA29E9">
          <w:rPr>
            <w:rFonts w:ascii="宋体" w:eastAsia="宋体" w:hAnsi="宋体" w:cs="宋体"/>
            <w:color w:val="0000FF"/>
            <w:kern w:val="0"/>
            <w:sz w:val="24"/>
            <w:u w:val="single"/>
            <w14:ligatures w14:val="none"/>
          </w:rPr>
          <w:t xml:space="preserve">How to use the theory </w:t>
        </w:r>
        <w:r w:rsidRPr="00CA29E9">
          <w:rPr>
            <w:rFonts w:ascii="宋体" w:eastAsia="宋体" w:hAnsi="宋体" w:cs="宋体"/>
            <w:color w:val="0000FF"/>
            <w:kern w:val="0"/>
            <w:sz w:val="24"/>
            <w:u w:val="single"/>
            <w14:ligatures w14:val="none"/>
          </w:rPr>
          <w:lastRenderedPageBreak/>
          <w:t>that made George Soros rich - Finimize</w:t>
        </w:r>
      </w:hyperlink>
      <w:r w:rsidRPr="00CA29E9">
        <w:rPr>
          <w:rFonts w:ascii="宋体" w:eastAsia="宋体" w:hAnsi="宋体" w:cs="宋体"/>
          <w:kern w:val="0"/>
          <w:sz w:val="24"/>
          <w14:ligatures w14:val="none"/>
        </w:rPr>
        <w:t>)。索罗斯在1992年量子基金成功狙击英镑，一日获利十亿美元，奠定了顶尖投机者的地位。他的学术影响主要通过反身性理论体现，对传统金融均衡论提出挑战 (</w:t>
      </w:r>
      <w:hyperlink r:id="rId32" w:anchor=":~:text=Soros%E2%80%99s%20theory%20of%20reflexivity%20runs,Changes%20in" w:history="1">
        <w:r w:rsidRPr="00CA29E9">
          <w:rPr>
            <w:rFonts w:ascii="宋体" w:eastAsia="宋体" w:hAnsi="宋体" w:cs="宋体"/>
            <w:color w:val="0000FF"/>
            <w:kern w:val="0"/>
            <w:sz w:val="24"/>
            <w:u w:val="single"/>
            <w14:ligatures w14:val="none"/>
          </w:rPr>
          <w:t>What Is Reflexivity? How It Works, History, and Opposing Theories</w:t>
        </w:r>
      </w:hyperlink>
      <w:r w:rsidRPr="00CA29E9">
        <w:rPr>
          <w:rFonts w:ascii="宋体" w:eastAsia="宋体" w:hAnsi="宋体" w:cs="宋体"/>
          <w:kern w:val="0"/>
          <w:sz w:val="24"/>
          <w14:ligatures w14:val="none"/>
        </w:rPr>
        <w:t>)。尽管主流学界对索罗斯理论最初存疑，但2008年金融危机后，人们重新认识到他关于市场认知与现实互动的见解。作为慷慨的慈善家，索罗斯也通过其开放社会基金会推动经济和社会科学研究。他在金融界长远影响在于提醒决策者和投资者关注市场的非线性和参与者心理，为宏观投资和政策分析提供了不同视角。</w:t>
      </w:r>
    </w:p>
    <w:p w14:paraId="44772EF4"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尤金·法玛（Eugene Fama）</w:t>
      </w:r>
      <w:r w:rsidRPr="00CA29E9">
        <w:rPr>
          <w:rFonts w:ascii="宋体" w:eastAsia="宋体" w:hAnsi="宋体" w:cs="宋体"/>
          <w:kern w:val="0"/>
          <w:sz w:val="24"/>
          <w14:ligatures w14:val="none"/>
        </w:rPr>
        <w:t>：美国金融经济学家，生于1939年，以提出**有效市场假说(EMH)**而著称。法玛在</w:t>
      </w:r>
      <w:proofErr w:type="gramStart"/>
      <w:r w:rsidRPr="00CA29E9">
        <w:rPr>
          <w:rFonts w:ascii="宋体" w:eastAsia="宋体" w:hAnsi="宋体" w:cs="宋体"/>
          <w:kern w:val="0"/>
          <w:sz w:val="24"/>
          <w14:ligatures w14:val="none"/>
        </w:rPr>
        <w:t>1960</w:t>
      </w:r>
      <w:proofErr w:type="gramEnd"/>
      <w:r w:rsidRPr="00CA29E9">
        <w:rPr>
          <w:rFonts w:ascii="宋体" w:eastAsia="宋体" w:hAnsi="宋体" w:cs="宋体"/>
          <w:kern w:val="0"/>
          <w:sz w:val="24"/>
          <w14:ligatures w14:val="none"/>
        </w:rPr>
        <w:t>年代于芝加哥大学博士毕业后发表论文，系统论证了股票市场价格对信息的即时反映，从而确立了EMH的基础。他后来进行了广泛的资产价格实证研究，被誉为“现代金融学之父”之一。2013年，法玛因在资产定价实证研究方面的贡献与席勒、汉森共同获得诺贝尔经济学奖 (</w:t>
      </w:r>
      <w:hyperlink r:id="rId33" w:anchor=":~:text=As%20a%20co,is%20evident%20throughout%20Irrational%20Exuberance"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法玛的有效市场理论在学术界和实务界产生巨大影响：引领了70年代指数基金的兴起，使被动投资、市场效率等理念深入人心，也为资本资产定价模型等理论提供了支持。然而，他的理论也促使他人去检验市场效率的边界，从而推动了对小市值效应、价值溢价等异象的研究。总体而言，法玛的工作奠定了金融经济学的基石，对后世金融学者影响深远 (</w:t>
      </w:r>
      <w:hyperlink r:id="rId34" w:anchor=":~:text=Panel%2C%20welcome%20to%20The%20Big,us%20briefly%2C%20what%20is%20it" w:history="1">
        <w:r w:rsidRPr="00CA29E9">
          <w:rPr>
            <w:rFonts w:ascii="宋体" w:eastAsia="宋体" w:hAnsi="宋体" w:cs="宋体"/>
            <w:color w:val="0000FF"/>
            <w:kern w:val="0"/>
            <w:sz w:val="24"/>
            <w:u w:val="single"/>
            <w14:ligatures w14:val="none"/>
          </w:rPr>
          <w:t>Are Markets Efficient? | Chicago Booth Review</w:t>
        </w:r>
      </w:hyperlink>
      <w:r w:rsidRPr="00CA29E9">
        <w:rPr>
          <w:rFonts w:ascii="宋体" w:eastAsia="宋体" w:hAnsi="宋体" w:cs="宋体"/>
          <w:kern w:val="0"/>
          <w:sz w:val="24"/>
          <w14:ligatures w14:val="none"/>
        </w:rPr>
        <w:t>)。</w:t>
      </w:r>
    </w:p>
    <w:p w14:paraId="2B511937"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哈里·马科维茨（Harry Markowitz）与威廉·夏普（William Sharpe）</w:t>
      </w:r>
      <w:r w:rsidRPr="00CA29E9">
        <w:rPr>
          <w:rFonts w:ascii="宋体" w:eastAsia="宋体" w:hAnsi="宋体" w:cs="宋体"/>
          <w:kern w:val="0"/>
          <w:sz w:val="24"/>
          <w14:ligatures w14:val="none"/>
        </w:rPr>
        <w:t>：这两位学者是现代资本市场理论的重要奠基人。马科维茨于1927年生，在1952年发表划时代的论文《投资组合选择》，提出以均值和方差刻画收益和风险，用数学证明了分散化投资能够最优地权衡风险和回报。他定义的</w:t>
      </w:r>
      <w:r w:rsidRPr="00CA29E9">
        <w:rPr>
          <w:rFonts w:ascii="宋体" w:eastAsia="宋体" w:hAnsi="宋体" w:cs="宋体"/>
          <w:b/>
          <w:bCs/>
          <w:kern w:val="0"/>
          <w:sz w:val="24"/>
          <w14:ligatures w14:val="none"/>
        </w:rPr>
        <w:t>有效边界</w:t>
      </w:r>
      <w:r w:rsidRPr="00CA29E9">
        <w:rPr>
          <w:rFonts w:ascii="宋体" w:eastAsia="宋体" w:hAnsi="宋体" w:cs="宋体"/>
          <w:kern w:val="0"/>
          <w:sz w:val="24"/>
          <w14:ligatures w14:val="none"/>
        </w:rPr>
        <w:t>概念成为投资组合管理的基石，并因此获得1990年诺贝尔经济学奖。威廉·夏普（1934年生）则基于马科维茨理论于1964年发展出</w:t>
      </w:r>
      <w:r w:rsidRPr="00CA29E9">
        <w:rPr>
          <w:rFonts w:ascii="宋体" w:eastAsia="宋体" w:hAnsi="宋体" w:cs="宋体"/>
          <w:b/>
          <w:bCs/>
          <w:kern w:val="0"/>
          <w:sz w:val="24"/>
          <w14:ligatures w14:val="none"/>
        </w:rPr>
        <w:t>资本资产定价模型(CAPM)</w:t>
      </w:r>
      <w:r w:rsidRPr="00CA29E9">
        <w:rPr>
          <w:rFonts w:ascii="宋体" w:eastAsia="宋体" w:hAnsi="宋体" w:cs="宋体"/>
          <w:kern w:val="0"/>
          <w:sz w:val="24"/>
          <w14:ligatures w14:val="none"/>
        </w:rPr>
        <w:t xml:space="preserve"> (</w:t>
      </w:r>
      <w:hyperlink r:id="rId35" w:anchor=":~:text=The%20capital%20asset%20pricing%20model,free%20rate" w:history="1">
        <w:r w:rsidRPr="00CA29E9">
          <w:rPr>
            <w:rFonts w:ascii="宋体" w:eastAsia="宋体" w:hAnsi="宋体" w:cs="宋体"/>
            <w:color w:val="0000FF"/>
            <w:kern w:val="0"/>
            <w:sz w:val="24"/>
            <w:u w:val="single"/>
            <w14:ligatures w14:val="none"/>
          </w:rPr>
          <w:t>CAPM Model: Advantages and Disadvantages</w:t>
        </w:r>
      </w:hyperlink>
      <w:r w:rsidRPr="00CA29E9">
        <w:rPr>
          <w:rFonts w:ascii="宋体" w:eastAsia="宋体" w:hAnsi="宋体" w:cs="宋体"/>
          <w:kern w:val="0"/>
          <w:sz w:val="24"/>
          <w14:ligatures w14:val="none"/>
        </w:rPr>
        <w:t>)，将市场均衡下资产的预期收益与其系统性风险（β）联系起来。夏普的贡献使资产定价有了简洁的线性模型，也引入了衡量基金业绩的夏普比率等概念。他与马科维茨、默顿·米勒共享了1990年诺奖。这两位学者开创的资本市场理论，推动金融从定性走向定量分析，对投资行业实践（如量化投资、指数基金构建、风险管理）产生了持续的深刻影响。</w:t>
      </w:r>
    </w:p>
    <w:p w14:paraId="61410CE6"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丹尼尔·卡尼曼（Daniel Kahneman）</w:t>
      </w:r>
      <w:r w:rsidRPr="00CA29E9">
        <w:rPr>
          <w:rFonts w:ascii="宋体" w:eastAsia="宋体" w:hAnsi="宋体" w:cs="宋体"/>
          <w:kern w:val="0"/>
          <w:sz w:val="24"/>
          <w14:ligatures w14:val="none"/>
        </w:rPr>
        <w:t>：以色列裔美国心理学家，1934年生，于2002年获诺贝尔经济学奖，是将心理学引入经济学的先锋。卡尼曼与已故合作者阿莫斯·特沃斯基在</w:t>
      </w:r>
      <w:proofErr w:type="gramStart"/>
      <w:r w:rsidRPr="00CA29E9">
        <w:rPr>
          <w:rFonts w:ascii="宋体" w:eastAsia="宋体" w:hAnsi="宋体" w:cs="宋体"/>
          <w:kern w:val="0"/>
          <w:sz w:val="24"/>
          <w14:ligatures w14:val="none"/>
        </w:rPr>
        <w:t>1970</w:t>
      </w:r>
      <w:proofErr w:type="gramEnd"/>
      <w:r w:rsidRPr="00CA29E9">
        <w:rPr>
          <w:rFonts w:ascii="宋体" w:eastAsia="宋体" w:hAnsi="宋体" w:cs="宋体"/>
          <w:kern w:val="0"/>
          <w:sz w:val="24"/>
          <w14:ligatures w14:val="none"/>
        </w:rPr>
        <w:t>年代开展了一系列开创性的实验研究，揭示人类决策中系统性的认知偏差，提出了**前景理论(Prospect Theory)**来描述风险下的决策行为。该理论推翻了传统效用理论的若干假设，阐明人们对损失和收益的评估具有不对称性（如损失厌恶） (</w:t>
      </w:r>
      <w:hyperlink r:id="rId36" w:anchor=":~:text=Based%20on%20results%20from%20controlled,actual%20%2084%20of%20people" w:history="1">
        <w:r w:rsidRPr="00CA29E9">
          <w:rPr>
            <w:rFonts w:ascii="宋体" w:eastAsia="宋体" w:hAnsi="宋体" w:cs="宋体"/>
            <w:color w:val="0000FF"/>
            <w:kern w:val="0"/>
            <w:sz w:val="24"/>
            <w:u w:val="single"/>
            <w14:ligatures w14:val="none"/>
          </w:rPr>
          <w:t>Prospect theory - Wikipedia</w:t>
        </w:r>
      </w:hyperlink>
      <w:r w:rsidRPr="00CA29E9">
        <w:rPr>
          <w:rFonts w:ascii="宋体" w:eastAsia="宋体" w:hAnsi="宋体" w:cs="宋体"/>
          <w:kern w:val="0"/>
          <w:sz w:val="24"/>
          <w14:ligatures w14:val="none"/>
        </w:rPr>
        <w:t>)。作为心理学家，卡尼曼对质疑“理性</w:t>
      </w:r>
      <w:proofErr w:type="gramStart"/>
      <w:r w:rsidRPr="00CA29E9">
        <w:rPr>
          <w:rFonts w:ascii="宋体" w:eastAsia="宋体" w:hAnsi="宋体" w:cs="宋体"/>
          <w:kern w:val="0"/>
          <w:sz w:val="24"/>
          <w14:ligatures w14:val="none"/>
        </w:rPr>
        <w:t>经济人</w:t>
      </w:r>
      <w:proofErr w:type="gramEnd"/>
      <w:r w:rsidRPr="00CA29E9">
        <w:rPr>
          <w:rFonts w:ascii="宋体" w:eastAsia="宋体" w:hAnsi="宋体" w:cs="宋体"/>
          <w:kern w:val="0"/>
          <w:sz w:val="24"/>
          <w14:ligatures w14:val="none"/>
        </w:rPr>
        <w:t>”模型的人产生了深刻影响 (</w:t>
      </w:r>
      <w:hyperlink r:id="rId37" w:anchor=":~:text=You%20could%20call%20Daniel%20Kahneman,what%E2%80%99s%20now%20called%20behavioral%20economics" w:history="1">
        <w:r w:rsidRPr="00CA29E9">
          <w:rPr>
            <w:rFonts w:ascii="宋体" w:eastAsia="宋体" w:hAnsi="宋体" w:cs="宋体"/>
            <w:color w:val="0000FF"/>
            <w:kern w:val="0"/>
            <w:sz w:val="24"/>
            <w:u w:val="single"/>
            <w14:ligatures w14:val="none"/>
          </w:rPr>
          <w:t>Daniel Kahneman: Prospect Theory of Decision Making | UBS Nobel Perspectives</w:t>
        </w:r>
      </w:hyperlink>
      <w:r w:rsidRPr="00CA29E9">
        <w:rPr>
          <w:rFonts w:ascii="宋体" w:eastAsia="宋体" w:hAnsi="宋体" w:cs="宋体"/>
          <w:kern w:val="0"/>
          <w:sz w:val="24"/>
          <w14:ligatures w14:val="none"/>
        </w:rPr>
        <w:t>)—</w:t>
      </w:r>
      <w:r w:rsidRPr="00CA29E9">
        <w:rPr>
          <w:rFonts w:ascii="宋体" w:eastAsia="宋体" w:hAnsi="宋体" w:cs="宋体"/>
          <w:kern w:val="0"/>
          <w:sz w:val="24"/>
          <w14:ligatures w14:val="none"/>
        </w:rPr>
        <w:lastRenderedPageBreak/>
        <w:t>—他的研究显示实际决策远非总是理性的，这为行为经济学/金融学奠定了基础。卡尼曼的著作《思考，快与慢》广泛传播了双系统理论和认知偏差概念，改变了金融从业者看待投资者行为的方式。他的洞见促使政策制定者和企业在制定策略时更多地考虑人类行为偏差，开创了“以人为本”理解经济现象的新范式 (</w:t>
      </w:r>
      <w:hyperlink r:id="rId38" w:anchor=":~:text=You%20could%20call%20Daniel%20Kahneman,what%E2%80%99s%20now%20called%20behavioral%20economics" w:history="1">
        <w:r w:rsidRPr="00CA29E9">
          <w:rPr>
            <w:rFonts w:ascii="宋体" w:eastAsia="宋体" w:hAnsi="宋体" w:cs="宋体"/>
            <w:color w:val="0000FF"/>
            <w:kern w:val="0"/>
            <w:sz w:val="24"/>
            <w:u w:val="single"/>
            <w14:ligatures w14:val="none"/>
          </w:rPr>
          <w:t>Daniel Kahneman: Prospect Theory of Decision Making | UBS Nobel Perspectives</w:t>
        </w:r>
      </w:hyperlink>
      <w:r w:rsidRPr="00CA29E9">
        <w:rPr>
          <w:rFonts w:ascii="宋体" w:eastAsia="宋体" w:hAnsi="宋体" w:cs="宋体"/>
          <w:kern w:val="0"/>
          <w:sz w:val="24"/>
          <w14:ligatures w14:val="none"/>
        </w:rPr>
        <w:t>)。</w:t>
      </w:r>
    </w:p>
    <w:p w14:paraId="1798BD0E"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罗伯特·席勒（Robert Shiller）</w:t>
      </w:r>
      <w:r w:rsidRPr="00CA29E9">
        <w:rPr>
          <w:rFonts w:ascii="宋体" w:eastAsia="宋体" w:hAnsi="宋体" w:cs="宋体"/>
          <w:kern w:val="0"/>
          <w:sz w:val="24"/>
          <w14:ligatures w14:val="none"/>
        </w:rPr>
        <w:t>：美国耶鲁大学经济学家，1946年生，以研究金融市场波动和行为金融闻名。席勒在上世纪80年代通过实证发现股票市场波动远大于基本面（如股息）变化，挑战了有效市场理论的观点。这些研究为行为金融学兴起奠定了基础。2000年他出版《非理性繁荣》，成功预测了互联网泡沫的破裂，之后又在2005年警示美国房地产泡沫风险，显示出对投机狂热的敏锐洞察 (</w:t>
      </w:r>
      <w:hyperlink r:id="rId39" w:anchor=":~:text=In%20Irrational%20Exuberance%2C%20Robert%20J,create%20and%20sustain%20these%20bubbles"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 (</w:t>
      </w:r>
      <w:hyperlink r:id="rId40" w:anchor=":~:text=Shiller%20contends%20that%20speculative%20bubbles,create%20and%20sustain%20these%20bubbles"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他发明的**周期调整市盈率(CAPE)**成为衡量市场估值水平的重要指标，并常用于判断长期回报前景。席勒在2013年与法玛共同获诺奖，一方面肯定了他在资产价格经验研究方面的贡献，另一方面也象征着主流金融学开始接受行为因素的重要性 (</w:t>
      </w:r>
      <w:hyperlink r:id="rId41" w:anchor=":~:text=As%20a%20co,is%20evident%20throughout%20Irrational%20Exuberance"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)。除了学术成果，席勒还通过畅销书和媒体积极传播金融知识，例如倡导“金融民主化”和“叙事经济学”等理念，对公众理解金融市场产生了积极影响。</w:t>
      </w:r>
    </w:p>
    <w:p w14:paraId="59999255" w14:textId="77777777" w:rsidR="00CA29E9" w:rsidRPr="00CA29E9" w:rsidRDefault="00CA29E9" w:rsidP="00CA29E9">
      <w:pPr>
        <w:widowControl/>
        <w:numPr>
          <w:ilvl w:val="0"/>
          <w:numId w:val="13"/>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理查德·塞勒（Richard Thaler）</w:t>
      </w:r>
      <w:r w:rsidRPr="00CA29E9">
        <w:rPr>
          <w:rFonts w:ascii="宋体" w:eastAsia="宋体" w:hAnsi="宋体" w:cs="宋体"/>
          <w:kern w:val="0"/>
          <w:sz w:val="24"/>
          <w14:ligatures w14:val="none"/>
        </w:rPr>
        <w:t>：美国芝加哥大学教授，1945年生，是行为金融与经济学的重要推动者之一。塞勒通过一系列研究（如</w:t>
      </w:r>
      <w:r w:rsidRPr="00CA29E9">
        <w:rPr>
          <w:rFonts w:ascii="宋体" w:eastAsia="宋体" w:hAnsi="宋体" w:cs="宋体"/>
          <w:b/>
          <w:bCs/>
          <w:kern w:val="0"/>
          <w:sz w:val="24"/>
          <w14:ligatures w14:val="none"/>
        </w:rPr>
        <w:t>禀赋效应</w:t>
      </w:r>
      <w:r w:rsidRPr="00CA29E9">
        <w:rPr>
          <w:rFonts w:ascii="宋体" w:eastAsia="宋体" w:hAnsi="宋体" w:cs="宋体"/>
          <w:kern w:val="0"/>
          <w:sz w:val="24"/>
          <w14:ligatures w14:val="none"/>
        </w:rPr>
        <w:t>、</w:t>
      </w:r>
      <w:r w:rsidRPr="00CA29E9">
        <w:rPr>
          <w:rFonts w:ascii="宋体" w:eastAsia="宋体" w:hAnsi="宋体" w:cs="宋体"/>
          <w:b/>
          <w:bCs/>
          <w:kern w:val="0"/>
          <w:sz w:val="24"/>
          <w14:ligatures w14:val="none"/>
        </w:rPr>
        <w:t>心理账户</w:t>
      </w:r>
      <w:r w:rsidRPr="00CA29E9">
        <w:rPr>
          <w:rFonts w:ascii="宋体" w:eastAsia="宋体" w:hAnsi="宋体" w:cs="宋体"/>
          <w:kern w:val="0"/>
          <w:sz w:val="24"/>
          <w14:ligatures w14:val="none"/>
        </w:rPr>
        <w:t>和</w:t>
      </w:r>
      <w:r w:rsidRPr="00CA29E9">
        <w:rPr>
          <w:rFonts w:ascii="宋体" w:eastAsia="宋体" w:hAnsi="宋体" w:cs="宋体"/>
          <w:b/>
          <w:bCs/>
          <w:kern w:val="0"/>
          <w:sz w:val="24"/>
          <w14:ligatures w14:val="none"/>
        </w:rPr>
        <w:t>自我控制问题</w:t>
      </w:r>
      <w:r w:rsidRPr="00CA29E9">
        <w:rPr>
          <w:rFonts w:ascii="宋体" w:eastAsia="宋体" w:hAnsi="宋体" w:cs="宋体"/>
          <w:kern w:val="0"/>
          <w:sz w:val="24"/>
          <w14:ligatures w14:val="none"/>
        </w:rPr>
        <w:t>等）揭示实际行为偏离传统理论的模式，为行为金融学提供了丰富的实证支持。他在</w:t>
      </w:r>
      <w:proofErr w:type="gramStart"/>
      <w:r w:rsidRPr="00CA29E9">
        <w:rPr>
          <w:rFonts w:ascii="宋体" w:eastAsia="宋体" w:hAnsi="宋体" w:cs="宋体"/>
          <w:kern w:val="0"/>
          <w:sz w:val="24"/>
          <w14:ligatures w14:val="none"/>
        </w:rPr>
        <w:t>1980</w:t>
      </w:r>
      <w:proofErr w:type="gramEnd"/>
      <w:r w:rsidRPr="00CA29E9">
        <w:rPr>
          <w:rFonts w:ascii="宋体" w:eastAsia="宋体" w:hAnsi="宋体" w:cs="宋体"/>
          <w:kern w:val="0"/>
          <w:sz w:val="24"/>
          <w14:ligatures w14:val="none"/>
        </w:rPr>
        <w:t>年代提出了著名的“</w:t>
      </w:r>
      <w:r w:rsidRPr="00CA29E9">
        <w:rPr>
          <w:rFonts w:ascii="宋体" w:eastAsia="宋体" w:hAnsi="宋体" w:cs="宋体"/>
          <w:b/>
          <w:bCs/>
          <w:kern w:val="0"/>
          <w:sz w:val="24"/>
          <w14:ligatures w14:val="none"/>
        </w:rPr>
        <w:t>股票溢价之谜</w:t>
      </w:r>
      <w:r w:rsidRPr="00CA29E9">
        <w:rPr>
          <w:rFonts w:ascii="宋体" w:eastAsia="宋体" w:hAnsi="宋体" w:cs="宋体"/>
          <w:kern w:val="0"/>
          <w:sz w:val="24"/>
          <w14:ligatures w14:val="none"/>
        </w:rPr>
        <w:t>”，指出投资者对股票的风险厌恶程度可能过高，导致股票长期回报远高于债券。塞勒还总结了诸多市场异象，如日历效应、过度交易倾向，并合著《Nudge（助推）》一书探讨如何利用行为偏差改善决策。2017年塞勒获得诺贝尔经济学奖，标志着行为经济金融学得到主流认可。塞勒对金融界的影响在于，他把零散的行为现象纳入理论框架，促使投资机构在策略设计时考虑投资者心理，例如设计避免投资者在市场低迷时赎回的机制等。他也推动监管者关注投资者保护和“软规制”手段，在实践中留下了独特印记。</w:t>
      </w:r>
    </w:p>
    <w:p w14:paraId="738FB552"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3. 跨书籍核心理论与方法的对比整合</w:t>
      </w:r>
    </w:p>
    <w:p w14:paraId="6B2C00F3" w14:textId="77777777" w:rsidR="00CA29E9" w:rsidRPr="00CA29E9" w:rsidRDefault="00CA29E9" w:rsidP="00CA29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价值投资 vs. 有效市场假说</w:t>
      </w:r>
      <w:r w:rsidRPr="00CA29E9">
        <w:rPr>
          <w:rFonts w:ascii="宋体" w:eastAsia="宋体" w:hAnsi="宋体" w:cs="宋体"/>
          <w:kern w:val="0"/>
          <w:sz w:val="24"/>
          <w14:ligatures w14:val="none"/>
        </w:rPr>
        <w:t>：价值投资理念（格雷厄姆、巴菲特）认为市场价格经常偏离公司内在价值，理性的投资者可以通过基本面分析发现被低估的证券并长期持有，从而获得超额收益。而有效市场假说(EMH)则主张市场定价几乎实时反映所有信息，因而不存在系统性低估可供利用 (</w:t>
      </w:r>
      <w:hyperlink r:id="rId42" w:anchor=":~:text=economics%20that%20states%20that%20asset,only%20react%20to%20new%20information" w:history="1">
        <w:r w:rsidRPr="00CA29E9">
          <w:rPr>
            <w:rFonts w:ascii="宋体" w:eastAsia="宋体" w:hAnsi="宋体" w:cs="宋体"/>
            <w:color w:val="0000FF"/>
            <w:kern w:val="0"/>
            <w:sz w:val="24"/>
            <w:u w:val="single"/>
            <w14:ligatures w14:val="none"/>
          </w:rPr>
          <w:t>Efficient-market hypothesis - Wikipedia</w:t>
        </w:r>
      </w:hyperlink>
      <w:r w:rsidRPr="00CA29E9">
        <w:rPr>
          <w:rFonts w:ascii="宋体" w:eastAsia="宋体" w:hAnsi="宋体" w:cs="宋体"/>
          <w:kern w:val="0"/>
          <w:sz w:val="24"/>
          <w14:ligatures w14:val="none"/>
        </w:rPr>
        <w:t>)。二者在</w:t>
      </w:r>
      <w:r w:rsidRPr="00CA29E9">
        <w:rPr>
          <w:rFonts w:ascii="宋体" w:eastAsia="宋体" w:hAnsi="宋体" w:cs="宋体"/>
          <w:b/>
          <w:bCs/>
          <w:kern w:val="0"/>
          <w:sz w:val="24"/>
          <w14:ligatures w14:val="none"/>
        </w:rPr>
        <w:t>市场有效性</w:t>
      </w:r>
      <w:r w:rsidRPr="00CA29E9">
        <w:rPr>
          <w:rFonts w:ascii="宋体" w:eastAsia="宋体" w:hAnsi="宋体" w:cs="宋体"/>
          <w:kern w:val="0"/>
          <w:sz w:val="24"/>
          <w14:ligatures w14:val="none"/>
        </w:rPr>
        <w:t>上观点截然不同：价值投资假定市场参与者常受情绪驱动，短期价格可</w:t>
      </w:r>
      <w:r w:rsidRPr="00CA29E9">
        <w:rPr>
          <w:rFonts w:ascii="宋体" w:eastAsia="宋体" w:hAnsi="宋体" w:cs="宋体"/>
          <w:kern w:val="0"/>
          <w:sz w:val="24"/>
          <w14:ligatures w14:val="none"/>
        </w:rPr>
        <w:lastRenderedPageBreak/>
        <w:t>能错得离谱（正如“市场先生”的比喻所示 (</w:t>
      </w:r>
      <w:hyperlink r:id="rId43" w:anchor=":~:text=One%20of%20Graham%27s%20important%20allegories,day%20to%20quote%20another%20price" w:history="1">
        <w:r w:rsidRPr="00CA29E9">
          <w:rPr>
            <w:rFonts w:ascii="宋体" w:eastAsia="宋体" w:hAnsi="宋体" w:cs="宋体"/>
            <w:color w:val="0000FF"/>
            <w:kern w:val="0"/>
            <w:sz w:val="24"/>
            <w:u w:val="single"/>
            <w14:ligatures w14:val="none"/>
          </w:rPr>
          <w:t>The Intelligent Investor - Wikipedia</w:t>
        </w:r>
      </w:hyperlink>
      <w:r w:rsidRPr="00CA29E9">
        <w:rPr>
          <w:rFonts w:ascii="宋体" w:eastAsia="宋体" w:hAnsi="宋体" w:cs="宋体"/>
          <w:kern w:val="0"/>
          <w:sz w:val="24"/>
          <w14:ligatures w14:val="none"/>
        </w:rPr>
        <w:t>)），而EMH假设参与者理性且竞争激烈，价格始终围绕合理价值波动。尽管如此，两者在某种程度上有共识：长期而言，公司基本面终将主导股价。因此价值投资者也认可随着时间推移市场会纠正错误定价 (</w:t>
      </w:r>
      <w:hyperlink r:id="rId44" w:anchor=":~:text=Buffett%20takes%20this%20value%20investing,were%20undervalued%20for%20a%20time" w:history="1">
        <w:r w:rsidRPr="00CA29E9">
          <w:rPr>
            <w:rFonts w:ascii="宋体" w:eastAsia="宋体" w:hAnsi="宋体" w:cs="宋体"/>
            <w:color w:val="0000FF"/>
            <w:kern w:val="0"/>
            <w:sz w:val="24"/>
            <w:u w:val="single"/>
            <w14:ligatures w14:val="none"/>
          </w:rPr>
          <w:t>Warren Buffett</w:t>
        </w:r>
        <w:proofErr w:type="gramStart"/>
        <w:r w:rsidRPr="00CA29E9">
          <w:rPr>
            <w:rFonts w:ascii="宋体" w:eastAsia="宋体" w:hAnsi="宋体" w:cs="宋体"/>
            <w:color w:val="0000FF"/>
            <w:kern w:val="0"/>
            <w:sz w:val="24"/>
            <w:u w:val="single"/>
            <w14:ligatures w14:val="none"/>
          </w:rPr>
          <w:t>’</w:t>
        </w:r>
        <w:proofErr w:type="gramEnd"/>
        <w:r w:rsidRPr="00CA29E9">
          <w:rPr>
            <w:rFonts w:ascii="宋体" w:eastAsia="宋体" w:hAnsi="宋体" w:cs="宋体"/>
            <w:color w:val="0000FF"/>
            <w:kern w:val="0"/>
            <w:sz w:val="24"/>
            <w:u w:val="single"/>
            <w14:ligatures w14:val="none"/>
          </w:rPr>
          <w:t>s Investment Strategy</w:t>
        </w:r>
      </w:hyperlink>
      <w:r w:rsidRPr="00CA29E9">
        <w:rPr>
          <w:rFonts w:ascii="宋体" w:eastAsia="宋体" w:hAnsi="宋体" w:cs="宋体"/>
          <w:kern w:val="0"/>
          <w:sz w:val="24"/>
          <w14:ligatures w14:val="none"/>
        </w:rPr>
        <w:t>)——只是在他们看来，这一过程并不迅速或完美，投资者需要耐心等待这种均值回归发生。相比之下，EMH支持者会质疑这种错</w:t>
      </w:r>
      <w:proofErr w:type="gramStart"/>
      <w:r w:rsidRPr="00CA29E9">
        <w:rPr>
          <w:rFonts w:ascii="宋体" w:eastAsia="宋体" w:hAnsi="宋体" w:cs="宋体"/>
          <w:kern w:val="0"/>
          <w:sz w:val="24"/>
          <w14:ligatures w14:val="none"/>
        </w:rPr>
        <w:t>价机会</w:t>
      </w:r>
      <w:proofErr w:type="gramEnd"/>
      <w:r w:rsidRPr="00CA29E9">
        <w:rPr>
          <w:rFonts w:ascii="宋体" w:eastAsia="宋体" w:hAnsi="宋体" w:cs="宋体"/>
          <w:kern w:val="0"/>
          <w:sz w:val="24"/>
          <w14:ligatures w14:val="none"/>
        </w:rPr>
        <w:t>的经常性，认为大部分人无法持续击败市场指数表现。</w:t>
      </w:r>
    </w:p>
    <w:p w14:paraId="122D555A" w14:textId="77777777" w:rsidR="00CA29E9" w:rsidRPr="00CA29E9" w:rsidRDefault="00CA29E9" w:rsidP="00CA29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索罗斯的反身性 vs. 传统均衡理论</w:t>
      </w:r>
      <w:r w:rsidRPr="00CA29E9">
        <w:rPr>
          <w:rFonts w:ascii="宋体" w:eastAsia="宋体" w:hAnsi="宋体" w:cs="宋体"/>
          <w:kern w:val="0"/>
          <w:sz w:val="24"/>
          <w14:ligatures w14:val="none"/>
        </w:rPr>
        <w:t>：索罗斯的反身性理论强调金融市场的动态循环：投资者认知影响市场运行，市场结果又改变投资者认知 (</w:t>
      </w:r>
      <w:hyperlink r:id="rId45" w:anchor=":~:text=,their%20perceptions%20all%20over%20again" w:history="1">
        <w:r w:rsidRPr="00CA29E9">
          <w:rPr>
            <w:rFonts w:ascii="宋体" w:eastAsia="宋体" w:hAnsi="宋体" w:cs="宋体"/>
            <w:color w:val="0000FF"/>
            <w:kern w:val="0"/>
            <w:sz w:val="24"/>
            <w:u w:val="single"/>
            <w14:ligatures w14:val="none"/>
          </w:rPr>
          <w:t>How to use the theory that made George Soros rich - Finimize</w:t>
        </w:r>
      </w:hyperlink>
      <w:r w:rsidRPr="00CA29E9">
        <w:rPr>
          <w:rFonts w:ascii="宋体" w:eastAsia="宋体" w:hAnsi="宋体" w:cs="宋体"/>
          <w:kern w:val="0"/>
          <w:sz w:val="24"/>
          <w14:ligatures w14:val="none"/>
        </w:rPr>
        <w:t>)。这与传统金融理论（如资本市场理论、EMH）的均衡观点形成对照。传统理论假设市场受供求基本面驱动，会趋向某一“客观”均衡价格；反身性则认为，由于投资者理解世界存在偏差（索罗斯称之为“犯错性”或谬误性），市场价格和基本面会相互影响，可能远离均衡并产生剧烈波动 (</w:t>
      </w:r>
      <w:hyperlink r:id="rId46" w:anchor=":~:text=Soros%E2%80%99s%20theory%20of%20reflexivity%20runs,Changes%20in" w:history="1">
        <w:r w:rsidRPr="00CA29E9">
          <w:rPr>
            <w:rFonts w:ascii="宋体" w:eastAsia="宋体" w:hAnsi="宋体" w:cs="宋体"/>
            <w:color w:val="0000FF"/>
            <w:kern w:val="0"/>
            <w:sz w:val="24"/>
            <w:u w:val="single"/>
            <w14:ligatures w14:val="none"/>
          </w:rPr>
          <w:t>What Is Reflexivity? How It Works, History, and Opposing Theories</w:t>
        </w:r>
      </w:hyperlink>
      <w:r w:rsidRPr="00CA29E9">
        <w:rPr>
          <w:rFonts w:ascii="宋体" w:eastAsia="宋体" w:hAnsi="宋体" w:cs="宋体"/>
          <w:kern w:val="0"/>
          <w:sz w:val="24"/>
          <w14:ligatures w14:val="none"/>
        </w:rPr>
        <w:t>) (</w:t>
      </w:r>
      <w:hyperlink r:id="rId47" w:anchor=":~:text=Soros%20believes%20that%20reflexivity%20challenges,and%20dominated%20by%20positive%20feedback" w:history="1">
        <w:r w:rsidRPr="00CA29E9">
          <w:rPr>
            <w:rFonts w:ascii="宋体" w:eastAsia="宋体" w:hAnsi="宋体" w:cs="宋体"/>
            <w:color w:val="0000FF"/>
            <w:kern w:val="0"/>
            <w:sz w:val="24"/>
            <w:u w:val="single"/>
            <w14:ligatures w14:val="none"/>
          </w:rPr>
          <w:t>What Is Reflexivity? How It Works, History, and Opposing Theories</w:t>
        </w:r>
      </w:hyperlink>
      <w:r w:rsidRPr="00CA29E9">
        <w:rPr>
          <w:rFonts w:ascii="宋体" w:eastAsia="宋体" w:hAnsi="宋体" w:cs="宋体"/>
          <w:kern w:val="0"/>
          <w:sz w:val="24"/>
          <w14:ligatures w14:val="none"/>
        </w:rPr>
        <w:t>)。例如，在反身性框架下，预期上涨会导致实际上涨（泡沫形成），预期崩盘又会导致仓皇出逃（崩盘自我实现）。索罗斯和席勒等人的思想都有相通之处，强调</w:t>
      </w:r>
      <w:r w:rsidRPr="00CA29E9">
        <w:rPr>
          <w:rFonts w:ascii="宋体" w:eastAsia="宋体" w:hAnsi="宋体" w:cs="宋体"/>
          <w:b/>
          <w:bCs/>
          <w:kern w:val="0"/>
          <w:sz w:val="24"/>
          <w14:ligatures w14:val="none"/>
        </w:rPr>
        <w:t>心理-反馈效应</w:t>
      </w:r>
      <w:r w:rsidRPr="00CA29E9">
        <w:rPr>
          <w:rFonts w:ascii="宋体" w:eastAsia="宋体" w:hAnsi="宋体" w:cs="宋体"/>
          <w:kern w:val="0"/>
          <w:sz w:val="24"/>
          <w14:ligatures w14:val="none"/>
        </w:rPr>
        <w:t>，而这正是传统模型（如CAPM或均衡定价模型）难以解释的。反身性理论的出现丰富了对市场异常现象（泡沫、危机）的理解，提醒我们关注投资者预期的二阶效应；与之相比，经典理论更强调理性定价和均衡态，一定程度上忽略了金融体系的内生不稳定性。</w:t>
      </w:r>
    </w:p>
    <w:p w14:paraId="703026E6" w14:textId="77777777" w:rsidR="00CA29E9" w:rsidRPr="00CA29E9" w:rsidRDefault="00CA29E9" w:rsidP="00CA29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行为金融 vs. 理性预期金融</w:t>
      </w:r>
      <w:r w:rsidRPr="00CA29E9">
        <w:rPr>
          <w:rFonts w:ascii="宋体" w:eastAsia="宋体" w:hAnsi="宋体" w:cs="宋体"/>
          <w:kern w:val="0"/>
          <w:sz w:val="24"/>
          <w14:ligatures w14:val="none"/>
        </w:rPr>
        <w:t>：行为金融学和传统金融学的核心区别在于对</w:t>
      </w:r>
      <w:r w:rsidRPr="00CA29E9">
        <w:rPr>
          <w:rFonts w:ascii="宋体" w:eastAsia="宋体" w:hAnsi="宋体" w:cs="宋体"/>
          <w:b/>
          <w:bCs/>
          <w:kern w:val="0"/>
          <w:sz w:val="24"/>
          <w14:ligatures w14:val="none"/>
        </w:rPr>
        <w:t>人性假设</w:t>
      </w:r>
      <w:r w:rsidRPr="00CA29E9">
        <w:rPr>
          <w:rFonts w:ascii="宋体" w:eastAsia="宋体" w:hAnsi="宋体" w:cs="宋体"/>
          <w:kern w:val="0"/>
          <w:sz w:val="24"/>
          <w14:ligatures w14:val="none"/>
        </w:rPr>
        <w:t>的不同。传统金融学（理性预期、EMH等）视投资者为理性且效用最大化的决策者，市场因此是有效且可预测（在概率分布内）的；行为金融学则基于心理学实证，指出投资者存在系统性偏误（如过度自信、从众、损失厌恶等），这些</w:t>
      </w:r>
      <w:r w:rsidRPr="00CA29E9">
        <w:rPr>
          <w:rFonts w:ascii="宋体" w:eastAsia="宋体" w:hAnsi="宋体" w:cs="宋体"/>
          <w:b/>
          <w:bCs/>
          <w:kern w:val="0"/>
          <w:sz w:val="24"/>
          <w14:ligatures w14:val="none"/>
        </w:rPr>
        <w:t>偏差会导致市场价格偏离基本价值</w:t>
      </w:r>
      <w:r w:rsidRPr="00CA29E9">
        <w:rPr>
          <w:rFonts w:ascii="宋体" w:eastAsia="宋体" w:hAnsi="宋体" w:cs="宋体"/>
          <w:kern w:val="0"/>
          <w:sz w:val="24"/>
          <w14:ligatures w14:val="none"/>
        </w:rPr>
        <w:t xml:space="preserve"> (</w:t>
      </w:r>
      <w:hyperlink r:id="rId48" w:anchor=":~:text=psychological%20biases.%20,not%20incorporating%20irrational%20emotional%20behavior" w:history="1">
        <w:r w:rsidRPr="00CA29E9">
          <w:rPr>
            <w:rFonts w:ascii="宋体" w:eastAsia="宋体" w:hAnsi="宋体" w:cs="宋体"/>
            <w:color w:val="0000FF"/>
            <w:kern w:val="0"/>
            <w:sz w:val="24"/>
            <w:u w:val="single"/>
            <w14:ligatures w14:val="none"/>
          </w:rPr>
          <w:t>Behavioral Finance: Biases, Emotions and Financial Behavior</w:t>
        </w:r>
      </w:hyperlink>
      <w:r w:rsidRPr="00CA29E9">
        <w:rPr>
          <w:rFonts w:ascii="宋体" w:eastAsia="宋体" w:hAnsi="宋体" w:cs="宋体"/>
          <w:kern w:val="0"/>
          <w:sz w:val="24"/>
          <w14:ligatures w14:val="none"/>
        </w:rPr>
        <w:t>)。例如，在理性框架下不存在长期套利机会，但行为金融发现</w:t>
      </w:r>
      <w:r w:rsidRPr="00CA29E9">
        <w:rPr>
          <w:rFonts w:ascii="宋体" w:eastAsia="宋体" w:hAnsi="宋体" w:cs="宋体"/>
          <w:b/>
          <w:bCs/>
          <w:kern w:val="0"/>
          <w:sz w:val="24"/>
          <w14:ligatures w14:val="none"/>
        </w:rPr>
        <w:t>动量效应</w:t>
      </w:r>
      <w:r w:rsidRPr="00CA29E9">
        <w:rPr>
          <w:rFonts w:ascii="宋体" w:eastAsia="宋体" w:hAnsi="宋体" w:cs="宋体"/>
          <w:kern w:val="0"/>
          <w:sz w:val="24"/>
          <w14:ligatures w14:val="none"/>
        </w:rPr>
        <w:t>（持续上涨的股票未来往往继续上涨）和</w:t>
      </w:r>
      <w:r w:rsidRPr="00CA29E9">
        <w:rPr>
          <w:rFonts w:ascii="宋体" w:eastAsia="宋体" w:hAnsi="宋体" w:cs="宋体"/>
          <w:b/>
          <w:bCs/>
          <w:kern w:val="0"/>
          <w:sz w:val="24"/>
          <w14:ligatures w14:val="none"/>
        </w:rPr>
        <w:t>反转效应</w:t>
      </w:r>
      <w:r w:rsidRPr="00CA29E9">
        <w:rPr>
          <w:rFonts w:ascii="宋体" w:eastAsia="宋体" w:hAnsi="宋体" w:cs="宋体"/>
          <w:kern w:val="0"/>
          <w:sz w:val="24"/>
          <w14:ligatures w14:val="none"/>
        </w:rPr>
        <w:t>（跌多了会反弹）等现象，说明市场参与者的非理性交易造成可预测的价格模式。再如，理性模型难以解释1987年股灾这类突然的大幅波动，而行为金融可以从羊群效应和恐慌心理角度给出解释。可以说，行为金融学对传统理论形成补充乃至挑战：它保留了市场竞争和套利机制的重要性，但也融入了</w:t>
      </w:r>
      <w:r w:rsidRPr="00CA29E9">
        <w:rPr>
          <w:rFonts w:ascii="宋体" w:eastAsia="宋体" w:hAnsi="宋体" w:cs="宋体"/>
          <w:b/>
          <w:bCs/>
          <w:kern w:val="0"/>
          <w:sz w:val="24"/>
          <w14:ligatures w14:val="none"/>
        </w:rPr>
        <w:t>心理和情境因素</w:t>
      </w:r>
      <w:r w:rsidRPr="00CA29E9">
        <w:rPr>
          <w:rFonts w:ascii="宋体" w:eastAsia="宋体" w:hAnsi="宋体" w:cs="宋体"/>
          <w:kern w:val="0"/>
          <w:sz w:val="24"/>
          <w14:ligatures w14:val="none"/>
        </w:rPr>
        <w:t>，从而提供了更丰富的分析工具。如今业内不少投资策略融合了两种思路——既利用基本面分析，也关注市场情绪指标和投资者行为（如VIX波动率指数、资金流向等），这正体现了两种视角的互补整合。</w:t>
      </w:r>
    </w:p>
    <w:p w14:paraId="02513128" w14:textId="77777777" w:rsidR="00CA29E9" w:rsidRPr="00CA29E9" w:rsidRDefault="00CA29E9" w:rsidP="00CA29E9">
      <w:pPr>
        <w:widowControl/>
        <w:numPr>
          <w:ilvl w:val="0"/>
          <w:numId w:val="14"/>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价值投资 vs. 行为金融</w:t>
      </w:r>
      <w:r w:rsidRPr="00CA29E9">
        <w:rPr>
          <w:rFonts w:ascii="宋体" w:eastAsia="宋体" w:hAnsi="宋体" w:cs="宋体"/>
          <w:kern w:val="0"/>
          <w:sz w:val="24"/>
          <w14:ligatures w14:val="none"/>
        </w:rPr>
        <w:t>：有趣的是，价值投资与行为金融在对市场非理性的认识上有相通之处。价值投资者早在行为金融兴起前就直觉地意识到市场情绪会导致错误定价（例如格雷厄姆的“市场先生”恰是对从众和情绪波动的生动刻画）。行为金融则为这种非理性提供了学理解释和</w:t>
      </w:r>
      <w:r w:rsidRPr="00CA29E9">
        <w:rPr>
          <w:rFonts w:ascii="宋体" w:eastAsia="宋体" w:hAnsi="宋体" w:cs="宋体"/>
          <w:kern w:val="0"/>
          <w:sz w:val="24"/>
          <w14:ligatures w14:val="none"/>
        </w:rPr>
        <w:lastRenderedPageBreak/>
        <w:t>实验证据，例如投资者</w:t>
      </w:r>
      <w:r w:rsidRPr="00CA29E9">
        <w:rPr>
          <w:rFonts w:ascii="宋体" w:eastAsia="宋体" w:hAnsi="宋体" w:cs="宋体"/>
          <w:b/>
          <w:bCs/>
          <w:kern w:val="0"/>
          <w:sz w:val="24"/>
          <w14:ligatures w14:val="none"/>
        </w:rPr>
        <w:t>情绪高涨时往往高估未来回报，导致泡沫和随后的低回报</w:t>
      </w:r>
      <w:r w:rsidRPr="00CA29E9">
        <w:rPr>
          <w:rFonts w:ascii="宋体" w:eastAsia="宋体" w:hAnsi="宋体" w:cs="宋体"/>
          <w:kern w:val="0"/>
          <w:sz w:val="24"/>
          <w14:ligatures w14:val="none"/>
        </w:rPr>
        <w:t xml:space="preserve"> (</w:t>
      </w:r>
      <w:hyperlink r:id="rId49" w:anchor=":~:text=In%20Irrational%20Exuberance%2C%20Robert%20J,create%20and%20sustain%20these%20bubbles" w:history="1">
        <w:r w:rsidRPr="00CA29E9">
          <w:rPr>
            <w:rFonts w:ascii="宋体" w:eastAsia="宋体" w:hAnsi="宋体" w:cs="宋体"/>
            <w:color w:val="0000FF"/>
            <w:kern w:val="0"/>
            <w:sz w:val="24"/>
            <w:u w:val="single"/>
            <w14:ligatures w14:val="none"/>
          </w:rPr>
          <w:t>Irrational Exuberance: Robert J. Shiller on Speculative Bubbles | Shortform Books</w:t>
        </w:r>
      </w:hyperlink>
      <w:r w:rsidRPr="00CA29E9">
        <w:rPr>
          <w:rFonts w:ascii="宋体" w:eastAsia="宋体" w:hAnsi="宋体" w:cs="宋体"/>
          <w:kern w:val="0"/>
          <w:sz w:val="24"/>
          <w14:ligatures w14:val="none"/>
        </w:rPr>
        <w:t>)。因此，价值投资在实践中常常利用行为偏差：当大众过度悲观（可能是亏损厌恶导致恐慌抛售）时逢低买入，当大众过度乐观时保持谨慎减仓，这与行为金融的建议一致。区别在于，价值投资更多依赖定性判断和基本面分析筛选个股，而行为金融则提供了系统性指标（如投资者情绪指数、错误定价因子）来捕捉广泛的市场偏差机会。两者结合产生了“行为价值投资”等流派：即用价值分析找出好公司，用行为视角判断买入时机（等待市场恐慌时）。总的来说，价值投资者可被视为直觉的行为金融实践者，而行为金融为价值投资成功提供了理论佐证。</w:t>
      </w:r>
    </w:p>
    <w:p w14:paraId="7FD778B6"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4. 理论与实践的结合分析</w:t>
      </w:r>
    </w:p>
    <w:p w14:paraId="083ECC45" w14:textId="77777777" w:rsidR="00CA29E9" w:rsidRPr="00CA29E9" w:rsidRDefault="00CA29E9" w:rsidP="00CA29E9">
      <w:pPr>
        <w:widowControl/>
        <w:spacing w:before="100" w:beforeAutospacing="1" w:after="100" w:afterAutospacing="1" w:line="240" w:lineRule="auto"/>
        <w:outlineLvl w:val="3"/>
        <w:rPr>
          <w:rFonts w:ascii="宋体" w:eastAsia="宋体" w:hAnsi="宋体" w:cs="宋体"/>
          <w:b/>
          <w:bCs/>
          <w:kern w:val="0"/>
          <w:sz w:val="24"/>
          <w14:ligatures w14:val="none"/>
        </w:rPr>
      </w:pPr>
      <w:r w:rsidRPr="00CA29E9">
        <w:rPr>
          <w:rFonts w:ascii="宋体" w:eastAsia="宋体" w:hAnsi="宋体" w:cs="宋体"/>
          <w:b/>
          <w:bCs/>
          <w:kern w:val="0"/>
          <w:sz w:val="24"/>
          <w14:ligatures w14:val="none"/>
        </w:rPr>
        <w:t>美股近期波动（2024-2025）</w:t>
      </w:r>
    </w:p>
    <w:p w14:paraId="6C2F17B4"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2024-2025年的美国股市经历了较大波动，例如2024年上半年在科技股带动下大涨，而下半年因利率前景反复和地缘政治不确定性出现多次调整。据Morgan Stanley等机构回顾，</w:t>
      </w:r>
      <w:proofErr w:type="gramStart"/>
      <w:r w:rsidRPr="00CA29E9">
        <w:rPr>
          <w:rFonts w:ascii="宋体" w:eastAsia="宋体" w:hAnsi="宋体" w:cs="宋体"/>
          <w:kern w:val="0"/>
          <w:sz w:val="24"/>
          <w14:ligatures w14:val="none"/>
        </w:rPr>
        <w:t>2024年标普</w:t>
      </w:r>
      <w:proofErr w:type="gramEnd"/>
      <w:r w:rsidRPr="00CA29E9">
        <w:rPr>
          <w:rFonts w:ascii="宋体" w:eastAsia="宋体" w:hAnsi="宋体" w:cs="宋体"/>
          <w:kern w:val="0"/>
          <w:sz w:val="24"/>
          <w14:ligatures w14:val="none"/>
        </w:rPr>
        <w:t>500指数全年仍上涨约20%以上，但期间出现了数次月度回撤，表明市场情绪和预期不断变化。这种近期波动可以用多种理论来解析：从</w:t>
      </w:r>
      <w:r w:rsidRPr="00CA29E9">
        <w:rPr>
          <w:rFonts w:ascii="宋体" w:eastAsia="宋体" w:hAnsi="宋体" w:cs="宋体"/>
          <w:b/>
          <w:bCs/>
          <w:kern w:val="0"/>
          <w:sz w:val="24"/>
          <w14:ligatures w14:val="none"/>
        </w:rPr>
        <w:t>有效市场</w:t>
      </w:r>
      <w:r w:rsidRPr="00CA29E9">
        <w:rPr>
          <w:rFonts w:ascii="宋体" w:eastAsia="宋体" w:hAnsi="宋体" w:cs="宋体"/>
          <w:kern w:val="0"/>
          <w:sz w:val="24"/>
          <w14:ligatures w14:val="none"/>
        </w:rPr>
        <w:t>角度看，新的宏观信息（如美联储利率政策转向、更高的通胀数据或就业报告）不断涌现，市场价格随之快速调整，因而波动体现了对未来现金流折现率的重新定价；而</w:t>
      </w:r>
      <w:r w:rsidRPr="00CA29E9">
        <w:rPr>
          <w:rFonts w:ascii="宋体" w:eastAsia="宋体" w:hAnsi="宋体" w:cs="宋体"/>
          <w:b/>
          <w:bCs/>
          <w:kern w:val="0"/>
          <w:sz w:val="24"/>
          <w14:ligatures w14:val="none"/>
        </w:rPr>
        <w:t>行为金融</w:t>
      </w:r>
      <w:r w:rsidRPr="00CA29E9">
        <w:rPr>
          <w:rFonts w:ascii="宋体" w:eastAsia="宋体" w:hAnsi="宋体" w:cs="宋体"/>
          <w:kern w:val="0"/>
          <w:sz w:val="24"/>
          <w14:ligatures w14:val="none"/>
        </w:rPr>
        <w:t>视角则强调投资者情绪在其中起重要作用，例如“FOMO”（错失恐惧）情绪在上涨时推波助澜，而一旦消息不及预期又导致过度抛售。</w:t>
      </w:r>
      <w:r w:rsidRPr="00CA29E9">
        <w:rPr>
          <w:rFonts w:ascii="宋体" w:eastAsia="宋体" w:hAnsi="宋体" w:cs="宋体"/>
          <w:b/>
          <w:bCs/>
          <w:kern w:val="0"/>
          <w:sz w:val="24"/>
          <w14:ligatures w14:val="none"/>
        </w:rPr>
        <w:t>价值投资者</w:t>
      </w:r>
      <w:r w:rsidRPr="00CA29E9">
        <w:rPr>
          <w:rFonts w:ascii="宋体" w:eastAsia="宋体" w:hAnsi="宋体" w:cs="宋体"/>
          <w:kern w:val="0"/>
          <w:sz w:val="24"/>
          <w14:ligatures w14:val="none"/>
        </w:rPr>
        <w:t>在此期间可能选择观望或逢低吸纳，因为他们更关注企业长期价值而非短期噪音。塔勒布的</w:t>
      </w:r>
      <w:r w:rsidRPr="00CA29E9">
        <w:rPr>
          <w:rFonts w:ascii="宋体" w:eastAsia="宋体" w:hAnsi="宋体" w:cs="宋体"/>
          <w:b/>
          <w:bCs/>
          <w:kern w:val="0"/>
          <w:sz w:val="24"/>
          <w14:ligatures w14:val="none"/>
        </w:rPr>
        <w:t>黑天鹅理论</w:t>
      </w:r>
      <w:r w:rsidRPr="00CA29E9">
        <w:rPr>
          <w:rFonts w:ascii="宋体" w:eastAsia="宋体" w:hAnsi="宋体" w:cs="宋体"/>
          <w:kern w:val="0"/>
          <w:sz w:val="24"/>
          <w14:ligatures w14:val="none"/>
        </w:rPr>
        <w:t>也引人深思：2024年市场虽有波动但未见“黑天鹅”式崩盘，或许是因为2008年危机后整个系统更关注尾部风险、银行资本更充足。但塔勒布会提醒我们不要因两年平稳而懈怠，真正不可预测的风险可能在平静时累积。总之，近期美股的波动反映了基本面因素（利率、经济数据）和投资者心理共同作用，需要综合金融学理论才能全面理解。</w:t>
      </w:r>
    </w:p>
    <w:p w14:paraId="65AD4DC6" w14:textId="77777777" w:rsidR="00CA29E9" w:rsidRPr="00CA29E9" w:rsidRDefault="00CA29E9" w:rsidP="00CA29E9">
      <w:pPr>
        <w:widowControl/>
        <w:spacing w:before="100" w:beforeAutospacing="1" w:after="100" w:afterAutospacing="1" w:line="240" w:lineRule="auto"/>
        <w:outlineLvl w:val="3"/>
        <w:rPr>
          <w:rFonts w:ascii="宋体" w:eastAsia="宋体" w:hAnsi="宋体" w:cs="宋体"/>
          <w:b/>
          <w:bCs/>
          <w:kern w:val="0"/>
          <w:sz w:val="24"/>
          <w14:ligatures w14:val="none"/>
        </w:rPr>
      </w:pPr>
      <w:r w:rsidRPr="00CA29E9">
        <w:rPr>
          <w:rFonts w:ascii="宋体" w:eastAsia="宋体" w:hAnsi="宋体" w:cs="宋体"/>
          <w:b/>
          <w:bCs/>
          <w:kern w:val="0"/>
          <w:sz w:val="24"/>
          <w14:ligatures w14:val="none"/>
        </w:rPr>
        <w:t>特朗普关税政策冲击</w:t>
      </w:r>
    </w:p>
    <w:p w14:paraId="448D88A9"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前美国总统特朗普在其任期内（尤其2018-2019年）多次推动对华等国加征关税，引发全球贸易战阴云。此类贸易政策冲击对全球经济和市场预期造成显著影响。</w:t>
      </w:r>
      <w:r w:rsidRPr="00CA29E9">
        <w:rPr>
          <w:rFonts w:ascii="宋体" w:eastAsia="宋体" w:hAnsi="宋体" w:cs="宋体"/>
          <w:b/>
          <w:bCs/>
          <w:kern w:val="0"/>
          <w:sz w:val="24"/>
          <w14:ligatures w14:val="none"/>
        </w:rPr>
        <w:t>效率市场假说</w:t>
      </w:r>
      <w:r w:rsidRPr="00CA29E9">
        <w:rPr>
          <w:rFonts w:ascii="宋体" w:eastAsia="宋体" w:hAnsi="宋体" w:cs="宋体"/>
          <w:kern w:val="0"/>
          <w:sz w:val="24"/>
          <w14:ligatures w14:val="none"/>
        </w:rPr>
        <w:t>会认为，一旦关税消息公布，市场迅速调低受影响公司的估值（例如出口依赖型制造业股价下跌），并提升防御性资产价格，从而在很短时间内完成对新信息的消化。然而，现实市场表现出显著波动和持续不安情绪 (</w:t>
      </w:r>
      <w:hyperlink r:id="rId50" w:anchor=":~:text=What%20did%20that%20trade%20war,mean%20for%20markets" w:history="1">
        <w:r w:rsidRPr="00CA29E9">
          <w:rPr>
            <w:rFonts w:ascii="宋体" w:eastAsia="宋体" w:hAnsi="宋体" w:cs="宋体"/>
            <w:color w:val="0000FF"/>
            <w:kern w:val="0"/>
            <w:sz w:val="24"/>
            <w:u w:val="single"/>
            <w14:ligatures w14:val="none"/>
          </w:rPr>
          <w:t>Tariffs rattle stock markets, but long-term impact is unclear | Invesco US</w:t>
        </w:r>
      </w:hyperlink>
      <w:r w:rsidRPr="00CA29E9">
        <w:rPr>
          <w:rFonts w:ascii="宋体" w:eastAsia="宋体" w:hAnsi="宋体" w:cs="宋体"/>
          <w:kern w:val="0"/>
          <w:sz w:val="24"/>
          <w14:ligatures w14:val="none"/>
        </w:rPr>
        <w:t>)：每当谈判破裂或新关税落地，美股便大幅下挫；而谈判重启或达成阶段协议时，又出现强劲反弹 (</w:t>
      </w:r>
      <w:hyperlink r:id="rId51" w:anchor=":~:text=,61" w:history="1">
        <w:r w:rsidRPr="00CA29E9">
          <w:rPr>
            <w:rFonts w:ascii="宋体" w:eastAsia="宋体" w:hAnsi="宋体" w:cs="宋体"/>
            <w:color w:val="0000FF"/>
            <w:kern w:val="0"/>
            <w:sz w:val="24"/>
            <w:u w:val="single"/>
            <w14:ligatures w14:val="none"/>
          </w:rPr>
          <w:t>Tariffs rattle stock markets, but long-term impact is unclear | Invesco US</w:t>
        </w:r>
      </w:hyperlink>
      <w:r w:rsidRPr="00CA29E9">
        <w:rPr>
          <w:rFonts w:ascii="宋体" w:eastAsia="宋体" w:hAnsi="宋体" w:cs="宋体"/>
          <w:kern w:val="0"/>
          <w:sz w:val="24"/>
          <w14:ligatures w14:val="none"/>
        </w:rPr>
        <w:t>)。这表明投资者并非完全理性计算长期影响，而是受</w:t>
      </w:r>
      <w:r w:rsidRPr="00CA29E9">
        <w:rPr>
          <w:rFonts w:ascii="宋体" w:eastAsia="宋体" w:hAnsi="宋体" w:cs="宋体"/>
          <w:b/>
          <w:bCs/>
          <w:kern w:val="0"/>
          <w:sz w:val="24"/>
          <w14:ligatures w14:val="none"/>
        </w:rPr>
        <w:t>情绪和不确定性</w:t>
      </w:r>
      <w:r w:rsidRPr="00CA29E9">
        <w:rPr>
          <w:rFonts w:ascii="宋体" w:eastAsia="宋体" w:hAnsi="宋体" w:cs="宋体"/>
          <w:kern w:val="0"/>
          <w:sz w:val="24"/>
          <w14:ligatures w14:val="none"/>
        </w:rPr>
        <w:t>驱动。</w:t>
      </w:r>
      <w:r w:rsidRPr="00CA29E9">
        <w:rPr>
          <w:rFonts w:ascii="宋体" w:eastAsia="宋体" w:hAnsi="宋体" w:cs="宋体"/>
          <w:b/>
          <w:bCs/>
          <w:kern w:val="0"/>
          <w:sz w:val="24"/>
          <w14:ligatures w14:val="none"/>
        </w:rPr>
        <w:t>行为金融学</w:t>
      </w:r>
      <w:r w:rsidRPr="00CA29E9">
        <w:rPr>
          <w:rFonts w:ascii="宋体" w:eastAsia="宋体" w:hAnsi="宋体" w:cs="宋体"/>
          <w:kern w:val="0"/>
          <w:sz w:val="24"/>
          <w14:ligatures w14:val="none"/>
        </w:rPr>
        <w:t>解释称，关税冲突引发了投</w:t>
      </w:r>
      <w:r w:rsidRPr="00CA29E9">
        <w:rPr>
          <w:rFonts w:ascii="宋体" w:eastAsia="宋体" w:hAnsi="宋体" w:cs="宋体"/>
          <w:kern w:val="0"/>
          <w:sz w:val="24"/>
          <w14:ligatures w14:val="none"/>
        </w:rPr>
        <w:lastRenderedPageBreak/>
        <w:t>资者的</w:t>
      </w:r>
      <w:r w:rsidRPr="00CA29E9">
        <w:rPr>
          <w:rFonts w:ascii="宋体" w:eastAsia="宋体" w:hAnsi="宋体" w:cs="宋体"/>
          <w:b/>
          <w:bCs/>
          <w:kern w:val="0"/>
          <w:sz w:val="24"/>
          <w14:ligatures w14:val="none"/>
        </w:rPr>
        <w:t>风险厌恶情绪</w:t>
      </w:r>
      <w:r w:rsidRPr="00CA29E9">
        <w:rPr>
          <w:rFonts w:ascii="宋体" w:eastAsia="宋体" w:hAnsi="宋体" w:cs="宋体"/>
          <w:kern w:val="0"/>
          <w:sz w:val="24"/>
          <w14:ligatures w14:val="none"/>
        </w:rPr>
        <w:t>和群体性反应——媒体报道和市场谣言进一步放大了恐慌，导致波动加剧。同时，“</w:t>
      </w:r>
      <w:r w:rsidRPr="00CA29E9">
        <w:rPr>
          <w:rFonts w:ascii="宋体" w:eastAsia="宋体" w:hAnsi="宋体" w:cs="宋体"/>
          <w:b/>
          <w:bCs/>
          <w:kern w:val="0"/>
          <w:sz w:val="24"/>
          <w14:ligatures w14:val="none"/>
        </w:rPr>
        <w:t>锚定偏差</w:t>
      </w:r>
      <w:r w:rsidRPr="00CA29E9">
        <w:rPr>
          <w:rFonts w:ascii="宋体" w:eastAsia="宋体" w:hAnsi="宋体" w:cs="宋体"/>
          <w:kern w:val="0"/>
          <w:sz w:val="24"/>
          <w14:ligatures w14:val="none"/>
        </w:rPr>
        <w:t>”让投资者过度关注贸易消息，忽视了一些公司仍有稳健基本面。从</w:t>
      </w:r>
      <w:r w:rsidRPr="00CA29E9">
        <w:rPr>
          <w:rFonts w:ascii="宋体" w:eastAsia="宋体" w:hAnsi="宋体" w:cs="宋体"/>
          <w:b/>
          <w:bCs/>
          <w:kern w:val="0"/>
          <w:sz w:val="24"/>
          <w14:ligatures w14:val="none"/>
        </w:rPr>
        <w:t>反身性理论</w:t>
      </w:r>
      <w:r w:rsidRPr="00CA29E9">
        <w:rPr>
          <w:rFonts w:ascii="宋体" w:eastAsia="宋体" w:hAnsi="宋体" w:cs="宋体"/>
          <w:kern w:val="0"/>
          <w:sz w:val="24"/>
          <w14:ligatures w14:val="none"/>
        </w:rPr>
        <w:t>看，贸易战预期本身在一定程度上改变了企业行为（许多企业推迟投资、调整供应链），这又反过来强化了市场对经济放缓的担忧 (</w:t>
      </w:r>
      <w:hyperlink r:id="rId52" w:anchor=":~:text=What%20did%20the%202018,mean%20for%20the%20US%20economy" w:history="1">
        <w:r w:rsidRPr="00CA29E9">
          <w:rPr>
            <w:rFonts w:ascii="宋体" w:eastAsia="宋体" w:hAnsi="宋体" w:cs="宋体"/>
            <w:color w:val="0000FF"/>
            <w:kern w:val="0"/>
            <w:sz w:val="24"/>
            <w:u w:val="single"/>
            <w14:ligatures w14:val="none"/>
          </w:rPr>
          <w:t>Tariffs rattle stock markets, but long-term impact is unclear | Invesco US</w:t>
        </w:r>
      </w:hyperlink>
      <w:r w:rsidRPr="00CA29E9">
        <w:rPr>
          <w:rFonts w:ascii="宋体" w:eastAsia="宋体" w:hAnsi="宋体" w:cs="宋体"/>
          <w:kern w:val="0"/>
          <w:sz w:val="24"/>
          <w14:ligatures w14:val="none"/>
        </w:rPr>
        <w:t>) (</w:t>
      </w:r>
      <w:hyperlink r:id="rId53" w:anchor=":~:text=,related%20uncertainty%20remained%20significant" w:history="1">
        <w:r w:rsidRPr="00CA29E9">
          <w:rPr>
            <w:rFonts w:ascii="宋体" w:eastAsia="宋体" w:hAnsi="宋体" w:cs="宋体"/>
            <w:color w:val="0000FF"/>
            <w:kern w:val="0"/>
            <w:sz w:val="24"/>
            <w:u w:val="single"/>
            <w14:ligatures w14:val="none"/>
          </w:rPr>
          <w:t>Tariffs rattle stock markets, but long-term impact is unclear | Invesco US</w:t>
        </w:r>
      </w:hyperlink>
      <w:r w:rsidRPr="00CA29E9">
        <w:rPr>
          <w:rFonts w:ascii="宋体" w:eastAsia="宋体" w:hAnsi="宋体" w:cs="宋体"/>
          <w:kern w:val="0"/>
          <w:sz w:val="24"/>
          <w14:ligatures w14:val="none"/>
        </w:rPr>
        <w:t>)。因此，政策冲击并非外生的：预期的变化会实质性影响经济基本面，符合索罗斯所说的反身性循环。对于价值投资者而言，贸易冲击提供了检视投资组合抗风险性的机会。如果他们相信长期基本面不受关税影响太大，短期股价下跌反而可能是逢低吸纳良机；但若认为关税破坏了某些公司的护城河，则需调整持仓。总的来说，特朗普关税政策的市场冲击展示了</w:t>
      </w:r>
      <w:r w:rsidRPr="00CA29E9">
        <w:rPr>
          <w:rFonts w:ascii="宋体" w:eastAsia="宋体" w:hAnsi="宋体" w:cs="宋体"/>
          <w:b/>
          <w:bCs/>
          <w:kern w:val="0"/>
          <w:sz w:val="24"/>
          <w14:ligatures w14:val="none"/>
        </w:rPr>
        <w:t>政策不确定性</w:t>
      </w:r>
      <w:r w:rsidRPr="00CA29E9">
        <w:rPr>
          <w:rFonts w:ascii="宋体" w:eastAsia="宋体" w:hAnsi="宋体" w:cs="宋体"/>
          <w:kern w:val="0"/>
          <w:sz w:val="24"/>
          <w14:ligatures w14:val="none"/>
        </w:rPr>
        <w:t>如何通过投资者心理传导到市场价格，对应的分析需要结合政策分析、宏观经济和行为金融等多层视角。</w:t>
      </w:r>
    </w:p>
    <w:p w14:paraId="04C08C2C" w14:textId="77777777" w:rsidR="00CA29E9" w:rsidRPr="00CA29E9" w:rsidRDefault="00CA29E9" w:rsidP="00CA29E9">
      <w:pPr>
        <w:widowControl/>
        <w:spacing w:before="100" w:beforeAutospacing="1" w:after="100" w:afterAutospacing="1" w:line="240" w:lineRule="auto"/>
        <w:outlineLvl w:val="3"/>
        <w:rPr>
          <w:rFonts w:ascii="宋体" w:eastAsia="宋体" w:hAnsi="宋体" w:cs="宋体"/>
          <w:b/>
          <w:bCs/>
          <w:kern w:val="0"/>
          <w:sz w:val="24"/>
          <w14:ligatures w14:val="none"/>
        </w:rPr>
      </w:pPr>
      <w:r w:rsidRPr="00CA29E9">
        <w:rPr>
          <w:rFonts w:ascii="宋体" w:eastAsia="宋体" w:hAnsi="宋体" w:cs="宋体"/>
          <w:b/>
          <w:bCs/>
          <w:kern w:val="0"/>
          <w:sz w:val="24"/>
          <w14:ligatures w14:val="none"/>
        </w:rPr>
        <w:t>美债收益率上升与避险机制</w:t>
      </w:r>
    </w:p>
    <w:p w14:paraId="69CE201D"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近年（例如2022-2023年）美国国债收益率明显上升：以</w:t>
      </w:r>
      <w:proofErr w:type="gramStart"/>
      <w:r w:rsidRPr="00CA29E9">
        <w:rPr>
          <w:rFonts w:ascii="宋体" w:eastAsia="宋体" w:hAnsi="宋体" w:cs="宋体"/>
          <w:kern w:val="0"/>
          <w:sz w:val="24"/>
          <w14:ligatures w14:val="none"/>
        </w:rPr>
        <w:t>10年期美债</w:t>
      </w:r>
      <w:proofErr w:type="gramEnd"/>
      <w:r w:rsidRPr="00CA29E9">
        <w:rPr>
          <w:rFonts w:ascii="宋体" w:eastAsia="宋体" w:hAnsi="宋体" w:cs="宋体"/>
          <w:kern w:val="0"/>
          <w:sz w:val="24"/>
          <w14:ligatures w14:val="none"/>
        </w:rPr>
        <w:t>为例，收益率从2021年低点不到1%攀升至2023年一度超过4%。收益率上升通常意味着债券价格下跌，背后原因可能是</w:t>
      </w:r>
      <w:r w:rsidRPr="00CA29E9">
        <w:rPr>
          <w:rFonts w:ascii="宋体" w:eastAsia="宋体" w:hAnsi="宋体" w:cs="宋体"/>
          <w:b/>
          <w:bCs/>
          <w:kern w:val="0"/>
          <w:sz w:val="24"/>
          <w14:ligatures w14:val="none"/>
        </w:rPr>
        <w:t>美联储加息抗通胀、经济增长预期提高</w:t>
      </w:r>
      <w:r w:rsidRPr="00CA29E9">
        <w:rPr>
          <w:rFonts w:ascii="宋体" w:eastAsia="宋体" w:hAnsi="宋体" w:cs="宋体"/>
          <w:kern w:val="0"/>
          <w:sz w:val="24"/>
          <w14:ligatures w14:val="none"/>
        </w:rPr>
        <w:t>等。在传统金融理论中，债券收益率是无风险利率的重要参考，其上升会提高折现率，从而使股票等风险资产的估值承压。这在2022年的市场中得到了体现：高估值科技股因利率攀升而遭遇重挫。然而，讨论美债收益率与市场避险机制的关系，需要区分</w:t>
      </w:r>
      <w:r w:rsidRPr="00CA29E9">
        <w:rPr>
          <w:rFonts w:ascii="宋体" w:eastAsia="宋体" w:hAnsi="宋体" w:cs="宋体"/>
          <w:b/>
          <w:bCs/>
          <w:kern w:val="0"/>
          <w:sz w:val="24"/>
          <w14:ligatures w14:val="none"/>
        </w:rPr>
        <w:t>正常环境</w:t>
      </w:r>
      <w:r w:rsidRPr="00CA29E9">
        <w:rPr>
          <w:rFonts w:ascii="宋体" w:eastAsia="宋体" w:hAnsi="宋体" w:cs="宋体"/>
          <w:kern w:val="0"/>
          <w:sz w:val="24"/>
          <w14:ligatures w14:val="none"/>
        </w:rPr>
        <w:t>和</w:t>
      </w:r>
      <w:r w:rsidRPr="00CA29E9">
        <w:rPr>
          <w:rFonts w:ascii="宋体" w:eastAsia="宋体" w:hAnsi="宋体" w:cs="宋体"/>
          <w:b/>
          <w:bCs/>
          <w:kern w:val="0"/>
          <w:sz w:val="24"/>
          <w14:ligatures w14:val="none"/>
        </w:rPr>
        <w:t>风险事件</w:t>
      </w:r>
      <w:r w:rsidRPr="00CA29E9">
        <w:rPr>
          <w:rFonts w:ascii="宋体" w:eastAsia="宋体" w:hAnsi="宋体" w:cs="宋体"/>
          <w:kern w:val="0"/>
          <w:sz w:val="24"/>
          <w14:ligatures w14:val="none"/>
        </w:rPr>
        <w:t>情境。在正常环境下，收益率上升往往伴随资金从债市流出、流向股票等收益更高的资产，属于“风险偏好增加”的信号；但在危机环境下（避险情绪占主导时），情况相反——投资者涌入美债寻求安全，推动债券价格上涨、收益率急剧下行。例如2018-2019年贸易战和2020年初疫情爆发时，都出现了避险买盘将美国国债收益率压低的现象 (</w:t>
      </w:r>
      <w:hyperlink r:id="rId54" w:anchor=":~:text=What%20did%20that%20trade%20war,mean%20for%20markets" w:history="1">
        <w:r w:rsidRPr="00CA29E9">
          <w:rPr>
            <w:rFonts w:ascii="宋体" w:eastAsia="宋体" w:hAnsi="宋体" w:cs="宋体"/>
            <w:color w:val="0000FF"/>
            <w:kern w:val="0"/>
            <w:sz w:val="24"/>
            <w:u w:val="single"/>
            <w14:ligatures w14:val="none"/>
          </w:rPr>
          <w:t>Tariffs rattle stock markets, but long-term impact is unclear | Invesco US</w:t>
        </w:r>
      </w:hyperlink>
      <w:r w:rsidRPr="00CA29E9">
        <w:rPr>
          <w:rFonts w:ascii="宋体" w:eastAsia="宋体" w:hAnsi="宋体" w:cs="宋体"/>
          <w:kern w:val="0"/>
          <w:sz w:val="24"/>
          <w14:ligatures w14:val="none"/>
        </w:rPr>
        <w:t>)。因此，美债收益率与避险的关系呈现</w:t>
      </w:r>
      <w:r w:rsidRPr="00CA29E9">
        <w:rPr>
          <w:rFonts w:ascii="宋体" w:eastAsia="宋体" w:hAnsi="宋体" w:cs="宋体"/>
          <w:b/>
          <w:bCs/>
          <w:kern w:val="0"/>
          <w:sz w:val="24"/>
          <w14:ligatures w14:val="none"/>
        </w:rPr>
        <w:t>两面性</w:t>
      </w:r>
      <w:r w:rsidRPr="00CA29E9">
        <w:rPr>
          <w:rFonts w:ascii="宋体" w:eastAsia="宋体" w:hAnsi="宋体" w:cs="宋体"/>
          <w:kern w:val="0"/>
          <w:sz w:val="24"/>
          <w14:ligatures w14:val="none"/>
        </w:rPr>
        <w:t>：一方面，</w:t>
      </w:r>
      <w:r w:rsidRPr="00CA29E9">
        <w:rPr>
          <w:rFonts w:ascii="宋体" w:eastAsia="宋体" w:hAnsi="宋体" w:cs="宋体"/>
          <w:b/>
          <w:bCs/>
          <w:kern w:val="0"/>
          <w:sz w:val="24"/>
          <w14:ligatures w14:val="none"/>
        </w:rPr>
        <w:t>周期性上升</w:t>
      </w:r>
      <w:r w:rsidRPr="00CA29E9">
        <w:rPr>
          <w:rFonts w:ascii="宋体" w:eastAsia="宋体" w:hAnsi="宋体" w:cs="宋体"/>
          <w:kern w:val="0"/>
          <w:sz w:val="24"/>
          <w14:ligatures w14:val="none"/>
        </w:rPr>
        <w:t>（通常由通胀和政策驱动）可能对股市不利，但未必是避险而可能是对冲通胀；另一方面，</w:t>
      </w:r>
      <w:r w:rsidRPr="00CA29E9">
        <w:rPr>
          <w:rFonts w:ascii="宋体" w:eastAsia="宋体" w:hAnsi="宋体" w:cs="宋体"/>
          <w:b/>
          <w:bCs/>
          <w:kern w:val="0"/>
          <w:sz w:val="24"/>
          <w14:ligatures w14:val="none"/>
        </w:rPr>
        <w:t>突发风险</w:t>
      </w:r>
      <w:r w:rsidRPr="00CA29E9">
        <w:rPr>
          <w:rFonts w:ascii="宋体" w:eastAsia="宋体" w:hAnsi="宋体" w:cs="宋体"/>
          <w:kern w:val="0"/>
          <w:sz w:val="24"/>
          <w14:ligatures w14:val="none"/>
        </w:rPr>
        <w:t>下收益率的</w:t>
      </w:r>
      <w:r w:rsidRPr="00CA29E9">
        <w:rPr>
          <w:rFonts w:ascii="宋体" w:eastAsia="宋体" w:hAnsi="宋体" w:cs="宋体"/>
          <w:b/>
          <w:bCs/>
          <w:kern w:val="0"/>
          <w:sz w:val="24"/>
          <w14:ligatures w14:val="none"/>
        </w:rPr>
        <w:t>下降</w:t>
      </w:r>
      <w:r w:rsidRPr="00CA29E9">
        <w:rPr>
          <w:rFonts w:ascii="宋体" w:eastAsia="宋体" w:hAnsi="宋体" w:cs="宋体"/>
          <w:kern w:val="0"/>
          <w:sz w:val="24"/>
          <w14:ligatures w14:val="none"/>
        </w:rPr>
        <w:t>才是真正的避险指标（因资金涌入美债）。2024-2025年，美债收益率的走势较复杂：在通胀回落预期和经济衰退隐忧下，长端收益率一度曲线倒挂，随后因美国经济韧性又重新陡峭化。这表明市场在</w:t>
      </w:r>
      <w:r w:rsidRPr="00CA29E9">
        <w:rPr>
          <w:rFonts w:ascii="宋体" w:eastAsia="宋体" w:hAnsi="宋体" w:cs="宋体"/>
          <w:b/>
          <w:bCs/>
          <w:kern w:val="0"/>
          <w:sz w:val="24"/>
          <w14:ligatures w14:val="none"/>
        </w:rPr>
        <w:t>通胀风险</w:t>
      </w:r>
      <w:r w:rsidRPr="00CA29E9">
        <w:rPr>
          <w:rFonts w:ascii="宋体" w:eastAsia="宋体" w:hAnsi="宋体" w:cs="宋体"/>
          <w:kern w:val="0"/>
          <w:sz w:val="24"/>
          <w14:ligatures w14:val="none"/>
        </w:rPr>
        <w:t>与</w:t>
      </w:r>
      <w:r w:rsidRPr="00CA29E9">
        <w:rPr>
          <w:rFonts w:ascii="宋体" w:eastAsia="宋体" w:hAnsi="宋体" w:cs="宋体"/>
          <w:b/>
          <w:bCs/>
          <w:kern w:val="0"/>
          <w:sz w:val="24"/>
          <w14:ligatures w14:val="none"/>
        </w:rPr>
        <w:t>增长风险</w:t>
      </w:r>
      <w:r w:rsidRPr="00CA29E9">
        <w:rPr>
          <w:rFonts w:ascii="宋体" w:eastAsia="宋体" w:hAnsi="宋体" w:cs="宋体"/>
          <w:kern w:val="0"/>
          <w:sz w:val="24"/>
          <w14:ligatures w14:val="none"/>
        </w:rPr>
        <w:t>之间反复切换，避险情绪时高时低。从行为角度看，投资者对风险的感知变化（乐观或恐慌）驱动着资金在</w:t>
      </w:r>
      <w:proofErr w:type="gramStart"/>
      <w:r w:rsidRPr="00CA29E9">
        <w:rPr>
          <w:rFonts w:ascii="宋体" w:eastAsia="宋体" w:hAnsi="宋体" w:cs="宋体"/>
          <w:kern w:val="0"/>
          <w:sz w:val="24"/>
          <w14:ligatures w14:val="none"/>
        </w:rPr>
        <w:t>股债间的</w:t>
      </w:r>
      <w:proofErr w:type="gramEnd"/>
      <w:r w:rsidRPr="00CA29E9">
        <w:rPr>
          <w:rFonts w:ascii="宋体" w:eastAsia="宋体" w:hAnsi="宋体" w:cs="宋体"/>
          <w:kern w:val="0"/>
          <w:sz w:val="24"/>
          <w14:ligatures w14:val="none"/>
        </w:rPr>
        <w:t>轮动：当恐慌蔓延时，“</w:t>
      </w:r>
      <w:r w:rsidRPr="00CA29E9">
        <w:rPr>
          <w:rFonts w:ascii="宋体" w:eastAsia="宋体" w:hAnsi="宋体" w:cs="宋体"/>
          <w:b/>
          <w:bCs/>
          <w:kern w:val="0"/>
          <w:sz w:val="24"/>
          <w14:ligatures w14:val="none"/>
        </w:rPr>
        <w:t>抢购美债</w:t>
      </w:r>
      <w:r w:rsidRPr="00CA29E9">
        <w:rPr>
          <w:rFonts w:ascii="宋体" w:eastAsia="宋体" w:hAnsi="宋体" w:cs="宋体"/>
          <w:kern w:val="0"/>
          <w:sz w:val="24"/>
          <w14:ligatures w14:val="none"/>
        </w:rPr>
        <w:t>”几乎是本能反应（哪怕收益率已经很低），体现出对流动性和安全的偏好。因此，要理解收益率上升与避险机制，需要结合宏观背景判断：若因经济向好而升，则避险需求下降；若因供应冲击或政策失误引发升，则可能加剧对金融稳定的担忧，避险情绪反而提升。这种微妙关系提醒投资者应密切关注</w:t>
      </w:r>
      <w:r w:rsidRPr="00CA29E9">
        <w:rPr>
          <w:rFonts w:ascii="宋体" w:eastAsia="宋体" w:hAnsi="宋体" w:cs="宋体"/>
          <w:b/>
          <w:bCs/>
          <w:kern w:val="0"/>
          <w:sz w:val="24"/>
          <w14:ligatures w14:val="none"/>
        </w:rPr>
        <w:t>收益率驱动因素</w:t>
      </w:r>
      <w:r w:rsidRPr="00CA29E9">
        <w:rPr>
          <w:rFonts w:ascii="宋体" w:eastAsia="宋体" w:hAnsi="宋体" w:cs="宋体"/>
          <w:kern w:val="0"/>
          <w:sz w:val="24"/>
          <w14:ligatures w14:val="none"/>
        </w:rPr>
        <w:t>，并在资产配置中平衡利率风险和避险需求。</w:t>
      </w:r>
    </w:p>
    <w:p w14:paraId="23B2F837" w14:textId="77777777" w:rsidR="00CA29E9" w:rsidRPr="00CA29E9" w:rsidRDefault="00CA29E9" w:rsidP="00CA29E9">
      <w:pPr>
        <w:widowControl/>
        <w:spacing w:before="100" w:beforeAutospacing="1" w:after="100" w:afterAutospacing="1" w:line="240" w:lineRule="auto"/>
        <w:outlineLvl w:val="3"/>
        <w:rPr>
          <w:rFonts w:ascii="宋体" w:eastAsia="宋体" w:hAnsi="宋体" w:cs="宋体"/>
          <w:b/>
          <w:bCs/>
          <w:kern w:val="0"/>
          <w:sz w:val="24"/>
          <w14:ligatures w14:val="none"/>
        </w:rPr>
      </w:pPr>
      <w:r w:rsidRPr="00CA29E9">
        <w:rPr>
          <w:rFonts w:ascii="宋体" w:eastAsia="宋体" w:hAnsi="宋体" w:cs="宋体"/>
          <w:b/>
          <w:bCs/>
          <w:kern w:val="0"/>
          <w:sz w:val="24"/>
          <w14:ligatures w14:val="none"/>
        </w:rPr>
        <w:t>是否存在“提升全球金融风险引导资本流入美债”的策略？</w:t>
      </w:r>
    </w:p>
    <w:p w14:paraId="23E91D3D"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lastRenderedPageBreak/>
        <w:t>有人提出一种策略假想：美国作为全球最大债务国，或许有动机通过在海外制造不确定性来引发全球资金回流本国债市，从而降低融资成本。这种观点认为，当全球金融风险上升时，投资者会基于避险偏好大量买入被视为“终极安全资产”的美国国债 (</w:t>
      </w:r>
      <w:hyperlink r:id="rId55" w:anchor=":~:text=,is%20a%20net%20debtor" w:history="1">
        <w:r w:rsidRPr="00CA29E9">
          <w:rPr>
            <w:rFonts w:ascii="宋体" w:eastAsia="宋体" w:hAnsi="宋体" w:cs="宋体"/>
            <w:color w:val="0000FF"/>
            <w:kern w:val="0"/>
            <w:sz w:val="24"/>
            <w:u w:val="single"/>
            <w14:ligatures w14:val="none"/>
          </w:rPr>
          <w:t>Treasuries' allure as safe haven noted in short maturities, not in long ...</w:t>
        </w:r>
      </w:hyperlink>
      <w:r w:rsidRPr="00CA29E9">
        <w:rPr>
          <w:rFonts w:ascii="宋体" w:eastAsia="宋体" w:hAnsi="宋体" w:cs="宋体"/>
          <w:kern w:val="0"/>
          <w:sz w:val="24"/>
          <w14:ligatures w14:val="none"/>
        </w:rPr>
        <w:t>) (</w:t>
      </w:r>
      <w:hyperlink r:id="rId56" w:anchor=":~:text=,First%2C%20in%20a%20%E2%80%9Cflight" w:history="1">
        <w:r w:rsidRPr="00CA29E9">
          <w:rPr>
            <w:rFonts w:ascii="宋体" w:eastAsia="宋体" w:hAnsi="宋体" w:cs="宋体"/>
            <w:color w:val="0000FF"/>
            <w:kern w:val="0"/>
            <w:sz w:val="24"/>
            <w:u w:val="single"/>
            <w14:ligatures w14:val="none"/>
          </w:rPr>
          <w:t>[PDF] Resilience redux in the US Treasury market</w:t>
        </w:r>
      </w:hyperlink>
      <w:r w:rsidRPr="00CA29E9">
        <w:rPr>
          <w:rFonts w:ascii="宋体" w:eastAsia="宋体" w:hAnsi="宋体" w:cs="宋体"/>
          <w:kern w:val="0"/>
          <w:sz w:val="24"/>
          <w14:ligatures w14:val="none"/>
        </w:rPr>
        <w:t>)。结果，美</w:t>
      </w:r>
      <w:proofErr w:type="gramStart"/>
      <w:r w:rsidRPr="00CA29E9">
        <w:rPr>
          <w:rFonts w:ascii="宋体" w:eastAsia="宋体" w:hAnsi="宋体" w:cs="宋体"/>
          <w:kern w:val="0"/>
          <w:sz w:val="24"/>
          <w14:ligatures w14:val="none"/>
        </w:rPr>
        <w:t>债需求</w:t>
      </w:r>
      <w:proofErr w:type="gramEnd"/>
      <w:r w:rsidRPr="00CA29E9">
        <w:rPr>
          <w:rFonts w:ascii="宋体" w:eastAsia="宋体" w:hAnsi="宋体" w:cs="宋体"/>
          <w:kern w:val="0"/>
          <w:sz w:val="24"/>
          <w14:ligatures w14:val="none"/>
        </w:rPr>
        <w:t>上升，其收益率反而可能下降或维持在较低水平，使美国可以廉价筹资。历史上确实存在全球资金涌入美元资产的现象：例如每当新兴市场发生金融危机、地缘冲突升级时，美元和美</w:t>
      </w:r>
      <w:proofErr w:type="gramStart"/>
      <w:r w:rsidRPr="00CA29E9">
        <w:rPr>
          <w:rFonts w:ascii="宋体" w:eastAsia="宋体" w:hAnsi="宋体" w:cs="宋体"/>
          <w:kern w:val="0"/>
          <w:sz w:val="24"/>
          <w14:ligatures w14:val="none"/>
        </w:rPr>
        <w:t>债往往</w:t>
      </w:r>
      <w:proofErr w:type="gramEnd"/>
      <w:r w:rsidRPr="00CA29E9">
        <w:rPr>
          <w:rFonts w:ascii="宋体" w:eastAsia="宋体" w:hAnsi="宋体" w:cs="宋体"/>
          <w:kern w:val="0"/>
          <w:sz w:val="24"/>
          <w14:ligatures w14:val="none"/>
        </w:rPr>
        <w:t>受追捧，美国能在动荡中享受“安全港”溢价。然而，从战略层面来看，</w:t>
      </w:r>
      <w:r w:rsidRPr="00CA29E9">
        <w:rPr>
          <w:rFonts w:ascii="宋体" w:eastAsia="宋体" w:hAnsi="宋体" w:cs="宋体"/>
          <w:b/>
          <w:bCs/>
          <w:kern w:val="0"/>
          <w:sz w:val="24"/>
          <w14:ligatures w14:val="none"/>
        </w:rPr>
        <w:t>主动提升全球风险</w:t>
      </w:r>
      <w:r w:rsidRPr="00CA29E9">
        <w:rPr>
          <w:rFonts w:ascii="宋体" w:eastAsia="宋体" w:hAnsi="宋体" w:cs="宋体"/>
          <w:kern w:val="0"/>
          <w:sz w:val="24"/>
          <w14:ligatures w14:val="none"/>
        </w:rPr>
        <w:t>并非一个明智或可持续的政策工具。首先，这种做法风险极高，不确定性一旦失控也会反噬美国自身利益（例如2008年危机源于美国，引发的恐慌令美债市场也一度流动性紧张 (</w:t>
      </w:r>
      <w:hyperlink r:id="rId57" w:anchor=":~:text=Still%20the%20World%27s%20Safe%20Haven%3F,investor%20flows%20that%20overwhelmed" w:history="1">
        <w:r w:rsidRPr="00CA29E9">
          <w:rPr>
            <w:rFonts w:ascii="宋体" w:eastAsia="宋体" w:hAnsi="宋体" w:cs="宋体"/>
            <w:color w:val="0000FF"/>
            <w:kern w:val="0"/>
            <w:sz w:val="24"/>
            <w:u w:val="single"/>
            <w14:ligatures w14:val="none"/>
          </w:rPr>
          <w:t>Still the World's Safe Haven? Redesigning the U.S. Treasury Market ...</w:t>
        </w:r>
      </w:hyperlink>
      <w:r w:rsidRPr="00CA29E9">
        <w:rPr>
          <w:rFonts w:ascii="宋体" w:eastAsia="宋体" w:hAnsi="宋体" w:cs="宋体"/>
          <w:kern w:val="0"/>
          <w:sz w:val="24"/>
          <w14:ligatures w14:val="none"/>
        </w:rPr>
        <w:t>)）。其次，安全资产地位并非一成不变：如果美国被视为故意扰乱全球稳定，长期可能削弱美元和美债的信任基础。即便抛开动机阴谋论，从</w:t>
      </w:r>
      <w:r w:rsidRPr="00CA29E9">
        <w:rPr>
          <w:rFonts w:ascii="宋体" w:eastAsia="宋体" w:hAnsi="宋体" w:cs="宋体"/>
          <w:b/>
          <w:bCs/>
          <w:kern w:val="0"/>
          <w:sz w:val="24"/>
          <w14:ligatures w14:val="none"/>
        </w:rPr>
        <w:t>客观效果</w:t>
      </w:r>
      <w:r w:rsidRPr="00CA29E9">
        <w:rPr>
          <w:rFonts w:ascii="宋体" w:eastAsia="宋体" w:hAnsi="宋体" w:cs="宋体"/>
          <w:kern w:val="0"/>
          <w:sz w:val="24"/>
          <w14:ligatures w14:val="none"/>
        </w:rPr>
        <w:t>分析，过去几十年确实出现过“美国金融资产在全球风险上升时吸引避险资金”的规律 (</w:t>
      </w:r>
      <w:hyperlink r:id="rId58" w:anchor=":~:text=,is%20a%20net%20debtor" w:history="1">
        <w:r w:rsidRPr="00CA29E9">
          <w:rPr>
            <w:rFonts w:ascii="宋体" w:eastAsia="宋体" w:hAnsi="宋体" w:cs="宋体"/>
            <w:color w:val="0000FF"/>
            <w:kern w:val="0"/>
            <w:sz w:val="24"/>
            <w:u w:val="single"/>
            <w14:ligatures w14:val="none"/>
          </w:rPr>
          <w:t>Treasuries' allure as safe haven noted in short maturities, not in long ...</w:t>
        </w:r>
      </w:hyperlink>
      <w:r w:rsidRPr="00CA29E9">
        <w:rPr>
          <w:rFonts w:ascii="宋体" w:eastAsia="宋体" w:hAnsi="宋体" w:cs="宋体"/>
          <w:kern w:val="0"/>
          <w:sz w:val="24"/>
          <w14:ligatures w14:val="none"/>
        </w:rPr>
        <w:t>)。美联储</w:t>
      </w:r>
      <w:proofErr w:type="gramStart"/>
      <w:r w:rsidRPr="00CA29E9">
        <w:rPr>
          <w:rFonts w:ascii="宋体" w:eastAsia="宋体" w:hAnsi="宋体" w:cs="宋体"/>
          <w:kern w:val="0"/>
          <w:sz w:val="24"/>
          <w14:ligatures w14:val="none"/>
        </w:rPr>
        <w:t>加息缩表往往</w:t>
      </w:r>
      <w:proofErr w:type="gramEnd"/>
      <w:r w:rsidRPr="00CA29E9">
        <w:rPr>
          <w:rFonts w:ascii="宋体" w:eastAsia="宋体" w:hAnsi="宋体" w:cs="宋体"/>
          <w:kern w:val="0"/>
          <w:sz w:val="24"/>
          <w14:ligatures w14:val="none"/>
        </w:rPr>
        <w:t>导致新兴市场资本外流、美元走强，美</w:t>
      </w:r>
      <w:proofErr w:type="gramStart"/>
      <w:r w:rsidRPr="00CA29E9">
        <w:rPr>
          <w:rFonts w:ascii="宋体" w:eastAsia="宋体" w:hAnsi="宋体" w:cs="宋体"/>
          <w:kern w:val="0"/>
          <w:sz w:val="24"/>
          <w14:ligatures w14:val="none"/>
        </w:rPr>
        <w:t>债因为</w:t>
      </w:r>
      <w:proofErr w:type="gramEnd"/>
      <w:r w:rsidRPr="00CA29E9">
        <w:rPr>
          <w:rFonts w:ascii="宋体" w:eastAsia="宋体" w:hAnsi="宋体" w:cs="宋体"/>
          <w:kern w:val="0"/>
          <w:sz w:val="24"/>
          <w14:ligatures w14:val="none"/>
        </w:rPr>
        <w:t>提供相对高收益且信用卓著而成为</w:t>
      </w:r>
      <w:r w:rsidRPr="00CA29E9">
        <w:rPr>
          <w:rFonts w:ascii="宋体" w:eastAsia="宋体" w:hAnsi="宋体" w:cs="宋体"/>
          <w:b/>
          <w:bCs/>
          <w:kern w:val="0"/>
          <w:sz w:val="24"/>
          <w14:ligatures w14:val="none"/>
        </w:rPr>
        <w:t>资金避风港</w:t>
      </w:r>
      <w:r w:rsidRPr="00CA29E9">
        <w:rPr>
          <w:rFonts w:ascii="宋体" w:eastAsia="宋体" w:hAnsi="宋体" w:cs="宋体"/>
          <w:kern w:val="0"/>
          <w:sz w:val="24"/>
          <w14:ligatures w14:val="none"/>
        </w:rPr>
        <w:t>。这种现象有时被称为“美元微笑曲线”——当全球非常好或非常差时，美元资产表现强劲。综合而言，我们可以承认美国国债的</w:t>
      </w:r>
      <w:r w:rsidRPr="00CA29E9">
        <w:rPr>
          <w:rFonts w:ascii="宋体" w:eastAsia="宋体" w:hAnsi="宋体" w:cs="宋体"/>
          <w:b/>
          <w:bCs/>
          <w:kern w:val="0"/>
          <w:sz w:val="24"/>
          <w14:ligatures w14:val="none"/>
        </w:rPr>
        <w:t>避险磁吸效应</w:t>
      </w:r>
      <w:r w:rsidRPr="00CA29E9">
        <w:rPr>
          <w:rFonts w:ascii="宋体" w:eastAsia="宋体" w:hAnsi="宋体" w:cs="宋体"/>
          <w:kern w:val="0"/>
          <w:sz w:val="24"/>
          <w14:ligatures w14:val="none"/>
        </w:rPr>
        <w:t>：全球风险上升往往带来资本流向美国（包括美债和美元），这在金融机制上巩固了美国的融资优势。但将其上升为刻意的“策略”则缺乏证据支持，更多还是全球投资者自发选择的结果。对于投资实践，这一点提醒我们：在评估全球资产配置时，要考虑美元和美债的特殊地位以及潜在的政策博弈，把地缘政治和宏观风险因素纳入决策框架。</w:t>
      </w:r>
    </w:p>
    <w:p w14:paraId="41137D09"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5. 构建金融学知识地图与应用体系</w:t>
      </w:r>
    </w:p>
    <w:p w14:paraId="23B08DE0"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一个完善的金融学知识体系应囊括投资理念、市场理论、行为心理和风险管理四大维度，并将理论学习与实践操作有机闭环起来，不断优化进化。下面我们从这四个维度分别提炼知识要点，并描述如何构建“理论→实践→反馈→进化”的循环应用体系。</w:t>
      </w:r>
    </w:p>
    <w:p w14:paraId="473F886A" w14:textId="77777777" w:rsidR="00CA29E9" w:rsidRPr="00CA29E9" w:rsidRDefault="00CA29E9" w:rsidP="00CA29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投资理念维度</w:t>
      </w:r>
      <w:r w:rsidRPr="00CA29E9">
        <w:rPr>
          <w:rFonts w:ascii="宋体" w:eastAsia="宋体" w:hAnsi="宋体" w:cs="宋体"/>
          <w:kern w:val="0"/>
          <w:sz w:val="24"/>
          <w14:ligatures w14:val="none"/>
        </w:rPr>
        <w:t>：包含价值投资、成长投资、指数被动投资等不同流派的理念精髓。价值投资强调安全边际、基本面分析和长期持有；成长投资关注公司未来增长潜力和赛道空间；指数投资主张市场有效性与成本控制，获取平均市场收益。该维度的知识地图应总结各流派代表人物（如格雷厄姆/巴菲特之于价值投资，费雪之于成长股投资，博格尔之于指数基金）及其方法论要点。应用上，投资者需要根据自身性格和目标选择理念，并制定相应策略工具（例如价值投资者使用财务报表分析和估值模型，成长投资者注重行业趋势和创新评估）。这一维度的学习建立了“投资哲学—方法—案例”框架，有助于形成稳定的决策信仰，在市场噪声中坚持既定策略。</w:t>
      </w:r>
    </w:p>
    <w:p w14:paraId="6B6133A1" w14:textId="77777777" w:rsidR="00CA29E9" w:rsidRPr="00CA29E9" w:rsidRDefault="00CA29E9" w:rsidP="00CA29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lastRenderedPageBreak/>
        <w:t>市场理论维度</w:t>
      </w:r>
      <w:r w:rsidRPr="00CA29E9">
        <w:rPr>
          <w:rFonts w:ascii="宋体" w:eastAsia="宋体" w:hAnsi="宋体" w:cs="宋体"/>
          <w:kern w:val="0"/>
          <w:sz w:val="24"/>
          <w14:ligatures w14:val="none"/>
        </w:rPr>
        <w:t>：涵盖金融市场运作的一般规律和模型，包括有效市场假说、资本资产定价模型(CAPM)、投资组合理论、套利定价理论(APT)、市场微观结构等知识节点。知识地图应梳理出市场定价机制（供求平衡、信息传导）、风险与收益的权衡（如证券市场线、β系数）、以及各种异常现象（因子收益、泡沫与崩盘模式）等。实践中，这一维度指导资产配置和定价：例如根据CAPM评估资产预期收益是否合理，根据投资组合理论进行分散化配置达到有效边界等。同时，认识市场失效情形（比如流动性危机、投机泡沫）也属于地图的一部分，以便在实践中及时识别预警信号。通过理论学习，投资者可以建立一套对市场“大局”的理解框架，在遇到行情变化时能理性分析背后的机制而非盲目恐慌。</w:t>
      </w:r>
    </w:p>
    <w:p w14:paraId="0B06A1A0" w14:textId="77777777" w:rsidR="00CA29E9" w:rsidRPr="00CA29E9" w:rsidRDefault="00CA29E9" w:rsidP="00CA29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行为心理维度</w:t>
      </w:r>
      <w:r w:rsidRPr="00CA29E9">
        <w:rPr>
          <w:rFonts w:ascii="宋体" w:eastAsia="宋体" w:hAnsi="宋体" w:cs="宋体"/>
          <w:kern w:val="0"/>
          <w:sz w:val="24"/>
          <w14:ligatures w14:val="none"/>
        </w:rPr>
        <w:t>：这一维度集中于投资者行为规律和心理偏差，包括认知偏差（锚定、可得性偏差、过度自信等）、情绪影响（贪婪与恐惧循环）、群体行为（羊群效应、炒作狂热）以及投资者教育和认知提升的方法。知识地图可列出主要行为偏差定义及典型案例，例如投资者如何因为</w:t>
      </w:r>
      <w:r w:rsidRPr="00CA29E9">
        <w:rPr>
          <w:rFonts w:ascii="宋体" w:eastAsia="宋体" w:hAnsi="宋体" w:cs="宋体"/>
          <w:b/>
          <w:bCs/>
          <w:kern w:val="0"/>
          <w:sz w:val="24"/>
          <w14:ligatures w14:val="none"/>
        </w:rPr>
        <w:t>损失厌恶</w:t>
      </w:r>
      <w:r w:rsidRPr="00CA29E9">
        <w:rPr>
          <w:rFonts w:ascii="宋体" w:eastAsia="宋体" w:hAnsi="宋体" w:cs="宋体"/>
          <w:kern w:val="0"/>
          <w:sz w:val="24"/>
          <w14:ligatures w14:val="none"/>
        </w:rPr>
        <w:t>而在熊市底部割肉，因</w:t>
      </w:r>
      <w:r w:rsidRPr="00CA29E9">
        <w:rPr>
          <w:rFonts w:ascii="宋体" w:eastAsia="宋体" w:hAnsi="宋体" w:cs="宋体"/>
          <w:b/>
          <w:bCs/>
          <w:kern w:val="0"/>
          <w:sz w:val="24"/>
          <w14:ligatures w14:val="none"/>
        </w:rPr>
        <w:t>确认偏误</w:t>
      </w:r>
      <w:r w:rsidRPr="00CA29E9">
        <w:rPr>
          <w:rFonts w:ascii="宋体" w:eastAsia="宋体" w:hAnsi="宋体" w:cs="宋体"/>
          <w:kern w:val="0"/>
          <w:sz w:val="24"/>
          <w14:ligatures w14:val="none"/>
        </w:rPr>
        <w:t>而只关注支持自己观点的信息，或者因为从众心理在牛市顶峰追高。从中提炼对策，如制定预先的投资计划来克服临场情绪、利用他人非理性创造的机会（逆向投资）。这一维度在应用中非常关键，因为实际投资中心理往往比智力更决定成败。通过行为金融知识的学习，投资者可更清醒地认识自己的弱点，建立机制（如纪律止损/止盈、投资日记反思）来对抗认知错误。</w:t>
      </w:r>
      <w:r w:rsidRPr="00CA29E9">
        <w:rPr>
          <w:rFonts w:ascii="宋体" w:eastAsia="宋体" w:hAnsi="宋体" w:cs="宋体"/>
          <w:b/>
          <w:bCs/>
          <w:kern w:val="0"/>
          <w:sz w:val="24"/>
          <w14:ligatures w14:val="none"/>
        </w:rPr>
        <w:t>将心理维度纳入知识体系使理论更贴近真实世界的人性，帮助投资者实现知行合一。</w:t>
      </w:r>
    </w:p>
    <w:p w14:paraId="18732D9A" w14:textId="77777777" w:rsidR="00CA29E9" w:rsidRPr="00CA29E9" w:rsidRDefault="00CA29E9" w:rsidP="00CA29E9">
      <w:pPr>
        <w:widowControl/>
        <w:numPr>
          <w:ilvl w:val="0"/>
          <w:numId w:val="15"/>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风险管理维度</w:t>
      </w:r>
      <w:r w:rsidRPr="00CA29E9">
        <w:rPr>
          <w:rFonts w:ascii="宋体" w:eastAsia="宋体" w:hAnsi="宋体" w:cs="宋体"/>
          <w:kern w:val="0"/>
          <w:sz w:val="24"/>
          <w14:ligatures w14:val="none"/>
        </w:rPr>
        <w:t>：风险管理涵盖识别、度量和应对各种金融风险，包括市场风险、信用风险、流动性风险、操作风险等。知识地图需要覆盖传统风险指标和方法（如波动率、β、</w:t>
      </w:r>
      <w:proofErr w:type="spellStart"/>
      <w:r w:rsidRPr="00CA29E9">
        <w:rPr>
          <w:rFonts w:ascii="宋体" w:eastAsia="宋体" w:hAnsi="宋体" w:cs="宋体"/>
          <w:kern w:val="0"/>
          <w:sz w:val="24"/>
          <w14:ligatures w14:val="none"/>
        </w:rPr>
        <w:t>VaR</w:t>
      </w:r>
      <w:proofErr w:type="spellEnd"/>
      <w:r w:rsidRPr="00CA29E9">
        <w:rPr>
          <w:rFonts w:ascii="宋体" w:eastAsia="宋体" w:hAnsi="宋体" w:cs="宋体"/>
          <w:kern w:val="0"/>
          <w:sz w:val="24"/>
          <w14:ligatures w14:val="none"/>
        </w:rPr>
        <w:t>模型、压力测试）、分散化和对冲策略（资产配置、期权保险等）、以及像塔勒布“黑天鹅”理论强调的尾部风险和</w:t>
      </w:r>
      <w:r w:rsidRPr="00CA29E9">
        <w:rPr>
          <w:rFonts w:ascii="宋体" w:eastAsia="宋体" w:hAnsi="宋体" w:cs="宋体"/>
          <w:b/>
          <w:bCs/>
          <w:kern w:val="0"/>
          <w:sz w:val="24"/>
          <w14:ligatures w14:val="none"/>
        </w:rPr>
        <w:t>极端情景</w:t>
      </w:r>
      <w:r w:rsidRPr="00CA29E9">
        <w:rPr>
          <w:rFonts w:ascii="宋体" w:eastAsia="宋体" w:hAnsi="宋体" w:cs="宋体"/>
          <w:kern w:val="0"/>
          <w:sz w:val="24"/>
          <w14:ligatures w14:val="none"/>
        </w:rPr>
        <w:t>分析。还应包括危机案例（例如LTCM倒闭、2008年</w:t>
      </w:r>
      <w:proofErr w:type="gramStart"/>
      <w:r w:rsidRPr="00CA29E9">
        <w:rPr>
          <w:rFonts w:ascii="宋体" w:eastAsia="宋体" w:hAnsi="宋体" w:cs="宋体"/>
          <w:kern w:val="0"/>
          <w:sz w:val="24"/>
          <w14:ligatures w14:val="none"/>
        </w:rPr>
        <w:t>次贷</w:t>
      </w:r>
      <w:proofErr w:type="gramEnd"/>
      <w:r w:rsidRPr="00CA29E9">
        <w:rPr>
          <w:rFonts w:ascii="宋体" w:eastAsia="宋体" w:hAnsi="宋体" w:cs="宋体"/>
          <w:kern w:val="0"/>
          <w:sz w:val="24"/>
          <w14:ligatures w14:val="none"/>
        </w:rPr>
        <w:t>危机）以及从中汲取的风险管理教训。实践应用中，风险管理维度贯穿投资流程：在投资前进行风险评估制定最大损失容忍度，在投资中通过</w:t>
      </w:r>
      <w:proofErr w:type="gramStart"/>
      <w:r w:rsidRPr="00CA29E9">
        <w:rPr>
          <w:rFonts w:ascii="宋体" w:eastAsia="宋体" w:hAnsi="宋体" w:cs="宋体"/>
          <w:kern w:val="0"/>
          <w:sz w:val="24"/>
          <w14:ligatures w14:val="none"/>
        </w:rPr>
        <w:t>仓位</w:t>
      </w:r>
      <w:proofErr w:type="gramEnd"/>
      <w:r w:rsidRPr="00CA29E9">
        <w:rPr>
          <w:rFonts w:ascii="宋体" w:eastAsia="宋体" w:hAnsi="宋体" w:cs="宋体"/>
          <w:kern w:val="0"/>
          <w:sz w:val="24"/>
          <w14:ligatures w14:val="none"/>
        </w:rPr>
        <w:t>控制和工具对冲来管理风险暴露，在投资后持续监控风险指标变化。</w:t>
      </w:r>
      <w:r w:rsidRPr="00CA29E9">
        <w:rPr>
          <w:rFonts w:ascii="宋体" w:eastAsia="宋体" w:hAnsi="宋体" w:cs="宋体"/>
          <w:b/>
          <w:bCs/>
          <w:kern w:val="0"/>
          <w:sz w:val="24"/>
          <w14:ligatures w14:val="none"/>
        </w:rPr>
        <w:t>强调反馈与改进</w:t>
      </w:r>
      <w:r w:rsidRPr="00CA29E9">
        <w:rPr>
          <w:rFonts w:ascii="宋体" w:eastAsia="宋体" w:hAnsi="宋体" w:cs="宋体"/>
          <w:kern w:val="0"/>
          <w:sz w:val="24"/>
          <w14:ligatures w14:val="none"/>
        </w:rPr>
        <w:t>：比如当一次风险事件导致超预期损失时，事后需要检视模型假设和决策流程，吸取教训。通过将风险管理内化为日常决策的一部分，投资体系才能真正稳健长青，经受住各种市场环境的考验。</w:t>
      </w:r>
    </w:p>
    <w:p w14:paraId="15A92272"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在上述四维</w:t>
      </w:r>
      <w:proofErr w:type="gramStart"/>
      <w:r w:rsidRPr="00CA29E9">
        <w:rPr>
          <w:rFonts w:ascii="宋体" w:eastAsia="宋体" w:hAnsi="宋体" w:cs="宋体"/>
          <w:kern w:val="0"/>
          <w:sz w:val="24"/>
          <w14:ligatures w14:val="none"/>
        </w:rPr>
        <w:t>度知识</w:t>
      </w:r>
      <w:proofErr w:type="gramEnd"/>
      <w:r w:rsidRPr="00CA29E9">
        <w:rPr>
          <w:rFonts w:ascii="宋体" w:eastAsia="宋体" w:hAnsi="宋体" w:cs="宋体"/>
          <w:kern w:val="0"/>
          <w:sz w:val="24"/>
          <w14:ligatures w14:val="none"/>
        </w:rPr>
        <w:t>地图的基础上，构建一个闭环的金融学应用体系尤为重要。闭环模型包括以下阶段：</w:t>
      </w:r>
    </w:p>
    <w:p w14:paraId="149B3D6B" w14:textId="77777777" w:rsidR="00CA29E9" w:rsidRPr="00CA29E9" w:rsidRDefault="00CA29E9" w:rsidP="00CA29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理论学习</w:t>
      </w:r>
      <w:r w:rsidRPr="00CA29E9">
        <w:rPr>
          <w:rFonts w:ascii="宋体" w:eastAsia="宋体" w:hAnsi="宋体" w:cs="宋体"/>
          <w:kern w:val="0"/>
          <w:sz w:val="24"/>
          <w14:ligatures w14:val="none"/>
        </w:rPr>
        <w:t>：不断吸收上述各维度的知识精华。通过阅读经典书籍、学术论文和实践案例，形成对投资理念、市场规律、行为偏差、风险管理的系统理解。在这一阶段，应当刻意学习历史经验和他人教训，以避免重复已有的错误。</w:t>
      </w:r>
    </w:p>
    <w:p w14:paraId="228FE8B9" w14:textId="77777777" w:rsidR="00CA29E9" w:rsidRPr="00CA29E9" w:rsidRDefault="00CA29E9" w:rsidP="00CA29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实践应用</w:t>
      </w:r>
      <w:r w:rsidRPr="00CA29E9">
        <w:rPr>
          <w:rFonts w:ascii="宋体" w:eastAsia="宋体" w:hAnsi="宋体" w:cs="宋体"/>
          <w:kern w:val="0"/>
          <w:sz w:val="24"/>
          <w14:ligatures w14:val="none"/>
        </w:rPr>
        <w:t>：将理论运用于真实或模拟的投资决策中。例如，根据所信奉的投资理念制定投资策略，根据市场理论分析当前宏观和估值水平，</w:t>
      </w:r>
      <w:proofErr w:type="gramStart"/>
      <w:r w:rsidRPr="00CA29E9">
        <w:rPr>
          <w:rFonts w:ascii="宋体" w:eastAsia="宋体" w:hAnsi="宋体" w:cs="宋体"/>
          <w:kern w:val="0"/>
          <w:sz w:val="24"/>
          <w14:ligatures w14:val="none"/>
        </w:rPr>
        <w:t>据</w:t>
      </w:r>
      <w:r w:rsidRPr="00CA29E9">
        <w:rPr>
          <w:rFonts w:ascii="宋体" w:eastAsia="宋体" w:hAnsi="宋体" w:cs="宋体"/>
          <w:kern w:val="0"/>
          <w:sz w:val="24"/>
          <w14:ligatures w14:val="none"/>
        </w:rPr>
        <w:lastRenderedPageBreak/>
        <w:t>行为</w:t>
      </w:r>
      <w:proofErr w:type="gramEnd"/>
      <w:r w:rsidRPr="00CA29E9">
        <w:rPr>
          <w:rFonts w:ascii="宋体" w:eastAsia="宋体" w:hAnsi="宋体" w:cs="宋体"/>
          <w:kern w:val="0"/>
          <w:sz w:val="24"/>
          <w14:ligatures w14:val="none"/>
        </w:rPr>
        <w:t>金融原理警惕市场情绪极端时的机会或风险，根据风险管理原则设置</w:t>
      </w:r>
      <w:proofErr w:type="gramStart"/>
      <w:r w:rsidRPr="00CA29E9">
        <w:rPr>
          <w:rFonts w:ascii="宋体" w:eastAsia="宋体" w:hAnsi="宋体" w:cs="宋体"/>
          <w:kern w:val="0"/>
          <w:sz w:val="24"/>
          <w14:ligatures w14:val="none"/>
        </w:rPr>
        <w:t>仓位</w:t>
      </w:r>
      <w:proofErr w:type="gramEnd"/>
      <w:r w:rsidRPr="00CA29E9">
        <w:rPr>
          <w:rFonts w:ascii="宋体" w:eastAsia="宋体" w:hAnsi="宋体" w:cs="宋体"/>
          <w:kern w:val="0"/>
          <w:sz w:val="24"/>
          <w14:ligatures w14:val="none"/>
        </w:rPr>
        <w:t>和止损。通过小规模试错或模拟盘演练，可以在实践中验证理论的有效性。</w:t>
      </w:r>
    </w:p>
    <w:p w14:paraId="05DFB330" w14:textId="77777777" w:rsidR="00CA29E9" w:rsidRPr="00CA29E9" w:rsidRDefault="00CA29E9" w:rsidP="00CA29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反馈优化</w:t>
      </w:r>
      <w:r w:rsidRPr="00CA29E9">
        <w:rPr>
          <w:rFonts w:ascii="宋体" w:eastAsia="宋体" w:hAnsi="宋体" w:cs="宋体"/>
          <w:kern w:val="0"/>
          <w:sz w:val="24"/>
          <w14:ligatures w14:val="none"/>
        </w:rPr>
        <w:t>：实时监控实践结果，将其与预期对比，获取正反两方面的反馈。当某次决策成功时，分析是运气使然还是理论有效；当出现偏差或失败时，更要深究原因，是理论局限、信息不足还是心理因素干扰。比如发现自己多次在高点接盘，则需反思行为偏差；若投资组合波动超出预期，则查看风险模型假设。通过反馈，找出需要改进的环节。</w:t>
      </w:r>
    </w:p>
    <w:p w14:paraId="71E9F1D4" w14:textId="77777777" w:rsidR="00CA29E9" w:rsidRPr="00CA29E9" w:rsidRDefault="00CA29E9" w:rsidP="00CA29E9">
      <w:pPr>
        <w:widowControl/>
        <w:numPr>
          <w:ilvl w:val="0"/>
          <w:numId w:val="16"/>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自适应进化</w:t>
      </w:r>
      <w:r w:rsidRPr="00CA29E9">
        <w:rPr>
          <w:rFonts w:ascii="宋体" w:eastAsia="宋体" w:hAnsi="宋体" w:cs="宋体"/>
          <w:kern w:val="0"/>
          <w:sz w:val="24"/>
          <w14:ligatures w14:val="none"/>
        </w:rPr>
        <w:t>：根据反馈结果，对知识和策略进行更新调整。这可能意味着修正或丰富原有理论框架（比如认识到某市场异象长期存在，则在EMH框架外增加因子投资策略），也可能意味着改进投资流程（例如加入决策前冷静期以对抗情绪）。自适应进化要求投资者始终保持学习心态，环境变化时及时调整，避免固守成见。在长期循环中，个人的投资体系会日趋完善，对不同情境的适应力增强。</w:t>
      </w:r>
    </w:p>
    <w:p w14:paraId="36EF5777"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通过以上闭环，金融学知识地图不再是静态的教科书框架，而成为指导投资者不断提升实战能力的</w:t>
      </w:r>
      <w:r w:rsidRPr="00CA29E9">
        <w:rPr>
          <w:rFonts w:ascii="宋体" w:eastAsia="宋体" w:hAnsi="宋体" w:cs="宋体"/>
          <w:b/>
          <w:bCs/>
          <w:kern w:val="0"/>
          <w:sz w:val="24"/>
          <w14:ligatures w14:val="none"/>
        </w:rPr>
        <w:t>动态系统</w:t>
      </w:r>
      <w:r w:rsidRPr="00CA29E9">
        <w:rPr>
          <w:rFonts w:ascii="宋体" w:eastAsia="宋体" w:hAnsi="宋体" w:cs="宋体"/>
          <w:kern w:val="0"/>
          <w:sz w:val="24"/>
          <w14:ligatures w14:val="none"/>
        </w:rPr>
        <w:t>。最终目标是实现理论与实践的融合：用理论指导实践，用实践检验并发展理论，在循环往复中成长为成熟的投资者。</w:t>
      </w:r>
    </w:p>
    <w:p w14:paraId="16FB370A"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6. 实践工具与操作指南输出</w:t>
      </w:r>
    </w:p>
    <w:p w14:paraId="3E7B470F"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理论的掌握最终需落实为切实可行的工具和方法。基于上述知识体系，可设计以下实践工具和指南，辅助投资者在日常操作中应用金融学原理：</w:t>
      </w:r>
    </w:p>
    <w:p w14:paraId="1A61EEC8" w14:textId="77777777" w:rsidR="00CA29E9" w:rsidRPr="00CA29E9" w:rsidRDefault="00CA29E9" w:rsidP="00CA29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价值投资评分表</w:t>
      </w:r>
      <w:r w:rsidRPr="00CA29E9">
        <w:rPr>
          <w:rFonts w:ascii="宋体" w:eastAsia="宋体" w:hAnsi="宋体" w:cs="宋体"/>
          <w:kern w:val="0"/>
          <w:sz w:val="24"/>
          <w14:ligatures w14:val="none"/>
        </w:rPr>
        <w:t xml:space="preserve">：一份评估个股投资价值的量化/定性打分表，用于筛选安全边际充足的投资标的。评分表可包括以下要素：1) </w:t>
      </w:r>
      <w:r w:rsidRPr="00CA29E9">
        <w:rPr>
          <w:rFonts w:ascii="宋体" w:eastAsia="宋体" w:hAnsi="宋体" w:cs="宋体"/>
          <w:b/>
          <w:bCs/>
          <w:kern w:val="0"/>
          <w:sz w:val="24"/>
          <w14:ligatures w14:val="none"/>
        </w:rPr>
        <w:t>财务健康</w:t>
      </w:r>
      <w:r w:rsidRPr="00CA29E9">
        <w:rPr>
          <w:rFonts w:ascii="宋体" w:eastAsia="宋体" w:hAnsi="宋体" w:cs="宋体"/>
          <w:kern w:val="0"/>
          <w:sz w:val="24"/>
          <w14:ligatures w14:val="none"/>
        </w:rPr>
        <w:t xml:space="preserve">（如利润增长、负债率、现金流）; 2) </w:t>
      </w:r>
      <w:r w:rsidRPr="00CA29E9">
        <w:rPr>
          <w:rFonts w:ascii="宋体" w:eastAsia="宋体" w:hAnsi="宋体" w:cs="宋体"/>
          <w:b/>
          <w:bCs/>
          <w:kern w:val="0"/>
          <w:sz w:val="24"/>
          <w14:ligatures w14:val="none"/>
        </w:rPr>
        <w:t>估值水平</w:t>
      </w:r>
      <w:r w:rsidRPr="00CA29E9">
        <w:rPr>
          <w:rFonts w:ascii="宋体" w:eastAsia="宋体" w:hAnsi="宋体" w:cs="宋体"/>
          <w:kern w:val="0"/>
          <w:sz w:val="24"/>
          <w14:ligatures w14:val="none"/>
        </w:rPr>
        <w:t>（市盈率、</w:t>
      </w:r>
      <w:proofErr w:type="gramStart"/>
      <w:r w:rsidRPr="00CA29E9">
        <w:rPr>
          <w:rFonts w:ascii="宋体" w:eastAsia="宋体" w:hAnsi="宋体" w:cs="宋体"/>
          <w:kern w:val="0"/>
          <w:sz w:val="24"/>
          <w14:ligatures w14:val="none"/>
        </w:rPr>
        <w:t>市净率</w:t>
      </w:r>
      <w:proofErr w:type="gramEnd"/>
      <w:r w:rsidRPr="00CA29E9">
        <w:rPr>
          <w:rFonts w:ascii="宋体" w:eastAsia="宋体" w:hAnsi="宋体" w:cs="宋体"/>
          <w:kern w:val="0"/>
          <w:sz w:val="24"/>
          <w14:ligatures w14:val="none"/>
        </w:rPr>
        <w:t xml:space="preserve">相对历史和同行的分位）；3) </w:t>
      </w:r>
      <w:r w:rsidRPr="00CA29E9">
        <w:rPr>
          <w:rFonts w:ascii="宋体" w:eastAsia="宋体" w:hAnsi="宋体" w:cs="宋体"/>
          <w:b/>
          <w:bCs/>
          <w:kern w:val="0"/>
          <w:sz w:val="24"/>
          <w14:ligatures w14:val="none"/>
        </w:rPr>
        <w:t>竞争优势</w:t>
      </w:r>
      <w:r w:rsidRPr="00CA29E9">
        <w:rPr>
          <w:rFonts w:ascii="宋体" w:eastAsia="宋体" w:hAnsi="宋体" w:cs="宋体"/>
          <w:kern w:val="0"/>
          <w:sz w:val="24"/>
          <w14:ligatures w14:val="none"/>
        </w:rPr>
        <w:t xml:space="preserve">（经济护城河、品牌、网络效应评分）；4) </w:t>
      </w:r>
      <w:r w:rsidRPr="00CA29E9">
        <w:rPr>
          <w:rFonts w:ascii="宋体" w:eastAsia="宋体" w:hAnsi="宋体" w:cs="宋体"/>
          <w:b/>
          <w:bCs/>
          <w:kern w:val="0"/>
          <w:sz w:val="24"/>
          <w14:ligatures w14:val="none"/>
        </w:rPr>
        <w:t>管理层质地</w:t>
      </w:r>
      <w:r w:rsidRPr="00CA29E9">
        <w:rPr>
          <w:rFonts w:ascii="宋体" w:eastAsia="宋体" w:hAnsi="宋体" w:cs="宋体"/>
          <w:kern w:val="0"/>
          <w:sz w:val="24"/>
          <w14:ligatures w14:val="none"/>
        </w:rPr>
        <w:t xml:space="preserve">（诚信度、资本配置能力）；5) </w:t>
      </w:r>
      <w:r w:rsidRPr="00CA29E9">
        <w:rPr>
          <w:rFonts w:ascii="宋体" w:eastAsia="宋体" w:hAnsi="宋体" w:cs="宋体"/>
          <w:b/>
          <w:bCs/>
          <w:kern w:val="0"/>
          <w:sz w:val="24"/>
          <w14:ligatures w14:val="none"/>
        </w:rPr>
        <w:t>安全边际</w:t>
      </w:r>
      <w:r w:rsidRPr="00CA29E9">
        <w:rPr>
          <w:rFonts w:ascii="宋体" w:eastAsia="宋体" w:hAnsi="宋体" w:cs="宋体"/>
          <w:kern w:val="0"/>
          <w:sz w:val="24"/>
          <w14:ligatures w14:val="none"/>
        </w:rPr>
        <w:t>（内在价值估算与当前股价折价幅度）。每项按照预设权重评分，总分高者列入候选投资清单。这种</w:t>
      </w:r>
      <w:proofErr w:type="gramStart"/>
      <w:r w:rsidRPr="00CA29E9">
        <w:rPr>
          <w:rFonts w:ascii="宋体" w:eastAsia="宋体" w:hAnsi="宋体" w:cs="宋体"/>
          <w:kern w:val="0"/>
          <w:sz w:val="24"/>
          <w14:ligatures w14:val="none"/>
        </w:rPr>
        <w:t>评分卡</w:t>
      </w:r>
      <w:proofErr w:type="gramEnd"/>
      <w:r w:rsidRPr="00CA29E9">
        <w:rPr>
          <w:rFonts w:ascii="宋体" w:eastAsia="宋体" w:hAnsi="宋体" w:cs="宋体"/>
          <w:kern w:val="0"/>
          <w:sz w:val="24"/>
          <w14:ligatures w14:val="none"/>
        </w:rPr>
        <w:t>强制投资者从多个维度审视公司质地，避免只凭感觉或单一指标决策。同时结合定量和定性，可以减少情绪干扰。例如，当市场恐慌时，评分表上的基本面分数不会骤降，提醒投资者坚持逻辑，敢于在评分优秀但价格下跌的股票上加仓。</w:t>
      </w:r>
    </w:p>
    <w:p w14:paraId="3A122A73" w14:textId="77777777" w:rsidR="00CA29E9" w:rsidRPr="00CA29E9" w:rsidRDefault="00CA29E9" w:rsidP="00CA29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市场趋势判断工具</w:t>
      </w:r>
      <w:r w:rsidRPr="00CA29E9">
        <w:rPr>
          <w:rFonts w:ascii="宋体" w:eastAsia="宋体" w:hAnsi="宋体" w:cs="宋体"/>
          <w:kern w:val="0"/>
          <w:sz w:val="24"/>
          <w14:ligatures w14:val="none"/>
        </w:rPr>
        <w:t>：帮助研判宏观经济和市场走势的综合分析框架。该工具相当于投资“仪表盘”，涵盖</w:t>
      </w:r>
      <w:r w:rsidRPr="00CA29E9">
        <w:rPr>
          <w:rFonts w:ascii="宋体" w:eastAsia="宋体" w:hAnsi="宋体" w:cs="宋体"/>
          <w:b/>
          <w:bCs/>
          <w:kern w:val="0"/>
          <w:sz w:val="24"/>
          <w14:ligatures w14:val="none"/>
        </w:rPr>
        <w:t>基本面、情绪面、技术面</w:t>
      </w:r>
      <w:r w:rsidRPr="00CA29E9">
        <w:rPr>
          <w:rFonts w:ascii="宋体" w:eastAsia="宋体" w:hAnsi="宋体" w:cs="宋体"/>
          <w:kern w:val="0"/>
          <w:sz w:val="24"/>
          <w14:ligatures w14:val="none"/>
        </w:rPr>
        <w:t>三方面指标。基本面上，可跟踪利率水平、收益率曲线形态、就业和通胀数据、企业盈利预期等，以判断经济周期阶段和政策环境；情绪面上，关注VIX波动率指数、投资者情绪调查、多空比、成交量异常等，识别市场过热或恐慌信号；技术面上，参考主要股指的趋势（移动均线信号）、成交量配合以及板块轮动现象。通过将这些因素综合打分或评级，市场趋势工具可以给出当前市场处于牛市、熊市或震荡市的概率评估，辅助投资者进行</w:t>
      </w:r>
      <w:proofErr w:type="gramStart"/>
      <w:r w:rsidRPr="00CA29E9">
        <w:rPr>
          <w:rFonts w:ascii="宋体" w:eastAsia="宋体" w:hAnsi="宋体" w:cs="宋体"/>
          <w:kern w:val="0"/>
          <w:sz w:val="24"/>
          <w14:ligatures w14:val="none"/>
        </w:rPr>
        <w:t>仓位</w:t>
      </w:r>
      <w:proofErr w:type="gramEnd"/>
      <w:r w:rsidRPr="00CA29E9">
        <w:rPr>
          <w:rFonts w:ascii="宋体" w:eastAsia="宋体" w:hAnsi="宋体" w:cs="宋体"/>
          <w:kern w:val="0"/>
          <w:sz w:val="24"/>
          <w14:ligatures w14:val="none"/>
        </w:rPr>
        <w:t>管理和策略调整。例如，当指标显示情绪极度乐观且估值偏高时，工具可能发出风险提示，建议降低</w:t>
      </w:r>
      <w:proofErr w:type="gramStart"/>
      <w:r w:rsidRPr="00CA29E9">
        <w:rPr>
          <w:rFonts w:ascii="宋体" w:eastAsia="宋体" w:hAnsi="宋体" w:cs="宋体"/>
          <w:kern w:val="0"/>
          <w:sz w:val="24"/>
          <w14:ligatures w14:val="none"/>
        </w:rPr>
        <w:t>仓位</w:t>
      </w:r>
      <w:proofErr w:type="gramEnd"/>
      <w:r w:rsidRPr="00CA29E9">
        <w:rPr>
          <w:rFonts w:ascii="宋体" w:eastAsia="宋体" w:hAnsi="宋体" w:cs="宋体"/>
          <w:kern w:val="0"/>
          <w:sz w:val="24"/>
          <w14:ligatures w14:val="none"/>
        </w:rPr>
        <w:t>或对冲；当指标显示</w:t>
      </w:r>
      <w:r w:rsidRPr="00CA29E9">
        <w:rPr>
          <w:rFonts w:ascii="宋体" w:eastAsia="宋体" w:hAnsi="宋体" w:cs="宋体"/>
          <w:kern w:val="0"/>
          <w:sz w:val="24"/>
          <w14:ligatures w14:val="none"/>
        </w:rPr>
        <w:lastRenderedPageBreak/>
        <w:t>极度恐慌且基本面尚可时，则提示逢低布局。值得注意的是，此工具不是</w:t>
      </w:r>
      <w:proofErr w:type="gramStart"/>
      <w:r w:rsidRPr="00CA29E9">
        <w:rPr>
          <w:rFonts w:ascii="宋体" w:eastAsia="宋体" w:hAnsi="宋体" w:cs="宋体"/>
          <w:kern w:val="0"/>
          <w:sz w:val="24"/>
          <w14:ligatures w14:val="none"/>
        </w:rPr>
        <w:t>用来短期</w:t>
      </w:r>
      <w:proofErr w:type="gramEnd"/>
      <w:r w:rsidRPr="00CA29E9">
        <w:rPr>
          <w:rFonts w:ascii="宋体" w:eastAsia="宋体" w:hAnsi="宋体" w:cs="宋体"/>
          <w:kern w:val="0"/>
          <w:sz w:val="24"/>
          <w14:ligatures w14:val="none"/>
        </w:rPr>
        <w:t>择时的精确预测，而是帮助形成对风险/回报态势的</w:t>
      </w:r>
      <w:r w:rsidRPr="00CA29E9">
        <w:rPr>
          <w:rFonts w:ascii="宋体" w:eastAsia="宋体" w:hAnsi="宋体" w:cs="宋体"/>
          <w:b/>
          <w:bCs/>
          <w:kern w:val="0"/>
          <w:sz w:val="24"/>
          <w14:ligatures w14:val="none"/>
        </w:rPr>
        <w:t>全景式判断</w:t>
      </w:r>
      <w:r w:rsidRPr="00CA29E9">
        <w:rPr>
          <w:rFonts w:ascii="宋体" w:eastAsia="宋体" w:hAnsi="宋体" w:cs="宋体"/>
          <w:kern w:val="0"/>
          <w:sz w:val="24"/>
          <w14:ligatures w14:val="none"/>
        </w:rPr>
        <w:t>，从而做出更理性的决策。</w:t>
      </w:r>
    </w:p>
    <w:p w14:paraId="65F355AB" w14:textId="77777777" w:rsidR="00CA29E9" w:rsidRPr="00CA29E9" w:rsidRDefault="00CA29E9" w:rsidP="00CA29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行为偏差识别图谱</w:t>
      </w:r>
      <w:r w:rsidRPr="00CA29E9">
        <w:rPr>
          <w:rFonts w:ascii="宋体" w:eastAsia="宋体" w:hAnsi="宋体" w:cs="宋体"/>
          <w:kern w:val="0"/>
          <w:sz w:val="24"/>
          <w14:ligatures w14:val="none"/>
        </w:rPr>
        <w:t>：提升投资者自我认知与修正决策偏差的指南。该图谱列举常见的投资行为偏差，并提供识别和应对的方法。例如：列出</w:t>
      </w:r>
      <w:r w:rsidRPr="00CA29E9">
        <w:rPr>
          <w:rFonts w:ascii="宋体" w:eastAsia="宋体" w:hAnsi="宋体" w:cs="宋体"/>
          <w:b/>
          <w:bCs/>
          <w:kern w:val="0"/>
          <w:sz w:val="24"/>
          <w14:ligatures w14:val="none"/>
        </w:rPr>
        <w:t>过度自信</w:t>
      </w:r>
      <w:r w:rsidRPr="00CA29E9">
        <w:rPr>
          <w:rFonts w:ascii="宋体" w:eastAsia="宋体" w:hAnsi="宋体" w:cs="宋体"/>
          <w:kern w:val="0"/>
          <w:sz w:val="24"/>
          <w14:ligatures w14:val="none"/>
        </w:rPr>
        <w:t>偏差的表现（频繁交易、过度集中单一股票）、可能造成的损失，以及建议对策（回顾长期业绩、听取反面意见）；</w:t>
      </w:r>
      <w:r w:rsidRPr="00CA29E9">
        <w:rPr>
          <w:rFonts w:ascii="宋体" w:eastAsia="宋体" w:hAnsi="宋体" w:cs="宋体"/>
          <w:b/>
          <w:bCs/>
          <w:kern w:val="0"/>
          <w:sz w:val="24"/>
          <w14:ligatures w14:val="none"/>
        </w:rPr>
        <w:t>锚定效应</w:t>
      </w:r>
      <w:r w:rsidRPr="00CA29E9">
        <w:rPr>
          <w:rFonts w:ascii="宋体" w:eastAsia="宋体" w:hAnsi="宋体" w:cs="宋体"/>
          <w:kern w:val="0"/>
          <w:sz w:val="24"/>
          <w14:ligatures w14:val="none"/>
        </w:rPr>
        <w:t>的表现（过分依据买入价判断卖出时机），对策（关注客观指标而非沉没成本）；</w:t>
      </w:r>
      <w:r w:rsidRPr="00CA29E9">
        <w:rPr>
          <w:rFonts w:ascii="宋体" w:eastAsia="宋体" w:hAnsi="宋体" w:cs="宋体"/>
          <w:b/>
          <w:bCs/>
          <w:kern w:val="0"/>
          <w:sz w:val="24"/>
          <w14:ligatures w14:val="none"/>
        </w:rPr>
        <w:t>损失厌恶</w:t>
      </w:r>
      <w:r w:rsidRPr="00CA29E9">
        <w:rPr>
          <w:rFonts w:ascii="宋体" w:eastAsia="宋体" w:hAnsi="宋体" w:cs="宋体"/>
          <w:kern w:val="0"/>
          <w:sz w:val="24"/>
          <w14:ligatures w14:val="none"/>
        </w:rPr>
        <w:t>的表现（不愿止损、小亏拖成大亏），对策（设定客观止损位，或分批处理降低痛苦）。通过图谱，投资者可以对照自己的行为找到对应偏差，并练习使用对策加以克服。例如，下图展示了行为金融学中“损失厌恶”的价值函数：曲线在损失区间比在收益区间陡峭，表明相同程度的损失带来的痛苦远大于同等收益带来的快感 (</w:t>
      </w:r>
      <w:hyperlink r:id="rId59" w:anchor=":~:text=Based%20on%20results%20from%20controlled,actual%20%2084%20of%20people" w:history="1">
        <w:r w:rsidRPr="00CA29E9">
          <w:rPr>
            <w:rFonts w:ascii="宋体" w:eastAsia="宋体" w:hAnsi="宋体" w:cs="宋体"/>
            <w:color w:val="0000FF"/>
            <w:kern w:val="0"/>
            <w:sz w:val="24"/>
            <w:u w:val="single"/>
            <w14:ligatures w14:val="none"/>
          </w:rPr>
          <w:t>Prospect theory - Wikipedia</w:t>
        </w:r>
      </w:hyperlink>
      <w:r w:rsidRPr="00CA29E9">
        <w:rPr>
          <w:rFonts w:ascii="宋体" w:eastAsia="宋体" w:hAnsi="宋体" w:cs="宋体"/>
          <w:kern w:val="0"/>
          <w:sz w:val="24"/>
          <w14:ligatures w14:val="none"/>
        </w:rPr>
        <w:t>)。这解释了为何投资者常常因害怕止损兑现亏损而死抱不放，或者需要在预期收益中要求溢价以弥补潜在损失的不适。 (</w:t>
      </w:r>
      <w:hyperlink r:id="rId60" w:history="1">
        <w:r w:rsidRPr="00CA29E9">
          <w:rPr>
            <w:rFonts w:ascii="宋体" w:eastAsia="宋体" w:hAnsi="宋体" w:cs="宋体"/>
            <w:color w:val="0000FF"/>
            <w:kern w:val="0"/>
            <w:sz w:val="24"/>
            <w:u w:val="single"/>
            <w14:ligatures w14:val="none"/>
          </w:rPr>
          <w:t>File:Loss Aversion.png - Wikimedia Commons</w:t>
        </w:r>
      </w:hyperlink>
      <w:r w:rsidRPr="00CA29E9">
        <w:rPr>
          <w:rFonts w:ascii="宋体" w:eastAsia="宋体" w:hAnsi="宋体" w:cs="宋体"/>
          <w:kern w:val="0"/>
          <w:sz w:val="24"/>
          <w14:ligatures w14:val="none"/>
        </w:rPr>
        <w:t>)通过认识这一点，投资者可在决策时提醒自己不要因为厌恶亏损而错失及时止损或再次布局的良机。总之，行为偏差图谱是一个</w:t>
      </w:r>
      <w:r w:rsidRPr="00CA29E9">
        <w:rPr>
          <w:rFonts w:ascii="宋体" w:eastAsia="宋体" w:hAnsi="宋体" w:cs="宋体"/>
          <w:b/>
          <w:bCs/>
          <w:kern w:val="0"/>
          <w:sz w:val="24"/>
          <w14:ligatures w14:val="none"/>
        </w:rPr>
        <w:t>自我纠偏工具</w:t>
      </w:r>
      <w:r w:rsidRPr="00CA29E9">
        <w:rPr>
          <w:rFonts w:ascii="宋体" w:eastAsia="宋体" w:hAnsi="宋体" w:cs="宋体"/>
          <w:kern w:val="0"/>
          <w:sz w:val="24"/>
          <w14:ligatures w14:val="none"/>
        </w:rPr>
        <w:t>，帮助投资者在决策时进行“心理校准”，避免一再掉入相同的思维陷阱。</w:t>
      </w:r>
    </w:p>
    <w:p w14:paraId="432A5D6F" w14:textId="77777777" w:rsidR="00CA29E9" w:rsidRPr="00CA29E9" w:rsidRDefault="00CA29E9" w:rsidP="00CA29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投资决策流程检查清单</w:t>
      </w:r>
      <w:r w:rsidRPr="00CA29E9">
        <w:rPr>
          <w:rFonts w:ascii="宋体" w:eastAsia="宋体" w:hAnsi="宋体" w:cs="宋体"/>
          <w:kern w:val="0"/>
          <w:sz w:val="24"/>
          <w14:ligatures w14:val="none"/>
        </w:rPr>
        <w:t>：将投资决策分解为若干关键步骤的清单，确保每次行动前都进行周全考虑。典型检查项包括：1）是否在充分调研和分析的基础上，符合自己的投资策略？2）风险/收益比是否合理，有无更优替代方案？3）此时买入/卖出的理由是否主要基于数据和逻辑，而</w:t>
      </w:r>
      <w:proofErr w:type="gramStart"/>
      <w:r w:rsidRPr="00CA29E9">
        <w:rPr>
          <w:rFonts w:ascii="宋体" w:eastAsia="宋体" w:hAnsi="宋体" w:cs="宋体"/>
          <w:kern w:val="0"/>
          <w:sz w:val="24"/>
          <w14:ligatures w14:val="none"/>
        </w:rPr>
        <w:t>非情绪</w:t>
      </w:r>
      <w:proofErr w:type="gramEnd"/>
      <w:r w:rsidRPr="00CA29E9">
        <w:rPr>
          <w:rFonts w:ascii="宋体" w:eastAsia="宋体" w:hAnsi="宋体" w:cs="宋体"/>
          <w:kern w:val="0"/>
          <w:sz w:val="24"/>
          <w14:ligatures w14:val="none"/>
        </w:rPr>
        <w:t>冲动？4）</w:t>
      </w:r>
      <w:proofErr w:type="gramStart"/>
      <w:r w:rsidRPr="00CA29E9">
        <w:rPr>
          <w:rFonts w:ascii="宋体" w:eastAsia="宋体" w:hAnsi="宋体" w:cs="宋体"/>
          <w:kern w:val="0"/>
          <w:sz w:val="24"/>
          <w14:ligatures w14:val="none"/>
        </w:rPr>
        <w:t>仓位</w:t>
      </w:r>
      <w:proofErr w:type="gramEnd"/>
      <w:r w:rsidRPr="00CA29E9">
        <w:rPr>
          <w:rFonts w:ascii="宋体" w:eastAsia="宋体" w:hAnsi="宋体" w:cs="宋体"/>
          <w:kern w:val="0"/>
          <w:sz w:val="24"/>
          <w14:ligatures w14:val="none"/>
        </w:rPr>
        <w:t>和组合多元化是否考虑？5）最坏情况下损失如何，自己是否承受？6）交易计划（止盈止损、持有期限假设等）是否明确？通过在执行前逐项打勾，清单可以强制投资者慢下决策节奏，不遗漏重要</w:t>
      </w:r>
      <w:proofErr w:type="gramStart"/>
      <w:r w:rsidRPr="00CA29E9">
        <w:rPr>
          <w:rFonts w:ascii="宋体" w:eastAsia="宋体" w:hAnsi="宋体" w:cs="宋体"/>
          <w:kern w:val="0"/>
          <w:sz w:val="24"/>
          <w14:ligatures w14:val="none"/>
        </w:rPr>
        <w:t>考量</w:t>
      </w:r>
      <w:proofErr w:type="gramEnd"/>
      <w:r w:rsidRPr="00CA29E9">
        <w:rPr>
          <w:rFonts w:ascii="宋体" w:eastAsia="宋体" w:hAnsi="宋体" w:cs="宋体"/>
          <w:kern w:val="0"/>
          <w:sz w:val="24"/>
          <w14:ligatures w14:val="none"/>
        </w:rPr>
        <w:t>。这类似于飞行员起飞前的核对表，哪怕经验丰富也按部就班检查，从而显著降低犯下低级错误的概率。清单还可在事后附上结果和偏差记录，作为学习反馈之用。</w:t>
      </w:r>
    </w:p>
    <w:p w14:paraId="4B4F3CC5" w14:textId="77777777" w:rsidR="00CA29E9" w:rsidRPr="00CA29E9" w:rsidRDefault="00CA29E9" w:rsidP="00CA29E9">
      <w:pPr>
        <w:widowControl/>
        <w:numPr>
          <w:ilvl w:val="0"/>
          <w:numId w:val="17"/>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资产配置与再平衡规则</w:t>
      </w:r>
      <w:r w:rsidRPr="00CA29E9">
        <w:rPr>
          <w:rFonts w:ascii="宋体" w:eastAsia="宋体" w:hAnsi="宋体" w:cs="宋体"/>
          <w:kern w:val="0"/>
          <w:sz w:val="24"/>
          <w14:ligatures w14:val="none"/>
        </w:rPr>
        <w:t>：针对组合管理设计的操作指南，包括大类资产配置比例和定期再平衡机制。根据投资者的风险偏好和长期目标，制定股票、债券、现金等类别的目标权重区间，以及不同市场环境下的调整策略（例如在低估值高预期回报时可适度超配股票，在泡沫迹象增多时降低权益敞口）。同时，设定</w:t>
      </w:r>
      <w:r w:rsidRPr="00CA29E9">
        <w:rPr>
          <w:rFonts w:ascii="宋体" w:eastAsia="宋体" w:hAnsi="宋体" w:cs="宋体"/>
          <w:b/>
          <w:bCs/>
          <w:kern w:val="0"/>
          <w:sz w:val="24"/>
          <w14:ligatures w14:val="none"/>
        </w:rPr>
        <w:t>再平衡触发条件</w:t>
      </w:r>
      <w:r w:rsidRPr="00CA29E9">
        <w:rPr>
          <w:rFonts w:ascii="宋体" w:eastAsia="宋体" w:hAnsi="宋体" w:cs="宋体"/>
          <w:kern w:val="0"/>
          <w:sz w:val="24"/>
          <w14:ligatures w14:val="none"/>
        </w:rPr>
        <w:t>：如任</w:t>
      </w:r>
      <w:proofErr w:type="gramStart"/>
      <w:r w:rsidRPr="00CA29E9">
        <w:rPr>
          <w:rFonts w:ascii="宋体" w:eastAsia="宋体" w:hAnsi="宋体" w:cs="宋体"/>
          <w:kern w:val="0"/>
          <w:sz w:val="24"/>
          <w14:ligatures w14:val="none"/>
        </w:rPr>
        <w:t>一</w:t>
      </w:r>
      <w:proofErr w:type="gramEnd"/>
      <w:r w:rsidRPr="00CA29E9">
        <w:rPr>
          <w:rFonts w:ascii="宋体" w:eastAsia="宋体" w:hAnsi="宋体" w:cs="宋体"/>
          <w:kern w:val="0"/>
          <w:sz w:val="24"/>
          <w14:ligatures w14:val="none"/>
        </w:rPr>
        <w:t>资产权重偏离目标超过一定阈值就执行再平衡，或者每半年/年度定期再平衡一次。这套规则基于现代投资组合理论，旨在通过纪律性的调整实现“低买高卖”：当某类资产大涨超配时卖出一部分锁定收益，跌到低于目标权重时再买入补足。 (</w:t>
      </w:r>
      <w:hyperlink r:id="rId61" w:anchor=":~:text=bias%2C%20and%20familiarity%20tendencies.%20,not%20incorporating%20irrational%20emotional%20behavior" w:history="1">
        <w:r w:rsidRPr="00CA29E9">
          <w:rPr>
            <w:rFonts w:ascii="宋体" w:eastAsia="宋体" w:hAnsi="宋体" w:cs="宋体"/>
            <w:color w:val="0000FF"/>
            <w:kern w:val="0"/>
            <w:sz w:val="24"/>
            <w:u w:val="single"/>
            <w14:ligatures w14:val="none"/>
          </w:rPr>
          <w:t>Behavioral Finance: Biases, Emotions and Financial Behavior</w:t>
        </w:r>
      </w:hyperlink>
      <w:r w:rsidRPr="00CA29E9">
        <w:rPr>
          <w:rFonts w:ascii="宋体" w:eastAsia="宋体" w:hAnsi="宋体" w:cs="宋体"/>
          <w:kern w:val="0"/>
          <w:sz w:val="24"/>
          <w14:ligatures w14:val="none"/>
        </w:rPr>
        <w:t>)这样可以防止投资者因情绪而追涨杀跌，也维护了组合的风险特征稳定。有了明确的规则，投资者在市场剧烈波动时可以有所遵循，不至于完全陷于主观判断。</w:t>
      </w:r>
    </w:p>
    <w:p w14:paraId="39DB3C6A"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以上工具和指南只是示例，还可以依据个人需要开发更多定制化的模板和流程。例如，有人可能设计“宏观新闻解读流程”来避免过度反应于头条新闻，</w:t>
      </w:r>
      <w:r w:rsidRPr="00CA29E9">
        <w:rPr>
          <w:rFonts w:ascii="宋体" w:eastAsia="宋体" w:hAnsi="宋体" w:cs="宋体"/>
          <w:kern w:val="0"/>
          <w:sz w:val="24"/>
          <w14:ligatures w14:val="none"/>
        </w:rPr>
        <w:lastRenderedPageBreak/>
        <w:t>或者“投资日记模板”用于记录每笔交易的理由和心得。关键在于，这些工具将复杂的金融知识转化为</w:t>
      </w:r>
      <w:r w:rsidRPr="00CA29E9">
        <w:rPr>
          <w:rFonts w:ascii="宋体" w:eastAsia="宋体" w:hAnsi="宋体" w:cs="宋体"/>
          <w:b/>
          <w:bCs/>
          <w:kern w:val="0"/>
          <w:sz w:val="24"/>
          <w14:ligatures w14:val="none"/>
        </w:rPr>
        <w:t>具体可执行的步骤</w:t>
      </w:r>
      <w:r w:rsidRPr="00CA29E9">
        <w:rPr>
          <w:rFonts w:ascii="宋体" w:eastAsia="宋体" w:hAnsi="宋体" w:cs="宋体"/>
          <w:kern w:val="0"/>
          <w:sz w:val="24"/>
          <w14:ligatures w14:val="none"/>
        </w:rPr>
        <w:t>，帮助投资者克服人性的弱点，在真实环境中更有效地</w:t>
      </w:r>
      <w:proofErr w:type="gramStart"/>
      <w:r w:rsidRPr="00CA29E9">
        <w:rPr>
          <w:rFonts w:ascii="宋体" w:eastAsia="宋体" w:hAnsi="宋体" w:cs="宋体"/>
          <w:kern w:val="0"/>
          <w:sz w:val="24"/>
          <w14:ligatures w14:val="none"/>
        </w:rPr>
        <w:t>践行</w:t>
      </w:r>
      <w:proofErr w:type="gramEnd"/>
      <w:r w:rsidRPr="00CA29E9">
        <w:rPr>
          <w:rFonts w:ascii="宋体" w:eastAsia="宋体" w:hAnsi="宋体" w:cs="宋体"/>
          <w:kern w:val="0"/>
          <w:sz w:val="24"/>
          <w14:ligatures w14:val="none"/>
        </w:rPr>
        <w:t>所学理论。</w:t>
      </w:r>
    </w:p>
    <w:p w14:paraId="2AA98919" w14:textId="77777777" w:rsidR="00CA29E9" w:rsidRPr="00CA29E9" w:rsidRDefault="00CA29E9" w:rsidP="00CA29E9">
      <w:pPr>
        <w:widowControl/>
        <w:spacing w:before="100" w:beforeAutospacing="1" w:after="100" w:afterAutospacing="1" w:line="240" w:lineRule="auto"/>
        <w:outlineLvl w:val="1"/>
        <w:rPr>
          <w:rFonts w:ascii="宋体" w:eastAsia="宋体" w:hAnsi="宋体" w:cs="宋体"/>
          <w:b/>
          <w:bCs/>
          <w:kern w:val="0"/>
          <w:sz w:val="36"/>
          <w:szCs w:val="36"/>
          <w14:ligatures w14:val="none"/>
        </w:rPr>
      </w:pPr>
      <w:r w:rsidRPr="00CA29E9">
        <w:rPr>
          <w:rFonts w:ascii="宋体" w:eastAsia="宋体" w:hAnsi="宋体" w:cs="宋体"/>
          <w:b/>
          <w:bCs/>
          <w:kern w:val="0"/>
          <w:sz w:val="36"/>
          <w:szCs w:val="36"/>
          <w14:ligatures w14:val="none"/>
        </w:rPr>
        <w:t>7. 案例分析与最佳实践</w:t>
      </w:r>
    </w:p>
    <w:p w14:paraId="44FD4EB6"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将理论与案例相结合，有助于我们更好地理解各类理念和方法的实际效果与局限。以下选取三大经典案例进行对比分析，提炼成功经验和失败教训：</w:t>
      </w:r>
    </w:p>
    <w:p w14:paraId="44C172A9" w14:textId="77777777" w:rsidR="00CA29E9" w:rsidRPr="00CA29E9" w:rsidRDefault="00CA29E9" w:rsidP="00CA29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巴菲特的长期投资</w:t>
      </w:r>
      <w:r w:rsidRPr="00CA29E9">
        <w:rPr>
          <w:rFonts w:ascii="宋体" w:eastAsia="宋体" w:hAnsi="宋体" w:cs="宋体"/>
          <w:kern w:val="0"/>
          <w:sz w:val="24"/>
          <w14:ligatures w14:val="none"/>
        </w:rPr>
        <w:t>：沃伦·巴菲特的投资实践是价值投资最佳的代言。以他在可口可乐公司的投资为例，巴菲特于1988年股市低迷时大量买入可口可乐，之后持有数十年之久，获取了数十倍回报。这体现了价值投资“在别人恐惧时贪婪”的逆向思维和长期持有优质公司的耐心。他钟爱的公司如可口可乐、吉列、美国运通等都具有持久竞争优势和稳健现金流，这符合格雷厄姆-多德基本面分析框架。 (</w:t>
      </w:r>
      <w:hyperlink r:id="rId62" w:anchor=":~:text=Buffett%20isn%E2%80%99t%20concerned%20with%20the,%E2%80%9D" w:history="1">
        <w:r w:rsidRPr="00CA29E9">
          <w:rPr>
            <w:rFonts w:ascii="宋体" w:eastAsia="宋体" w:hAnsi="宋体" w:cs="宋体"/>
            <w:color w:val="0000FF"/>
            <w:kern w:val="0"/>
            <w:sz w:val="24"/>
            <w:u w:val="single"/>
            <w14:ligatures w14:val="none"/>
          </w:rPr>
          <w:t>Warren Buffett</w:t>
        </w:r>
        <w:proofErr w:type="gramStart"/>
        <w:r w:rsidRPr="00CA29E9">
          <w:rPr>
            <w:rFonts w:ascii="宋体" w:eastAsia="宋体" w:hAnsi="宋体" w:cs="宋体"/>
            <w:color w:val="0000FF"/>
            <w:kern w:val="0"/>
            <w:sz w:val="24"/>
            <w:u w:val="single"/>
            <w14:ligatures w14:val="none"/>
          </w:rPr>
          <w:t>’</w:t>
        </w:r>
        <w:proofErr w:type="gramEnd"/>
        <w:r w:rsidRPr="00CA29E9">
          <w:rPr>
            <w:rFonts w:ascii="宋体" w:eastAsia="宋体" w:hAnsi="宋体" w:cs="宋体"/>
            <w:color w:val="0000FF"/>
            <w:kern w:val="0"/>
            <w:sz w:val="24"/>
            <w:u w:val="single"/>
            <w14:ligatures w14:val="none"/>
          </w:rPr>
          <w:t>s Investment Strategy</w:t>
        </w:r>
      </w:hyperlink>
      <w:r w:rsidRPr="00CA29E9">
        <w:rPr>
          <w:rFonts w:ascii="宋体" w:eastAsia="宋体" w:hAnsi="宋体" w:cs="宋体"/>
          <w:kern w:val="0"/>
          <w:sz w:val="24"/>
          <w14:ligatures w14:val="none"/>
        </w:rPr>
        <w:t>)巴菲特的成功也得益于</w:t>
      </w:r>
      <w:r w:rsidRPr="00CA29E9">
        <w:rPr>
          <w:rFonts w:ascii="宋体" w:eastAsia="宋体" w:hAnsi="宋体" w:cs="宋体"/>
          <w:b/>
          <w:bCs/>
          <w:kern w:val="0"/>
          <w:sz w:val="24"/>
          <w14:ligatures w14:val="none"/>
        </w:rPr>
        <w:t>风险管理</w:t>
      </w:r>
      <w:r w:rsidRPr="00CA29E9">
        <w:rPr>
          <w:rFonts w:ascii="宋体" w:eastAsia="宋体" w:hAnsi="宋体" w:cs="宋体"/>
          <w:kern w:val="0"/>
          <w:sz w:val="24"/>
          <w14:ligatures w14:val="none"/>
        </w:rPr>
        <w:t>和</w:t>
      </w:r>
      <w:r w:rsidRPr="00CA29E9">
        <w:rPr>
          <w:rFonts w:ascii="宋体" w:eastAsia="宋体" w:hAnsi="宋体" w:cs="宋体"/>
          <w:b/>
          <w:bCs/>
          <w:kern w:val="0"/>
          <w:sz w:val="24"/>
          <w14:ligatures w14:val="none"/>
        </w:rPr>
        <w:t>心理素质</w:t>
      </w:r>
      <w:r w:rsidRPr="00CA29E9">
        <w:rPr>
          <w:rFonts w:ascii="宋体" w:eastAsia="宋体" w:hAnsi="宋体" w:cs="宋体"/>
          <w:kern w:val="0"/>
          <w:sz w:val="24"/>
          <w14:ligatures w14:val="none"/>
        </w:rPr>
        <w:t>：他不使用高杠杆，持有大量现金以备不时之需，在市场狂热（如互联网泡沫末期）时宁可少赚也不违背自己的价值准则。这种高度纪律性避免了大幅回撤，使其投资组合得以持续复利增长。从行为金融角度看，巴菲特很好地克服了人性的贪婪和恐惧，在别人非理性时保持理性，从而获取“行为偏差红利”。最佳实践启示：坚持基于价值的独立判断，不随波逐流；注重企业内在价值和安全边际；拥有足够耐心伴随优秀企业成长。这些原则使巴菲特在各种市场环境下都能生存并胜出，是长期投资的典范。</w:t>
      </w:r>
    </w:p>
    <w:p w14:paraId="4C588F5E" w14:textId="77777777" w:rsidR="00CA29E9" w:rsidRPr="00CA29E9" w:rsidRDefault="00CA29E9" w:rsidP="00CA29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LTCM的失败</w:t>
      </w:r>
      <w:r w:rsidRPr="00CA29E9">
        <w:rPr>
          <w:rFonts w:ascii="宋体" w:eastAsia="宋体" w:hAnsi="宋体" w:cs="宋体"/>
          <w:kern w:val="0"/>
          <w:sz w:val="24"/>
          <w14:ligatures w14:val="none"/>
        </w:rPr>
        <w:t>：长期资本管理公司(Long-Term Capital Management)是一个经典的失败案例，展示了过度自信和风险管理失控的后果。LTCM由华尔街交易员和诺贝尔经济学奖得主默顿、肖尔斯于1994年创立，运用复杂的数量模型进行债券套利交易 (</w:t>
      </w:r>
      <w:hyperlink r:id="rId63" w:anchor=":~:text=Long,prevent%20%2079%20from%20collapsing" w:history="1">
        <w:r w:rsidRPr="00CA29E9">
          <w:rPr>
            <w:rFonts w:ascii="宋体" w:eastAsia="宋体" w:hAnsi="宋体" w:cs="宋体"/>
            <w:color w:val="0000FF"/>
            <w:kern w:val="0"/>
            <w:sz w:val="24"/>
            <w:u w:val="single"/>
            <w14:ligatures w14:val="none"/>
          </w:rPr>
          <w:t>What Was Long-Term Capital Management (LTCM) and What Happened?</w:t>
        </w:r>
      </w:hyperlink>
      <w:r w:rsidRPr="00CA29E9">
        <w:rPr>
          <w:rFonts w:ascii="宋体" w:eastAsia="宋体" w:hAnsi="宋体" w:cs="宋体"/>
          <w:kern w:val="0"/>
          <w:sz w:val="24"/>
          <w14:ligatures w14:val="none"/>
        </w:rPr>
        <w:t>)。他们曾一度非常成功，</w:t>
      </w:r>
      <w:proofErr w:type="gramStart"/>
      <w:r w:rsidRPr="00CA29E9">
        <w:rPr>
          <w:rFonts w:ascii="宋体" w:eastAsia="宋体" w:hAnsi="宋体" w:cs="宋体"/>
          <w:kern w:val="0"/>
          <w:sz w:val="24"/>
          <w14:ligatures w14:val="none"/>
        </w:rPr>
        <w:t>年化收益</w:t>
      </w:r>
      <w:proofErr w:type="gramEnd"/>
      <w:r w:rsidRPr="00CA29E9">
        <w:rPr>
          <w:rFonts w:ascii="宋体" w:eastAsia="宋体" w:hAnsi="宋体" w:cs="宋体"/>
          <w:kern w:val="0"/>
          <w:sz w:val="24"/>
          <w14:ligatures w14:val="none"/>
        </w:rPr>
        <w:t>超过30%，管理着高达百倍杠杆的资产。然而，1998年俄罗斯债务违约引发全球金融市场剧烈动荡，LTCM的套利交易（押注利差收敛等）因市场流动性枯竭而大幅亏损 (</w:t>
      </w:r>
      <w:hyperlink r:id="rId64" w:anchor=":~:text=,of%20Wall%20Street%20banks%2C%20was" w:history="1">
        <w:r w:rsidRPr="00CA29E9">
          <w:rPr>
            <w:rFonts w:ascii="宋体" w:eastAsia="宋体" w:hAnsi="宋体" w:cs="宋体"/>
            <w:color w:val="0000FF"/>
            <w:kern w:val="0"/>
            <w:sz w:val="24"/>
            <w:u w:val="single"/>
            <w14:ligatures w14:val="none"/>
          </w:rPr>
          <w:t>What Was Long-Term Capital Management (LTCM) and What Happened?</w:t>
        </w:r>
      </w:hyperlink>
      <w:r w:rsidRPr="00CA29E9">
        <w:rPr>
          <w:rFonts w:ascii="宋体" w:eastAsia="宋体" w:hAnsi="宋体" w:cs="宋体"/>
          <w:kern w:val="0"/>
          <w:sz w:val="24"/>
          <w14:ligatures w14:val="none"/>
        </w:rPr>
        <w:t>)。由于杠杆极高，短短几个月公司资本几乎亏空，被迫由美联储出面组织华尔街银行救助以防系统性危机 (</w:t>
      </w:r>
      <w:hyperlink r:id="rId65" w:anchor=":~:text=losses%20mounting%20due%20to%20Russia%27s,liquidate%20in%20an%20orderly%20manner" w:history="1">
        <w:r w:rsidRPr="00CA29E9">
          <w:rPr>
            <w:rFonts w:ascii="宋体" w:eastAsia="宋体" w:hAnsi="宋体" w:cs="宋体"/>
            <w:color w:val="0000FF"/>
            <w:kern w:val="0"/>
            <w:sz w:val="24"/>
            <w:u w:val="single"/>
            <w14:ligatures w14:val="none"/>
          </w:rPr>
          <w:t>What Was Long-Term Capital Management (LTCM) and What Happened?</w:t>
        </w:r>
      </w:hyperlink>
      <w:r w:rsidRPr="00CA29E9">
        <w:rPr>
          <w:rFonts w:ascii="宋体" w:eastAsia="宋体" w:hAnsi="宋体" w:cs="宋体"/>
          <w:kern w:val="0"/>
          <w:sz w:val="24"/>
          <w14:ligatures w14:val="none"/>
        </w:rPr>
        <w:t>)。LTCM的失败可从多方面剖析：</w:t>
      </w:r>
      <w:r w:rsidRPr="00CA29E9">
        <w:rPr>
          <w:rFonts w:ascii="宋体" w:eastAsia="宋体" w:hAnsi="宋体" w:cs="宋体"/>
          <w:b/>
          <w:bCs/>
          <w:kern w:val="0"/>
          <w:sz w:val="24"/>
          <w14:ligatures w14:val="none"/>
        </w:rPr>
        <w:t>市场理论</w:t>
      </w:r>
      <w:r w:rsidRPr="00CA29E9">
        <w:rPr>
          <w:rFonts w:ascii="宋体" w:eastAsia="宋体" w:hAnsi="宋体" w:cs="宋体"/>
          <w:kern w:val="0"/>
          <w:sz w:val="24"/>
          <w14:ligatures w14:val="none"/>
        </w:rPr>
        <w:t>上，他们假设的关系在极端情境下失效（违反了正态分布尾部假设，属于黑天鹅事件）；</w:t>
      </w:r>
      <w:r w:rsidRPr="00CA29E9">
        <w:rPr>
          <w:rFonts w:ascii="宋体" w:eastAsia="宋体" w:hAnsi="宋体" w:cs="宋体"/>
          <w:b/>
          <w:bCs/>
          <w:kern w:val="0"/>
          <w:sz w:val="24"/>
          <w14:ligatures w14:val="none"/>
        </w:rPr>
        <w:t>行为心理</w:t>
      </w:r>
      <w:r w:rsidRPr="00CA29E9">
        <w:rPr>
          <w:rFonts w:ascii="宋体" w:eastAsia="宋体" w:hAnsi="宋体" w:cs="宋体"/>
          <w:kern w:val="0"/>
          <w:sz w:val="24"/>
          <w14:ligatures w14:val="none"/>
        </w:rPr>
        <w:t>上，他们过度信赖模型（过度自信偏差）且疏于对非常规风险的准备；</w:t>
      </w:r>
      <w:r w:rsidRPr="00CA29E9">
        <w:rPr>
          <w:rFonts w:ascii="宋体" w:eastAsia="宋体" w:hAnsi="宋体" w:cs="宋体"/>
          <w:b/>
          <w:bCs/>
          <w:kern w:val="0"/>
          <w:sz w:val="24"/>
          <w14:ligatures w14:val="none"/>
        </w:rPr>
        <w:t>风险管理</w:t>
      </w:r>
      <w:r w:rsidRPr="00CA29E9">
        <w:rPr>
          <w:rFonts w:ascii="宋体" w:eastAsia="宋体" w:hAnsi="宋体" w:cs="宋体"/>
          <w:kern w:val="0"/>
          <w:sz w:val="24"/>
          <w14:ligatures w14:val="none"/>
        </w:rPr>
        <w:t>上，过高的杠杆和缺乏及时止</w:t>
      </w:r>
      <w:proofErr w:type="gramStart"/>
      <w:r w:rsidRPr="00CA29E9">
        <w:rPr>
          <w:rFonts w:ascii="宋体" w:eastAsia="宋体" w:hAnsi="宋体" w:cs="宋体"/>
          <w:kern w:val="0"/>
          <w:sz w:val="24"/>
          <w14:ligatures w14:val="none"/>
        </w:rPr>
        <w:t>损导致</w:t>
      </w:r>
      <w:proofErr w:type="gramEnd"/>
      <w:r w:rsidRPr="00CA29E9">
        <w:rPr>
          <w:rFonts w:ascii="宋体" w:eastAsia="宋体" w:hAnsi="宋体" w:cs="宋体"/>
          <w:kern w:val="0"/>
          <w:sz w:val="24"/>
          <w14:ligatures w14:val="none"/>
        </w:rPr>
        <w:t>小错误酿成大灾。 (</w:t>
      </w:r>
      <w:hyperlink r:id="rId66" w:anchor=":~:text=Why%20LTCM%20Failed,Overconfidence%20in%20Mathematical%20Models%3A" w:history="1">
        <w:r w:rsidRPr="00CA29E9">
          <w:rPr>
            <w:rFonts w:ascii="宋体" w:eastAsia="宋体" w:hAnsi="宋体" w:cs="宋体"/>
            <w:color w:val="0000FF"/>
            <w:kern w:val="0"/>
            <w:sz w:val="24"/>
            <w:u w:val="single"/>
            <w14:ligatures w14:val="none"/>
          </w:rPr>
          <w:t>The Rise and Fall LTCM: A Case Study of Genius, Greed ... - LinkedIn</w:t>
        </w:r>
      </w:hyperlink>
      <w:r w:rsidRPr="00CA29E9">
        <w:rPr>
          <w:rFonts w:ascii="宋体" w:eastAsia="宋体" w:hAnsi="宋体" w:cs="宋体"/>
          <w:kern w:val="0"/>
          <w:sz w:val="24"/>
          <w14:ligatures w14:val="none"/>
        </w:rPr>
        <w:t>)正如有人戏称“当天才失败”——LTCM汇聚了顶尖人才和模型，却败于低概率事件与自身傲慢。其教训是深刻的：金融市场具有不可忽视的非线性和极端风险，哪怕策略历史业绩再辉煌，也要为意外情景预留缓冲。最佳实践启示：</w:t>
      </w:r>
      <w:r w:rsidRPr="00CA29E9">
        <w:rPr>
          <w:rFonts w:ascii="宋体" w:eastAsia="宋体" w:hAnsi="宋体" w:cs="宋体"/>
          <w:b/>
          <w:bCs/>
          <w:kern w:val="0"/>
          <w:sz w:val="24"/>
          <w14:ligatures w14:val="none"/>
        </w:rPr>
        <w:t>控制杠杆</w:t>
      </w:r>
      <w:r w:rsidRPr="00CA29E9">
        <w:rPr>
          <w:rFonts w:ascii="宋体" w:eastAsia="宋体" w:hAnsi="宋体" w:cs="宋体"/>
          <w:kern w:val="0"/>
          <w:sz w:val="24"/>
          <w14:ligatures w14:val="none"/>
        </w:rPr>
        <w:t>、注意流动性风险，定期进行</w:t>
      </w:r>
      <w:r w:rsidRPr="00CA29E9">
        <w:rPr>
          <w:rFonts w:ascii="宋体" w:eastAsia="宋体" w:hAnsi="宋体" w:cs="宋体"/>
          <w:kern w:val="0"/>
          <w:sz w:val="24"/>
          <w14:ligatures w14:val="none"/>
        </w:rPr>
        <w:lastRenderedPageBreak/>
        <w:t>压力测试；不要盲目相信模型，保持谦逊，时刻警惕“未知的未知”。LTCM事件推动业内加强了对风险管理的重视，也印证了塔勒布关于黑天鹅风险的警告。对每位投资者来说，这都是警示：切勿让贪婪膨胀和自负取代理性判断。</w:t>
      </w:r>
    </w:p>
    <w:p w14:paraId="7C80D80B" w14:textId="77777777" w:rsidR="00CA29E9" w:rsidRPr="00CA29E9" w:rsidRDefault="00CA29E9" w:rsidP="00CA29E9">
      <w:pPr>
        <w:widowControl/>
        <w:numPr>
          <w:ilvl w:val="0"/>
          <w:numId w:val="18"/>
        </w:numPr>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b/>
          <w:bCs/>
          <w:kern w:val="0"/>
          <w:sz w:val="24"/>
          <w14:ligatures w14:val="none"/>
        </w:rPr>
        <w:t>博格尔的指数投资</w:t>
      </w:r>
      <w:r w:rsidRPr="00CA29E9">
        <w:rPr>
          <w:rFonts w:ascii="宋体" w:eastAsia="宋体" w:hAnsi="宋体" w:cs="宋体"/>
          <w:kern w:val="0"/>
          <w:sz w:val="24"/>
          <w14:ligatures w14:val="none"/>
        </w:rPr>
        <w:t>：约翰·“杰克”·博格尔于</w:t>
      </w:r>
      <w:proofErr w:type="gramStart"/>
      <w:r w:rsidRPr="00CA29E9">
        <w:rPr>
          <w:rFonts w:ascii="宋体" w:eastAsia="宋体" w:hAnsi="宋体" w:cs="宋体"/>
          <w:kern w:val="0"/>
          <w:sz w:val="24"/>
          <w14:ligatures w14:val="none"/>
        </w:rPr>
        <w:t>1970</w:t>
      </w:r>
      <w:proofErr w:type="gramEnd"/>
      <w:r w:rsidRPr="00CA29E9">
        <w:rPr>
          <w:rFonts w:ascii="宋体" w:eastAsia="宋体" w:hAnsi="宋体" w:cs="宋体"/>
          <w:kern w:val="0"/>
          <w:sz w:val="24"/>
          <w14:ligatures w14:val="none"/>
        </w:rPr>
        <w:t>年代创立了全球第一支面向大众的指数基金——先锋500指数基金，被誉为“指数投资之父”。博格尔之所以推出指数基金，源于他对有效市场理论的认同以及为普通投资者谋利益的初心：他认为大多数主动基金长期</w:t>
      </w:r>
      <w:proofErr w:type="gramStart"/>
      <w:r w:rsidRPr="00CA29E9">
        <w:rPr>
          <w:rFonts w:ascii="宋体" w:eastAsia="宋体" w:hAnsi="宋体" w:cs="宋体"/>
          <w:kern w:val="0"/>
          <w:sz w:val="24"/>
          <w14:ligatures w14:val="none"/>
        </w:rPr>
        <w:t>难以跑</w:t>
      </w:r>
      <w:proofErr w:type="gramEnd"/>
      <w:r w:rsidRPr="00CA29E9">
        <w:rPr>
          <w:rFonts w:ascii="宋体" w:eastAsia="宋体" w:hAnsi="宋体" w:cs="宋体"/>
          <w:kern w:val="0"/>
          <w:sz w:val="24"/>
          <w14:ligatures w14:val="none"/>
        </w:rPr>
        <w:t>赢市场，而高昂的管理费和交易成本又侵蚀了投资回报 (</w:t>
      </w:r>
      <w:hyperlink r:id="rId67" w:anchor=":~:text=John%20Bogle%20was%20the%20founder,cost%20for%20the%20average%20investor" w:history="1">
        <w:r w:rsidRPr="00CA29E9">
          <w:rPr>
            <w:rFonts w:ascii="宋体" w:eastAsia="宋体" w:hAnsi="宋体" w:cs="宋体"/>
            <w:color w:val="0000FF"/>
            <w:kern w:val="0"/>
            <w:sz w:val="24"/>
            <w:u w:val="single"/>
            <w14:ligatures w14:val="none"/>
          </w:rPr>
          <w:t>Who Was John Bogle? Vanguard Founder, Father of Indexing</w:t>
        </w:r>
      </w:hyperlink>
      <w:r w:rsidRPr="00CA29E9">
        <w:rPr>
          <w:rFonts w:ascii="宋体" w:eastAsia="宋体" w:hAnsi="宋体" w:cs="宋体"/>
          <w:kern w:val="0"/>
          <w:sz w:val="24"/>
          <w14:ligatures w14:val="none"/>
        </w:rPr>
        <w:t>) (</w:t>
      </w:r>
      <w:hyperlink r:id="rId68" w:anchor=":~:text=,investment%20strategy%20that%20requires%20a" w:history="1">
        <w:r w:rsidRPr="00CA29E9">
          <w:rPr>
            <w:rFonts w:ascii="宋体" w:eastAsia="宋体" w:hAnsi="宋体" w:cs="宋体"/>
            <w:color w:val="0000FF"/>
            <w:kern w:val="0"/>
            <w:sz w:val="24"/>
            <w:u w:val="single"/>
            <w14:ligatures w14:val="none"/>
          </w:rPr>
          <w:t>Who Was John Bogle? Vanguard Founder, Father of Indexing</w:t>
        </w:r>
      </w:hyperlink>
      <w:r w:rsidRPr="00CA29E9">
        <w:rPr>
          <w:rFonts w:ascii="宋体" w:eastAsia="宋体" w:hAnsi="宋体" w:cs="宋体"/>
          <w:kern w:val="0"/>
          <w:sz w:val="24"/>
          <w14:ligatures w14:val="none"/>
        </w:rPr>
        <w:t>)。通过提供</w:t>
      </w:r>
      <w:proofErr w:type="gramStart"/>
      <w:r w:rsidRPr="00CA29E9">
        <w:rPr>
          <w:rFonts w:ascii="宋体" w:eastAsia="宋体" w:hAnsi="宋体" w:cs="宋体"/>
          <w:kern w:val="0"/>
          <w:sz w:val="24"/>
          <w14:ligatures w14:val="none"/>
        </w:rPr>
        <w:t>跟踪标普500等</w:t>
      </w:r>
      <w:proofErr w:type="gramEnd"/>
      <w:r w:rsidRPr="00CA29E9">
        <w:rPr>
          <w:rFonts w:ascii="宋体" w:eastAsia="宋体" w:hAnsi="宋体" w:cs="宋体"/>
          <w:kern w:val="0"/>
          <w:sz w:val="24"/>
          <w14:ligatures w14:val="none"/>
        </w:rPr>
        <w:t>指数的被动基金，投资者可以以极低成本获得与市场相当的收益率，而无需择时选股。起初指数基金并不被华尔街看好，嘲讽其为“给傻瓜的投资”，但博格尔坚信自己的理念。事实证明，指数基金在此后几十年为无数投资者带来了稳定收益，很少有主动基金能在扣除费用后胜过指数基金。 (</w:t>
      </w:r>
      <w:hyperlink r:id="rId69" w:anchor=":~:text=John%20Bogle%20was%20the%20founder,cost%20for%20the%20average%20investor" w:history="1">
        <w:r w:rsidRPr="00CA29E9">
          <w:rPr>
            <w:rFonts w:ascii="宋体" w:eastAsia="宋体" w:hAnsi="宋体" w:cs="宋体"/>
            <w:color w:val="0000FF"/>
            <w:kern w:val="0"/>
            <w:sz w:val="24"/>
            <w:u w:val="single"/>
            <w14:ligatures w14:val="none"/>
          </w:rPr>
          <w:t>Who Was John Bogle? Vanguard Founder, Father of Indexing</w:t>
        </w:r>
      </w:hyperlink>
      <w:r w:rsidRPr="00CA29E9">
        <w:rPr>
          <w:rFonts w:ascii="宋体" w:eastAsia="宋体" w:hAnsi="宋体" w:cs="宋体"/>
          <w:kern w:val="0"/>
          <w:sz w:val="24"/>
          <w14:ligatures w14:val="none"/>
        </w:rPr>
        <w:t>)博格尔的成功实践表明：</w:t>
      </w:r>
      <w:r w:rsidRPr="00CA29E9">
        <w:rPr>
          <w:rFonts w:ascii="宋体" w:eastAsia="宋体" w:hAnsi="宋体" w:cs="宋体"/>
          <w:b/>
          <w:bCs/>
          <w:kern w:val="0"/>
          <w:sz w:val="24"/>
          <w14:ligatures w14:val="none"/>
        </w:rPr>
        <w:t>简单胜于复杂</w:t>
      </w:r>
      <w:r w:rsidRPr="00CA29E9">
        <w:rPr>
          <w:rFonts w:ascii="宋体" w:eastAsia="宋体" w:hAnsi="宋体" w:cs="宋体"/>
          <w:kern w:val="0"/>
          <w:sz w:val="24"/>
          <w14:ligatures w14:val="none"/>
        </w:rPr>
        <w:t>，顺应市场平均而非试图击败市场，对于大多数人是有效的投资策略。这也归功于</w:t>
      </w:r>
      <w:r w:rsidRPr="00CA29E9">
        <w:rPr>
          <w:rFonts w:ascii="宋体" w:eastAsia="宋体" w:hAnsi="宋体" w:cs="宋体"/>
          <w:b/>
          <w:bCs/>
          <w:kern w:val="0"/>
          <w:sz w:val="24"/>
          <w14:ligatures w14:val="none"/>
        </w:rPr>
        <w:t>纪律和耐心</w:t>
      </w:r>
      <w:r w:rsidRPr="00CA29E9">
        <w:rPr>
          <w:rFonts w:ascii="宋体" w:eastAsia="宋体" w:hAnsi="宋体" w:cs="宋体"/>
          <w:kern w:val="0"/>
          <w:sz w:val="24"/>
          <w14:ligatures w14:val="none"/>
        </w:rPr>
        <w:t>：指数投资要求长期持有、不因市场波动频繁进出，从而享受复利。同时分散化投资避免了个股黑天鹅风险，让投资者免受重大踩雷打击。从行为角度看，指数投资也减少了投资者情绪干扰，因为既然不需要主动判断，就不会犯择时失误或追涨杀跌错误。如今，被动指数产品风靡全球，博格尔的理念深刻改变了投资行业，帮助降低了费用、提高了透明度，被认为是“为小投资者做出的巨大贡献”。最佳实践启示：相信长期、简化投资、控制成本。这一案例佐证了有效市场假说在实践中的力量，也提醒我们，有时“承认自己无法战胜市场”本身就是最明智的选择。</w:t>
      </w:r>
    </w:p>
    <w:p w14:paraId="75ED2876" w14:textId="77777777" w:rsidR="00CA29E9" w:rsidRPr="00CA29E9" w:rsidRDefault="00CA29E9" w:rsidP="00CA29E9">
      <w:pPr>
        <w:widowControl/>
        <w:spacing w:before="100" w:beforeAutospacing="1" w:after="100" w:afterAutospacing="1" w:line="240" w:lineRule="auto"/>
        <w:rPr>
          <w:rFonts w:ascii="宋体" w:eastAsia="宋体" w:hAnsi="宋体" w:cs="宋体"/>
          <w:kern w:val="0"/>
          <w:sz w:val="24"/>
          <w14:ligatures w14:val="none"/>
        </w:rPr>
      </w:pPr>
      <w:r w:rsidRPr="00CA29E9">
        <w:rPr>
          <w:rFonts w:ascii="宋体" w:eastAsia="宋体" w:hAnsi="宋体" w:cs="宋体"/>
          <w:kern w:val="0"/>
          <w:sz w:val="24"/>
          <w14:ligatures w14:val="none"/>
        </w:rPr>
        <w:t>通过以上案例对比，我们可以看到：</w:t>
      </w:r>
      <w:r w:rsidRPr="00CA29E9">
        <w:rPr>
          <w:rFonts w:ascii="宋体" w:eastAsia="宋体" w:hAnsi="宋体" w:cs="宋体"/>
          <w:b/>
          <w:bCs/>
          <w:kern w:val="0"/>
          <w:sz w:val="24"/>
          <w14:ligatures w14:val="none"/>
        </w:rPr>
        <w:t>成功的路径各有不同，但底层都有共通逻辑</w:t>
      </w:r>
      <w:r w:rsidRPr="00CA29E9">
        <w:rPr>
          <w:rFonts w:ascii="宋体" w:eastAsia="宋体" w:hAnsi="宋体" w:cs="宋体"/>
          <w:kern w:val="0"/>
          <w:sz w:val="24"/>
          <w14:ligatures w14:val="none"/>
        </w:rPr>
        <w:t>——严格的纪律、自知之明以及对风险与人性的深刻认识。巴菲特选择主动战胜市场且做到了，因为他建立在坚实的价值判断和心理素质之上；博格尔承认无法预测市场，退而求其次选择跟随市场，同样取得巨大成功。而失败如LTCM，则往往源于忽视风险、过度自负，违背了金融运行的不确定性本质。这些最佳实践与反面教材，为我们构建自己的投资体系提供了宝贵经验：</w:t>
      </w:r>
      <w:r w:rsidRPr="00CA29E9">
        <w:rPr>
          <w:rFonts w:ascii="宋体" w:eastAsia="宋体" w:hAnsi="宋体" w:cs="宋体"/>
          <w:b/>
          <w:bCs/>
          <w:kern w:val="0"/>
          <w:sz w:val="24"/>
          <w14:ligatures w14:val="none"/>
        </w:rPr>
        <w:t>在理论指导下审慎实践，在实践反馈中修正理论，不断锤炼适合自己的方法论</w:t>
      </w:r>
      <w:r w:rsidRPr="00CA29E9">
        <w:rPr>
          <w:rFonts w:ascii="宋体" w:eastAsia="宋体" w:hAnsi="宋体" w:cs="宋体"/>
          <w:kern w:val="0"/>
          <w:sz w:val="24"/>
          <w14:ligatures w14:val="none"/>
        </w:rPr>
        <w:t>。无论市场如何变化，此种持续学习和反思的能力，正是长期制胜的关键。 (</w:t>
      </w:r>
      <w:hyperlink r:id="rId70" w:anchor=":~:text=,liquidate%20in%20an%20orderly%20manner" w:history="1">
        <w:r w:rsidRPr="00CA29E9">
          <w:rPr>
            <w:rFonts w:ascii="宋体" w:eastAsia="宋体" w:hAnsi="宋体" w:cs="宋体"/>
            <w:color w:val="0000FF"/>
            <w:kern w:val="0"/>
            <w:sz w:val="24"/>
            <w:u w:val="single"/>
            <w14:ligatures w14:val="none"/>
          </w:rPr>
          <w:t>What Was Long-Term Capital Management (LTCM) and What Happened?</w:t>
        </w:r>
      </w:hyperlink>
      <w:r w:rsidRPr="00CA29E9">
        <w:rPr>
          <w:rFonts w:ascii="宋体" w:eastAsia="宋体" w:hAnsi="宋体" w:cs="宋体"/>
          <w:kern w:val="0"/>
          <w:sz w:val="24"/>
          <w14:ligatures w14:val="none"/>
        </w:rPr>
        <w:t>)</w:t>
      </w:r>
    </w:p>
    <w:p w14:paraId="370C00C8" w14:textId="07A00F04" w:rsidR="0091600E" w:rsidRPr="00CA29E9" w:rsidRDefault="0091600E"/>
    <w:sectPr w:rsidR="0091600E" w:rsidRPr="00CA29E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45F69"/>
    <w:multiLevelType w:val="multilevel"/>
    <w:tmpl w:val="17EC1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8C638C"/>
    <w:multiLevelType w:val="multilevel"/>
    <w:tmpl w:val="93E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BF5FBE"/>
    <w:multiLevelType w:val="multilevel"/>
    <w:tmpl w:val="AC24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D96CB0"/>
    <w:multiLevelType w:val="multilevel"/>
    <w:tmpl w:val="BBEE4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4804CF"/>
    <w:multiLevelType w:val="multilevel"/>
    <w:tmpl w:val="4152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F37AA"/>
    <w:multiLevelType w:val="multilevel"/>
    <w:tmpl w:val="5B7E6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56166E"/>
    <w:multiLevelType w:val="multilevel"/>
    <w:tmpl w:val="391C4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F65FC"/>
    <w:multiLevelType w:val="multilevel"/>
    <w:tmpl w:val="6EEE1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94286B"/>
    <w:multiLevelType w:val="multilevel"/>
    <w:tmpl w:val="7CF2E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0A28F0"/>
    <w:multiLevelType w:val="multilevel"/>
    <w:tmpl w:val="8CE6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687805"/>
    <w:multiLevelType w:val="multilevel"/>
    <w:tmpl w:val="6C94F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3A47CB5"/>
    <w:multiLevelType w:val="multilevel"/>
    <w:tmpl w:val="0C0ED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C70C68"/>
    <w:multiLevelType w:val="multilevel"/>
    <w:tmpl w:val="390AB4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7D12834"/>
    <w:multiLevelType w:val="multilevel"/>
    <w:tmpl w:val="382C5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73F0C47"/>
    <w:multiLevelType w:val="multilevel"/>
    <w:tmpl w:val="4DBC7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BC0357D"/>
    <w:multiLevelType w:val="multilevel"/>
    <w:tmpl w:val="8FAC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EB533BC"/>
    <w:multiLevelType w:val="multilevel"/>
    <w:tmpl w:val="F7F03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D21C5"/>
    <w:multiLevelType w:val="multilevel"/>
    <w:tmpl w:val="75107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37961589">
    <w:abstractNumId w:val="5"/>
  </w:num>
  <w:num w:numId="2" w16cid:durableId="1069422271">
    <w:abstractNumId w:val="9"/>
  </w:num>
  <w:num w:numId="3" w16cid:durableId="1603028409">
    <w:abstractNumId w:val="11"/>
  </w:num>
  <w:num w:numId="4" w16cid:durableId="1376542073">
    <w:abstractNumId w:val="15"/>
  </w:num>
  <w:num w:numId="5" w16cid:durableId="228655897">
    <w:abstractNumId w:val="7"/>
  </w:num>
  <w:num w:numId="6" w16cid:durableId="2015914723">
    <w:abstractNumId w:val="2"/>
  </w:num>
  <w:num w:numId="7" w16cid:durableId="1509825608">
    <w:abstractNumId w:val="12"/>
  </w:num>
  <w:num w:numId="8" w16cid:durableId="633368402">
    <w:abstractNumId w:val="3"/>
  </w:num>
  <w:num w:numId="9" w16cid:durableId="1715959997">
    <w:abstractNumId w:val="16"/>
  </w:num>
  <w:num w:numId="10" w16cid:durableId="1848011250">
    <w:abstractNumId w:val="13"/>
  </w:num>
  <w:num w:numId="11" w16cid:durableId="863443555">
    <w:abstractNumId w:val="6"/>
  </w:num>
  <w:num w:numId="12" w16cid:durableId="1054545774">
    <w:abstractNumId w:val="14"/>
  </w:num>
  <w:num w:numId="13" w16cid:durableId="840970448">
    <w:abstractNumId w:val="1"/>
  </w:num>
  <w:num w:numId="14" w16cid:durableId="1929607666">
    <w:abstractNumId w:val="10"/>
  </w:num>
  <w:num w:numId="15" w16cid:durableId="289744586">
    <w:abstractNumId w:val="17"/>
  </w:num>
  <w:num w:numId="16" w16cid:durableId="1167475926">
    <w:abstractNumId w:val="8"/>
  </w:num>
  <w:num w:numId="17" w16cid:durableId="193426927">
    <w:abstractNumId w:val="0"/>
  </w:num>
  <w:num w:numId="18" w16cid:durableId="6182226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600E"/>
    <w:rsid w:val="008A7052"/>
    <w:rsid w:val="0091600E"/>
    <w:rsid w:val="00CA29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C33E4"/>
  <w15:chartTrackingRefBased/>
  <w15:docId w15:val="{3DF0BC33-842F-472F-8F55-607AF5E8E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91600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600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1600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1600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600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600E"/>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600E"/>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600E"/>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91600E"/>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600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600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1600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1600E"/>
    <w:rPr>
      <w:rFonts w:cstheme="majorBidi"/>
      <w:color w:val="0F4761" w:themeColor="accent1" w:themeShade="BF"/>
      <w:sz w:val="28"/>
      <w:szCs w:val="28"/>
    </w:rPr>
  </w:style>
  <w:style w:type="character" w:customStyle="1" w:styleId="50">
    <w:name w:val="标题 5 字符"/>
    <w:basedOn w:val="a0"/>
    <w:link w:val="5"/>
    <w:uiPriority w:val="9"/>
    <w:semiHidden/>
    <w:rsid w:val="0091600E"/>
    <w:rPr>
      <w:rFonts w:cstheme="majorBidi"/>
      <w:color w:val="0F4761" w:themeColor="accent1" w:themeShade="BF"/>
      <w:sz w:val="24"/>
    </w:rPr>
  </w:style>
  <w:style w:type="character" w:customStyle="1" w:styleId="60">
    <w:name w:val="标题 6 字符"/>
    <w:basedOn w:val="a0"/>
    <w:link w:val="6"/>
    <w:uiPriority w:val="9"/>
    <w:semiHidden/>
    <w:rsid w:val="0091600E"/>
    <w:rPr>
      <w:rFonts w:cstheme="majorBidi"/>
      <w:b/>
      <w:bCs/>
      <w:color w:val="0F4761" w:themeColor="accent1" w:themeShade="BF"/>
    </w:rPr>
  </w:style>
  <w:style w:type="character" w:customStyle="1" w:styleId="70">
    <w:name w:val="标题 7 字符"/>
    <w:basedOn w:val="a0"/>
    <w:link w:val="7"/>
    <w:uiPriority w:val="9"/>
    <w:semiHidden/>
    <w:rsid w:val="0091600E"/>
    <w:rPr>
      <w:rFonts w:cstheme="majorBidi"/>
      <w:b/>
      <w:bCs/>
      <w:color w:val="595959" w:themeColor="text1" w:themeTint="A6"/>
    </w:rPr>
  </w:style>
  <w:style w:type="character" w:customStyle="1" w:styleId="80">
    <w:name w:val="标题 8 字符"/>
    <w:basedOn w:val="a0"/>
    <w:link w:val="8"/>
    <w:uiPriority w:val="9"/>
    <w:semiHidden/>
    <w:rsid w:val="0091600E"/>
    <w:rPr>
      <w:rFonts w:cstheme="majorBidi"/>
      <w:color w:val="595959" w:themeColor="text1" w:themeTint="A6"/>
    </w:rPr>
  </w:style>
  <w:style w:type="character" w:customStyle="1" w:styleId="90">
    <w:name w:val="标题 9 字符"/>
    <w:basedOn w:val="a0"/>
    <w:link w:val="9"/>
    <w:uiPriority w:val="9"/>
    <w:semiHidden/>
    <w:rsid w:val="0091600E"/>
    <w:rPr>
      <w:rFonts w:eastAsiaTheme="majorEastAsia" w:cstheme="majorBidi"/>
      <w:color w:val="595959" w:themeColor="text1" w:themeTint="A6"/>
    </w:rPr>
  </w:style>
  <w:style w:type="paragraph" w:styleId="a3">
    <w:name w:val="Title"/>
    <w:basedOn w:val="a"/>
    <w:next w:val="a"/>
    <w:link w:val="a4"/>
    <w:uiPriority w:val="10"/>
    <w:qFormat/>
    <w:rsid w:val="0091600E"/>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600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600E"/>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600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600E"/>
    <w:pPr>
      <w:spacing w:before="160"/>
      <w:jc w:val="center"/>
    </w:pPr>
    <w:rPr>
      <w:i/>
      <w:iCs/>
      <w:color w:val="404040" w:themeColor="text1" w:themeTint="BF"/>
    </w:rPr>
  </w:style>
  <w:style w:type="character" w:customStyle="1" w:styleId="a8">
    <w:name w:val="引用 字符"/>
    <w:basedOn w:val="a0"/>
    <w:link w:val="a7"/>
    <w:uiPriority w:val="29"/>
    <w:rsid w:val="0091600E"/>
    <w:rPr>
      <w:i/>
      <w:iCs/>
      <w:color w:val="404040" w:themeColor="text1" w:themeTint="BF"/>
    </w:rPr>
  </w:style>
  <w:style w:type="paragraph" w:styleId="a9">
    <w:name w:val="List Paragraph"/>
    <w:basedOn w:val="a"/>
    <w:uiPriority w:val="34"/>
    <w:qFormat/>
    <w:rsid w:val="0091600E"/>
    <w:pPr>
      <w:ind w:left="720"/>
      <w:contextualSpacing/>
    </w:pPr>
  </w:style>
  <w:style w:type="character" w:styleId="aa">
    <w:name w:val="Intense Emphasis"/>
    <w:basedOn w:val="a0"/>
    <w:uiPriority w:val="21"/>
    <w:qFormat/>
    <w:rsid w:val="0091600E"/>
    <w:rPr>
      <w:i/>
      <w:iCs/>
      <w:color w:val="0F4761" w:themeColor="accent1" w:themeShade="BF"/>
    </w:rPr>
  </w:style>
  <w:style w:type="paragraph" w:styleId="ab">
    <w:name w:val="Intense Quote"/>
    <w:basedOn w:val="a"/>
    <w:next w:val="a"/>
    <w:link w:val="ac"/>
    <w:uiPriority w:val="30"/>
    <w:qFormat/>
    <w:rsid w:val="009160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600E"/>
    <w:rPr>
      <w:i/>
      <w:iCs/>
      <w:color w:val="0F4761" w:themeColor="accent1" w:themeShade="BF"/>
    </w:rPr>
  </w:style>
  <w:style w:type="character" w:styleId="ad">
    <w:name w:val="Intense Reference"/>
    <w:basedOn w:val="a0"/>
    <w:uiPriority w:val="32"/>
    <w:qFormat/>
    <w:rsid w:val="0091600E"/>
    <w:rPr>
      <w:b/>
      <w:bCs/>
      <w:smallCaps/>
      <w:color w:val="0F4761" w:themeColor="accent1" w:themeShade="BF"/>
      <w:spacing w:val="5"/>
    </w:rPr>
  </w:style>
  <w:style w:type="character" w:styleId="ae">
    <w:name w:val="Hyperlink"/>
    <w:basedOn w:val="a0"/>
    <w:uiPriority w:val="99"/>
    <w:unhideWhenUsed/>
    <w:rsid w:val="00CA29E9"/>
    <w:rPr>
      <w:color w:val="467886" w:themeColor="hyperlink"/>
      <w:u w:val="single"/>
    </w:rPr>
  </w:style>
  <w:style w:type="character" w:styleId="af">
    <w:name w:val="Unresolved Mention"/>
    <w:basedOn w:val="a0"/>
    <w:uiPriority w:val="99"/>
    <w:semiHidden/>
    <w:unhideWhenUsed/>
    <w:rsid w:val="00CA29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24764899">
      <w:bodyDiv w:val="1"/>
      <w:marLeft w:val="0"/>
      <w:marRight w:val="0"/>
      <w:marTop w:val="0"/>
      <w:marBottom w:val="0"/>
      <w:divBdr>
        <w:top w:val="none" w:sz="0" w:space="0" w:color="auto"/>
        <w:left w:val="none" w:sz="0" w:space="0" w:color="auto"/>
        <w:bottom w:val="none" w:sz="0" w:space="0" w:color="auto"/>
        <w:right w:val="none" w:sz="0" w:space="0" w:color="auto"/>
      </w:divBdr>
    </w:div>
    <w:div w:id="1166439629">
      <w:bodyDiv w:val="1"/>
      <w:marLeft w:val="0"/>
      <w:marRight w:val="0"/>
      <w:marTop w:val="0"/>
      <w:marBottom w:val="0"/>
      <w:divBdr>
        <w:top w:val="none" w:sz="0" w:space="0" w:color="auto"/>
        <w:left w:val="none" w:sz="0" w:space="0" w:color="auto"/>
        <w:bottom w:val="none" w:sz="0" w:space="0" w:color="auto"/>
        <w:right w:val="none" w:sz="0" w:space="0" w:color="auto"/>
      </w:divBdr>
    </w:div>
    <w:div w:id="1362704073">
      <w:bodyDiv w:val="1"/>
      <w:marLeft w:val="0"/>
      <w:marRight w:val="0"/>
      <w:marTop w:val="0"/>
      <w:marBottom w:val="0"/>
      <w:divBdr>
        <w:top w:val="none" w:sz="0" w:space="0" w:color="auto"/>
        <w:left w:val="none" w:sz="0" w:space="0" w:color="auto"/>
        <w:bottom w:val="none" w:sz="0" w:space="0" w:color="auto"/>
        <w:right w:val="none" w:sz="0" w:space="0" w:color="auto"/>
      </w:divBdr>
    </w:div>
    <w:div w:id="1506017900">
      <w:bodyDiv w:val="1"/>
      <w:marLeft w:val="0"/>
      <w:marRight w:val="0"/>
      <w:marTop w:val="0"/>
      <w:marBottom w:val="0"/>
      <w:divBdr>
        <w:top w:val="none" w:sz="0" w:space="0" w:color="auto"/>
        <w:left w:val="none" w:sz="0" w:space="0" w:color="auto"/>
        <w:bottom w:val="none" w:sz="0" w:space="0" w:color="auto"/>
        <w:right w:val="none" w:sz="0" w:space="0" w:color="auto"/>
      </w:divBdr>
    </w:div>
    <w:div w:id="18966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nvestopedia.com/terms/b/behavioralfinance.asp" TargetMode="External"/><Relationship Id="rId21" Type="http://schemas.openxmlformats.org/officeDocument/2006/relationships/hyperlink" Target="https://en.wikipedia.org/wiki/Thinking,_Fast_and_Slow" TargetMode="External"/><Relationship Id="rId42" Type="http://schemas.openxmlformats.org/officeDocument/2006/relationships/hyperlink" Target="https://en.wikipedia.org/wiki/Efficient-market_hypothesis" TargetMode="External"/><Relationship Id="rId47" Type="http://schemas.openxmlformats.org/officeDocument/2006/relationships/hyperlink" Target="https://www.investopedia.com/terms/r/reflexivity.asp" TargetMode="External"/><Relationship Id="rId63" Type="http://schemas.openxmlformats.org/officeDocument/2006/relationships/hyperlink" Target="https://www.investopedia.com/terms/l/longtermcapital.asp" TargetMode="External"/><Relationship Id="rId68" Type="http://schemas.openxmlformats.org/officeDocument/2006/relationships/hyperlink" Target="https://www.investopedia.com/terms/j/john_bogle.asp" TargetMode="External"/><Relationship Id="rId7" Type="http://schemas.openxmlformats.org/officeDocument/2006/relationships/hyperlink" Target="https://en.wikipedia.org/wiki/The_Intelligent_Investor" TargetMode="External"/><Relationship Id="rId71"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he_Black_Swan:_The_Impact_of_the_Highly_Improbable" TargetMode="External"/><Relationship Id="rId29" Type="http://schemas.openxmlformats.org/officeDocument/2006/relationships/hyperlink" Target="https://medium.com/explaining-economics/learning-from-warren-buffetts-mentor-50028f30d97d" TargetMode="External"/><Relationship Id="rId11" Type="http://schemas.openxmlformats.org/officeDocument/2006/relationships/hyperlink" Target="https://www.investopedia.com/articles/01/071801.asp" TargetMode="External"/><Relationship Id="rId24" Type="http://schemas.openxmlformats.org/officeDocument/2006/relationships/hyperlink" Target="https://www.shortform.com/blog/irrational-exuberance-robert-j-shiller/" TargetMode="External"/><Relationship Id="rId32" Type="http://schemas.openxmlformats.org/officeDocument/2006/relationships/hyperlink" Target="https://www.investopedia.com/terms/r/reflexivity.asp" TargetMode="External"/><Relationship Id="rId37" Type="http://schemas.openxmlformats.org/officeDocument/2006/relationships/hyperlink" Target="https://www.ubs.com/microsites/nobel-perspectives/en/laureates/daniel-kahneman.html" TargetMode="External"/><Relationship Id="rId40" Type="http://schemas.openxmlformats.org/officeDocument/2006/relationships/hyperlink" Target="https://www.shortform.com/blog/irrational-exuberance-robert-j-shiller/" TargetMode="External"/><Relationship Id="rId45" Type="http://schemas.openxmlformats.org/officeDocument/2006/relationships/hyperlink" Target="https://finimize.com/content/how-use-theory-made-george-soros-investing-legend" TargetMode="External"/><Relationship Id="rId53" Type="http://schemas.openxmlformats.org/officeDocument/2006/relationships/hyperlink" Target="https://www.invesco.com/content/invesco/us/en/insights/tariffs-rattle-stock-markets-long-term-impact.html" TargetMode="External"/><Relationship Id="rId58" Type="http://schemas.openxmlformats.org/officeDocument/2006/relationships/hyperlink" Target="https://www.dallasfed.org/research/economics/2023/0627" TargetMode="External"/><Relationship Id="rId66" Type="http://schemas.openxmlformats.org/officeDocument/2006/relationships/hyperlink" Target="https://www.linkedin.com/pulse/rise-fall-ltcm-case-study-genius-greed-collapse-ajmal-malakuzhiyil-conkf" TargetMode="External"/><Relationship Id="rId5" Type="http://schemas.openxmlformats.org/officeDocument/2006/relationships/hyperlink" Target="https://www.investopedia.com/terms/m/marginofsafety.asp" TargetMode="External"/><Relationship Id="rId61" Type="http://schemas.openxmlformats.org/officeDocument/2006/relationships/hyperlink" Target="https://www.investopedia.com/terms/b/behavioralfinance.asp" TargetMode="External"/><Relationship Id="rId19" Type="http://schemas.openxmlformats.org/officeDocument/2006/relationships/hyperlink" Target="https://en.wikipedia.org/wiki/Efficient-market_hypothesis" TargetMode="External"/><Relationship Id="rId14" Type="http://schemas.openxmlformats.org/officeDocument/2006/relationships/hyperlink" Target="https://www.investopedia.com/terms/r/reflexivity.asp" TargetMode="External"/><Relationship Id="rId22" Type="http://schemas.openxmlformats.org/officeDocument/2006/relationships/hyperlink" Target="https://www.shortform.com/blog/irrational-exuberance-robert-j-shiller/" TargetMode="External"/><Relationship Id="rId27" Type="http://schemas.openxmlformats.org/officeDocument/2006/relationships/hyperlink" Target="https://www.investopedia.com/terms/b/behavioralfinance.asp" TargetMode="External"/><Relationship Id="rId30" Type="http://schemas.openxmlformats.org/officeDocument/2006/relationships/hyperlink" Target="https://finimize.com/content/how-use-theory-made-george-soros-investing-legend" TargetMode="External"/><Relationship Id="rId35" Type="http://schemas.openxmlformats.org/officeDocument/2006/relationships/hyperlink" Target="https://www.investopedia.com/articles/investing/021015/advantages-and-disadvantages-capm-model.asp" TargetMode="External"/><Relationship Id="rId43" Type="http://schemas.openxmlformats.org/officeDocument/2006/relationships/hyperlink" Target="https://en.wikipedia.org/wiki/The_Intelligent_Investor" TargetMode="External"/><Relationship Id="rId48" Type="http://schemas.openxmlformats.org/officeDocument/2006/relationships/hyperlink" Target="https://www.investopedia.com/terms/b/behavioralfinance.asp" TargetMode="External"/><Relationship Id="rId56" Type="http://schemas.openxmlformats.org/officeDocument/2006/relationships/hyperlink" Target="https://www.kansascityfed.org/Jackson%20Hole/documents/9726/JH_Paper_Duffie.pdf" TargetMode="External"/><Relationship Id="rId64" Type="http://schemas.openxmlformats.org/officeDocument/2006/relationships/hyperlink" Target="https://www.investopedia.com/terms/l/longtermcapital.asp" TargetMode="External"/><Relationship Id="rId69" Type="http://schemas.openxmlformats.org/officeDocument/2006/relationships/hyperlink" Target="https://www.investopedia.com/terms/j/john_bogle.asp" TargetMode="External"/><Relationship Id="rId8" Type="http://schemas.openxmlformats.org/officeDocument/2006/relationships/hyperlink" Target="https://www.investopedia.com/articles/01/071801.asp" TargetMode="External"/><Relationship Id="rId51" Type="http://schemas.openxmlformats.org/officeDocument/2006/relationships/hyperlink" Target="https://www.invesco.com/content/invesco/us/en/insights/tariffs-rattle-stock-markets-long-term-impact.html" TargetMode="External"/><Relationship Id="rId72"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finimize.com/content/how-use-theory-made-george-soros-investing-legend" TargetMode="External"/><Relationship Id="rId17" Type="http://schemas.openxmlformats.org/officeDocument/2006/relationships/hyperlink" Target="https://en.wikipedia.org/wiki/The_Black_Swan:_The_Impact_of_the_Highly_Improbable" TargetMode="External"/><Relationship Id="rId25" Type="http://schemas.openxmlformats.org/officeDocument/2006/relationships/hyperlink" Target="https://www.investopedia.com/terms/b/behavioralfinance.asp" TargetMode="External"/><Relationship Id="rId33" Type="http://schemas.openxmlformats.org/officeDocument/2006/relationships/hyperlink" Target="https://www.shortform.com/blog/irrational-exuberance-robert-j-shiller/" TargetMode="External"/><Relationship Id="rId38" Type="http://schemas.openxmlformats.org/officeDocument/2006/relationships/hyperlink" Target="https://www.ubs.com/microsites/nobel-perspectives/en/laureates/daniel-kahneman.html" TargetMode="External"/><Relationship Id="rId46" Type="http://schemas.openxmlformats.org/officeDocument/2006/relationships/hyperlink" Target="https://www.investopedia.com/terms/r/reflexivity.asp" TargetMode="External"/><Relationship Id="rId59" Type="http://schemas.openxmlformats.org/officeDocument/2006/relationships/hyperlink" Target="https://en.wikipedia.org/wiki/Prospect_theory" TargetMode="External"/><Relationship Id="rId67" Type="http://schemas.openxmlformats.org/officeDocument/2006/relationships/hyperlink" Target="https://www.investopedia.com/terms/j/john_bogle.asp" TargetMode="External"/><Relationship Id="rId20" Type="http://schemas.openxmlformats.org/officeDocument/2006/relationships/hyperlink" Target="https://www.investopedia.com/articles/investing/021015/advantages-and-disadvantages-capm-model.asp" TargetMode="External"/><Relationship Id="rId41" Type="http://schemas.openxmlformats.org/officeDocument/2006/relationships/hyperlink" Target="https://www.shortform.com/blog/irrational-exuberance-robert-j-shiller/" TargetMode="External"/><Relationship Id="rId54" Type="http://schemas.openxmlformats.org/officeDocument/2006/relationships/hyperlink" Target="https://www.invesco.com/content/invesco/us/en/insights/tariffs-rattle-stock-markets-long-term-impact.html" TargetMode="External"/><Relationship Id="rId62" Type="http://schemas.openxmlformats.org/officeDocument/2006/relationships/hyperlink" Target="https://www.investopedia.com/articles/01/071801.asp" TargetMode="External"/><Relationship Id="rId70" Type="http://schemas.openxmlformats.org/officeDocument/2006/relationships/hyperlink" Target="https://www.investopedia.com/terms/l/longtermcapital.asp" TargetMode="External"/><Relationship Id="rId1" Type="http://schemas.openxmlformats.org/officeDocument/2006/relationships/numbering" Target="numbering.xml"/><Relationship Id="rId6" Type="http://schemas.openxmlformats.org/officeDocument/2006/relationships/hyperlink" Target="https://en.wikipedia.org/wiki/The_Intelligent_Investor" TargetMode="External"/><Relationship Id="rId15" Type="http://schemas.openxmlformats.org/officeDocument/2006/relationships/hyperlink" Target="https://www.investopedia.com/terms/r/reflexivity.asp" TargetMode="External"/><Relationship Id="rId23" Type="http://schemas.openxmlformats.org/officeDocument/2006/relationships/hyperlink" Target="https://www.shortform.com/blog/irrational-exuberance-robert-j-shiller/" TargetMode="External"/><Relationship Id="rId28" Type="http://schemas.openxmlformats.org/officeDocument/2006/relationships/hyperlink" Target="https://medium.com/explaining-economics/learning-from-warren-buffetts-mentor-50028f30d97d" TargetMode="External"/><Relationship Id="rId36" Type="http://schemas.openxmlformats.org/officeDocument/2006/relationships/hyperlink" Target="https://en.wikipedia.org/wiki/Prospect_theory" TargetMode="External"/><Relationship Id="rId49" Type="http://schemas.openxmlformats.org/officeDocument/2006/relationships/hyperlink" Target="https://www.shortform.com/blog/irrational-exuberance-robert-j-shiller/" TargetMode="External"/><Relationship Id="rId57" Type="http://schemas.openxmlformats.org/officeDocument/2006/relationships/hyperlink" Target="https://www.gsb.stanford.edu/faculty-research/working-papers/still-worlds-safe-haven-redesigning-us-treasury-market-after-covid" TargetMode="External"/><Relationship Id="rId10" Type="http://schemas.openxmlformats.org/officeDocument/2006/relationships/hyperlink" Target="https://www.investopedia.com/articles/01/071801.asp" TargetMode="External"/><Relationship Id="rId31" Type="http://schemas.openxmlformats.org/officeDocument/2006/relationships/hyperlink" Target="https://finimize.com/content/how-use-theory-made-george-soros-investing-legend" TargetMode="External"/><Relationship Id="rId44" Type="http://schemas.openxmlformats.org/officeDocument/2006/relationships/hyperlink" Target="https://www.investopedia.com/articles/01/071801.asp" TargetMode="External"/><Relationship Id="rId52" Type="http://schemas.openxmlformats.org/officeDocument/2006/relationships/hyperlink" Target="https://www.invesco.com/content/invesco/us/en/insights/tariffs-rattle-stock-markets-long-term-impact.html" TargetMode="External"/><Relationship Id="rId60" Type="http://schemas.openxmlformats.org/officeDocument/2006/relationships/hyperlink" Target="https://commons.wikimedia.org/wiki/File:Loss_Aversion.png" TargetMode="External"/><Relationship Id="rId65" Type="http://schemas.openxmlformats.org/officeDocument/2006/relationships/hyperlink" Target="https://www.investopedia.com/terms/l/longtermcapital.asp" TargetMode="External"/><Relationship Id="rId4" Type="http://schemas.openxmlformats.org/officeDocument/2006/relationships/webSettings" Target="webSettings.xml"/><Relationship Id="rId9" Type="http://schemas.openxmlformats.org/officeDocument/2006/relationships/hyperlink" Target="https://www.investopedia.com/articles/01/071801.asp" TargetMode="External"/><Relationship Id="rId13" Type="http://schemas.openxmlformats.org/officeDocument/2006/relationships/hyperlink" Target="https://www.investopedia.com/terms/r/reflexivity.asp" TargetMode="External"/><Relationship Id="rId18" Type="http://schemas.openxmlformats.org/officeDocument/2006/relationships/hyperlink" Target="https://en.wikipedia.org/wiki/Efficient-market_hypothesis" TargetMode="External"/><Relationship Id="rId39" Type="http://schemas.openxmlformats.org/officeDocument/2006/relationships/hyperlink" Target="https://www.shortform.com/blog/irrational-exuberance-robert-j-shiller/" TargetMode="External"/><Relationship Id="rId34" Type="http://schemas.openxmlformats.org/officeDocument/2006/relationships/hyperlink" Target="https://www.chicagobooth.edu/review/are-markets-efficient" TargetMode="External"/><Relationship Id="rId50" Type="http://schemas.openxmlformats.org/officeDocument/2006/relationships/hyperlink" Target="https://www.invesco.com/content/invesco/us/en/insights/tariffs-rattle-stock-markets-long-term-impact.html" TargetMode="External"/><Relationship Id="rId55" Type="http://schemas.openxmlformats.org/officeDocument/2006/relationships/hyperlink" Target="https://www.dallasfed.org/research/economics/2023/0627"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4628</Words>
  <Characters>26381</Characters>
  <Application>Microsoft Office Word</Application>
  <DocSecurity>0</DocSecurity>
  <Lines>219</Lines>
  <Paragraphs>61</Paragraphs>
  <ScaleCrop>false</ScaleCrop>
  <Company/>
  <LinksUpToDate>false</LinksUpToDate>
  <CharactersWithSpaces>30948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Roc lee</dc:creator>
  <cp:keywords/>
  <dc:description/>
  <cp:lastModifiedBy>Roc lee</cp:lastModifiedBy>
  <cp:revision>2</cp:revision>
  <dcterms:created xsi:type="dcterms:W3CDTF">2025-04-10T02:29:00Z</dcterms:created>
  <dcterms:modified xsi:type="dcterms:W3CDTF">2025-04-10T02:30:00Z</dcterms:modified>
</cp:coreProperties>
</file>