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A4BA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321CD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目录</w:t>
      </w:r>
    </w:p>
    <w:p w14:paraId="77D46383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研究背景与方法</w:t>
      </w:r>
    </w:p>
    <w:p w14:paraId="29FA80AB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主要市场板块过去10年估值数据概览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2.1 美股主要板块估值（科技、消费、金融、能源、医疗、新能源）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2.2 A股主要板块估值及行业分类情况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2.3 港股及其他主要市场板块估值概览</w:t>
      </w:r>
    </w:p>
    <w:p w14:paraId="0A26DF24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当前估值水平的历史分位数分析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3.1 各板块估值所处历史分位水平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3.2 估值趋势图与历史区间对比</w:t>
      </w:r>
    </w:p>
    <w:p w14:paraId="104B1257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宏观与市场情绪指标对估值的影响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4.1 利率、通胀（CPI）、GDP增速等宏观指标的影响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4.2 VIX波动率及散户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等情绪指标的影响</w:t>
      </w:r>
    </w:p>
    <w:p w14:paraId="2B0B582B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案例剖析：AI板块 vs 传统能源板块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5.1 NVIDIA为代表的AI板块基本面与估值结构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5.2 传统能源板块基本面与估值结构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5.3 “泡沫”或“价值洼地”的判断依据</w:t>
      </w:r>
    </w:p>
    <w:p w14:paraId="6D4224D0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情景分析：利率高位、快速下调与经济衰退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6.1 情景设计与假设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6.2 各板块估值在不同情景下的回归幅度与时间窗口</w:t>
      </w:r>
    </w:p>
    <w:p w14:paraId="1D8B2C70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投资配置建议：不同风险偏好下的策略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7.1 短期（6个月）配置建议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br/>
        <w:t>7.2 中长期（1–3年）配置建议</w:t>
      </w:r>
    </w:p>
    <w:p w14:paraId="7F347550" w14:textId="77777777" w:rsidR="000321CD" w:rsidRPr="000321CD" w:rsidRDefault="000321CD" w:rsidP="000321C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结论</w:t>
      </w:r>
    </w:p>
    <w:p w14:paraId="1A8579D9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研究背景与方法</w:t>
      </w:r>
    </w:p>
    <w:p w14:paraId="0DA0300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过去十年全球股市经历了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估值的大幅波动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：从超低利率环境下的高估值繁荣，到疫情冲击下的剧烈调整，再到2023年以来人工智能（AI）热潮带动部分板块估值飙升。本研究聚焦主要市场（包括美股、A股、港股及部分欧洲市场）的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主要板块估值情况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，通过多维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度数据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比对和历史时序分析，评估当前估值水平所处的历史分位，并结合宏观和情绪指标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研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判估值的合理性与风险。研究方法包括：</w:t>
      </w:r>
    </w:p>
    <w:p w14:paraId="555E7CB7" w14:textId="77777777" w:rsidR="000321CD" w:rsidRPr="000321CD" w:rsidRDefault="000321CD" w:rsidP="000321C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数据收集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：汇总过去10年主要板块的市盈率（P/E）、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市净率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（P/B）、市销率（P/S）、企业价值倍数（EV/EBITDA）等估值指标的月度数据，覆盖科技、可选消费、金融、能源、医疗保健、新能源等板块。数据来源包括Wind、东方财富等金融终端，以及公开研究报告的数据整理。</w:t>
      </w:r>
    </w:p>
    <w:p w14:paraId="24E356F8" w14:textId="77777777" w:rsidR="000321CD" w:rsidRPr="000321CD" w:rsidRDefault="000321CD" w:rsidP="000321C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历史分位计算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将当前估值与过去十年区间进行对比，计算百分位位置。例如，PE处于90%分位意味着历史上90%的时间估值低于当前水平，属于高估状态；反之处于10%分位则属低估水平。本文借鉴“估值温度计”方法量化这一点。</w:t>
      </w:r>
    </w:p>
    <w:p w14:paraId="408C1D71" w14:textId="77777777" w:rsidR="000321CD" w:rsidRPr="000321CD" w:rsidRDefault="000321CD" w:rsidP="000321C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趋势可视化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：绘制板块估值指标随时间变化的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趋势图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，并在图中标注历史均值、峰值、谷值等参考水平，帮助直观了解估值的升降变化。</w:t>
      </w:r>
    </w:p>
    <w:p w14:paraId="5A525E7A" w14:textId="77777777" w:rsidR="000321CD" w:rsidRPr="000321CD" w:rsidRDefault="000321CD" w:rsidP="000321C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宏观情境分析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：选取关键宏观指标（利率、通胀、GDP增速）和市场情绪指标（VIX指数、散户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等），分析其变化对估值的驱动作用，并据此设计情景假设，在不同宏观情境下模拟各板块估值可能的回归幅度和所需时间。</w:t>
      </w:r>
    </w:p>
    <w:p w14:paraId="24FF53C6" w14:textId="77777777" w:rsidR="000321CD" w:rsidRPr="000321CD" w:rsidRDefault="000321CD" w:rsidP="000321C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案例研究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：深入剖析当前市场高度关注的AI板块（以NVIDIA为例）与相对低估的传统能源板块，比较它们在基本面、增长预期和估值指标方面的差异，从而判断AI板块是否存在“泡沫”以及传统能源是否是“价值洼地”。</w:t>
      </w:r>
    </w:p>
    <w:p w14:paraId="723DAA85" w14:textId="77777777" w:rsidR="000321CD" w:rsidRPr="000321CD" w:rsidRDefault="000321CD" w:rsidP="000321C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投资建议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：结合以上分析，对不同风险偏好的投资者分别提出短期（6个月）和中长期（1–3年）的资产配置建议，包括行业配置比例和板块取舍的理由。</w:t>
      </w:r>
    </w:p>
    <w:p w14:paraId="42C3971E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通过以上方法，我们力求全面刻画主要市场各行业估值的“温度”和背后的逻辑，为投资者把握机会和防范风险提供参考依据。</w:t>
      </w:r>
    </w:p>
    <w:p w14:paraId="64893BD4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主要市场板块过去10年估值数据概览</w:t>
      </w:r>
    </w:p>
    <w:p w14:paraId="7FC91D5C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本节整理了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美股、A股、港股及部分欧洲市场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主要板块过去十年的估值数据。主要覆盖市盈率（PE，TTM基础）、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市净率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（PB）、市销率（PS）和EV/EBITDA等指标。数据频率为月度，以捕捉长期趋势。为便于分析，不同行业采用通用分类（科技、消费、金融、能源、医疗、新能源等），A股板块分类参考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申万行业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或Wind行业指数，港股参考恒生行业指数，美股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参考标普500分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板块。</w:t>
      </w:r>
    </w:p>
    <w:p w14:paraId="61786175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2.1 美股主要板块估值（科技、消费、金融、能源、医疗、新能源）</w:t>
      </w:r>
    </w:p>
    <w:p w14:paraId="623FBC43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美国股市过去十年整体估值波动显著。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标普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500指数的市盈率从2015年末约18倍一路上行，到2020-2021年超宽松货币环境叠加科技股盈利飙升，PE一度达30-40倍区间的高位；随后2022年在美联储加息影响下估值明显压缩，目前回到25倍附近。截至2025年7月中旬，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标普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500指数TTM市盈率约25.7倍，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显著高于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过去10年18.99倍的均值（高出约2.53个标准差）。这表明当前美股总体估值接近过去十年上限区间。</w:t>
      </w:r>
    </w:p>
    <w:p w14:paraId="422652B9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分板块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看，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美股各行业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估值分化严重：</w:t>
      </w:r>
    </w:p>
    <w:p w14:paraId="53404AC3" w14:textId="77777777" w:rsidR="000321CD" w:rsidRPr="000321CD" w:rsidRDefault="000321CD" w:rsidP="000321CD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信息技术（科技）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：作为驱动近年美股上涨的核心板块，科技板块当前PE约36倍，远超其10年均值23.5倍。这一水平相当于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高出历史均值2.21个标准差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之多。科技板块的估值在过去十年总体抬升明显（见下图橙色线），呈现出2018年以前相对稳定、2020-2021年快速拔高、2022年调整后在2023-2025年再度上行的走势。当前科技板块估值已接近10年来的最高区间，意味着投资者对未来盈利增长抱有极高预期。</w:t>
      </w:r>
    </w:p>
    <w:p w14:paraId="64810696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i/>
          <w:iCs/>
          <w:kern w:val="0"/>
          <w:sz w:val="24"/>
          <w14:ligatures w14:val="none"/>
        </w:rPr>
        <w:lastRenderedPageBreak/>
        <w:t>图1：美股科技 vs 能源板块估值（市盈率TTM）趋势图（2016–2025）。科技板块（橙线）估值近年大幅上行，能源板块（红线）估值相对低位波动。</w:t>
      </w:r>
    </w:p>
    <w:p w14:paraId="44E689F9" w14:textId="77777777" w:rsidR="000321CD" w:rsidRPr="000321CD" w:rsidRDefault="000321CD" w:rsidP="000321C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可选消费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：美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股消费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类板块（含可选和必需消费品）目前PE在26–27倍左右，较10年均值略有偏高。例如，消费者可选板块PE约26.98倍，高于10年均值23.5倍约0.9个标准差。这是因为近年美股龙头消费公司（部分也是科技相关，如电商等）表现强劲。不过相较科技，消费板块估值处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历史中高位但未极端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，大致在70%–80%历史分位水平。</w:t>
      </w:r>
    </w:p>
    <w:p w14:paraId="5B47FB5C" w14:textId="77777777" w:rsidR="000321CD" w:rsidRPr="000321CD" w:rsidRDefault="000321CD" w:rsidP="000321C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金融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：金融板块（主要是银行、保险等）当前PE约17.5倍，低于自身10年均值13.7倍的水平？这里需澄清，金融板块估值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相对较低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，目前约17.5倍，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历史均值13.7倍约3.0个标准差。需注意金融行业往往以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市净率观察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估值，但PE也反映出近期银行业受利率影响盈利波动。由于2023年初美国地区银行危机等影响，市场给予金融板块较低估值，当前美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股金融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PE处在偏低的历史分位（约30%以下）。</w:t>
      </w:r>
    </w:p>
    <w:p w14:paraId="7382D375" w14:textId="77777777" w:rsidR="000321CD" w:rsidRPr="000321CD" w:rsidRDefault="000321CD" w:rsidP="000321C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能源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：能源板块是美股少数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估值偏低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的板块之一。目前能源板块PE约15.2倍，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低于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过去10年均值18.8倍（低约0.47个标准差）。换言之，能源股估值处在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历史中低位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。这与能源行业周期性强、盈利易受油价影响有关：当油价高企时，能源企业盈利大增，PE迅速压低，例如2022年油价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飙升令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能源板块PE一度降至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个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位数水平；而2020年疫情时油价暴跌，能源板块盈利转负，PE曾异常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飙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高。当前15倍左右的PE对应油价和盈利回归常态的环境，反映出市场对传统能源公司未来增长的谨慎预期，同时也意味着该板块或许存在一定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低估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迹象（详见后文案例分析）。</w:t>
      </w:r>
    </w:p>
    <w:p w14:paraId="7CF723F0" w14:textId="77777777" w:rsidR="000321CD" w:rsidRPr="000321CD" w:rsidRDefault="000321CD" w:rsidP="000321C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医疗保健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：医疗板块当前PE约24.9倍，略高于10年均值20.3倍（约+1.7σ）。医疗行业被视为防御性板块之一，其估值过去十年相对平稳，上下波动不如科技等剧烈。目前处于历史中等略偏高的位置，大约60%–70%分位。</w:t>
      </w:r>
    </w:p>
    <w:p w14:paraId="302AB8E2" w14:textId="77777777" w:rsidR="000321CD" w:rsidRPr="000321CD" w:rsidRDefault="000321CD" w:rsidP="000321C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新能源相关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：美股没有单列“新能源”板块，但可通过电动车、清洁能源企业来代表。这些公司（如特斯拉、太阳能企业等）在2020-2021年估值泡沫显著，市销率/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市梦率极高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，2022年后估值回落但仍偏高。以新能源车龙头特斯拉为例，其当前PE约75倍，虽低于高峰时的数百倍但依然处历史高位区间。整体而言，美股新能源概念公司的估值水平与科技成长股相近，体现了高增长预期下的溢价。</w:t>
      </w:r>
    </w:p>
    <w:p w14:paraId="720371F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总的来看，美股主要板块目前的估值分布呈现“两极分化”特征：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科技、部分可选消费等板块估值处在历史高位（高估）；而能源、部分金融等板块估值处于历史低位（低估）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。这也对应了近年来市场“成长股 vs 价值股”表现的反差。根据 Vanguard 2025年6月的分析，美股整体估值已达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99%历史分位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（接近历史最贵水平），而全球除美股外市场估值仅在59%分位——可见美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股当前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的估值溢价在全球范围内都是突出的。</w:t>
      </w:r>
    </w:p>
    <w:p w14:paraId="093815F5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2.2 A股主要板块估值及行业分类情况</w:t>
      </w:r>
    </w:p>
    <w:p w14:paraId="47AF09FB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A股市场方面，我们采用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申万一级行业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分类和Wind全市场指数数据，整理各主要板块的估值情况。与美股不同，A股估值在过去十年经历了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先压缩、后分化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的过程：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2010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年代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初总体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估值较高，随后在2015年泡沫破裂、2018年去杠杆等阶段估值下行，至2019-2020年部分成长行业又出现估值抬升。总体特点是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板块间估值差异较大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且政策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与宏观因素对A股估值影响显著。</w:t>
      </w:r>
    </w:p>
    <w:p w14:paraId="211EC1F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截至2025年7月，Wind全A指数（包含全部A股）滚动市盈率约17.35倍，处于2000年以来约25.9%的历史分位，显示总体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偏低估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。若剔除金融和两油等低估值权重板块，Wind全A（除金融、石油石化）PE约28.16倍，在历史上约36%分位。可见整体A股估值不高，但结构分化明显，需要分行业看待：</w:t>
      </w:r>
    </w:p>
    <w:p w14:paraId="340319A3" w14:textId="77777777" w:rsidR="000321CD" w:rsidRPr="000321CD" w:rsidRDefault="000321CD" w:rsidP="000321C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科技/信息技术（计算机、电子等）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：A股科技板块目前估值在各行业中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最高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以申万“计算机”行业指数为例，当前PE处于近10年**约95%**的历史分位（几乎是近十年最高水平）。这一方面由于今年来AI热潮带动计算机板块股价大涨，另一方面部分科技公司盈利基数较小，使市盈率偏高。类似地，电子元件、通信设备等科技子行业估值也处于历史高位区间。</w:t>
      </w:r>
    </w:p>
    <w:p w14:paraId="75FB48F2" w14:textId="77777777" w:rsidR="000321CD" w:rsidRPr="000321CD" w:rsidRDefault="000321CD" w:rsidP="000321C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消费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股消费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板块需区分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可选消费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（汽车、家电、休闲服务等）和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必需消费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（食品饮料、医药等）。今年来可选消费中的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汽车板块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估值显著抬升，PE达到历史高位前三（申万汽车行业PE分位也在前5%之列）。新能源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车相关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公司高估值是主因。而必需消费如食品饮料，估值相对理性，PE分位约在中位数附近甚至略低。整体看，消费板块内部分化：新能源车、免税旅游等景气方向估值高企，而传统消费如食品、家电估值处均值或以下。</w:t>
      </w:r>
    </w:p>
    <w:p w14:paraId="442A57BC" w14:textId="77777777" w:rsidR="000321CD" w:rsidRPr="000321CD" w:rsidRDefault="000321CD" w:rsidP="000321C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金融（银行、非银）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股金融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板块估值处于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历史低位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银行业当前PE仅5-6倍左右，PB更有大量银行破净（低于1倍PB），目前银行板块PE、PB均在历史底部约10%分位以下。非银行金融（券商、保险）PE也处低位，PB历史分位不到20%。金融板块低估反映出市场对经济及信用环境的担忧，以及投资者偏好科技成长导致资金远离金融蓝筹。</w:t>
      </w:r>
    </w:p>
    <w:p w14:paraId="2774AFD3" w14:textId="77777777" w:rsidR="000321CD" w:rsidRPr="000321CD" w:rsidRDefault="000321CD" w:rsidP="000321C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能源与资源（煤炭、石油石化、有色金属等）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：传统能源资源类在A股估值也偏低。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煤炭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行业PE处于历史最低分位之一（&lt;5%），很多煤炭股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不足5倍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PE；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有色金属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板块PE分位也在低位（&lt;10%）。石油石化类因盈利稳定PE略高但也在30%以下分位。造成这些板块低估的原因，一方面是周期行业盈利高峰导致PE低，另一方面市场对其未来成长性预期较低，给予估值折价。</w:t>
      </w:r>
    </w:p>
    <w:p w14:paraId="4289F40A" w14:textId="77777777" w:rsidR="000321CD" w:rsidRPr="000321CD" w:rsidRDefault="000321CD" w:rsidP="000321C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医疗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股医药生物板块前几年经历高估值，2021-2022年大幅调整，目前PE回落至约30倍上下，在近10年中位数附近。一些细分如中药、医疗服务估值仍偏贵，而仿制药、医疗器械估值已下降较多。整体医药板块估值分位约40%-50%，处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合理偏低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水平。</w:t>
      </w:r>
    </w:p>
    <w:p w14:paraId="4163FAED" w14:textId="77777777" w:rsidR="000321CD" w:rsidRPr="000321CD" w:rsidRDefault="000321CD" w:rsidP="000321C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新能源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：A股的“新能源”概念涵盖电力设备、新能源车、光伏、新能源电力等。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电力设备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（包括新能源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车产业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链、光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伏设备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等）是过去几年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最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火热的赛道之一，估值一度畸高。2021年板块PE曾超60倍，2022年起调整，目前电力设备行业PE回落到30倍左右，但仍处历史偏高分位（约70%分位）。值得注意的是，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CS新能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车指数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当前动态市盈率不到22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倍，位于10年历史仅约10%的分位，即估值比历史上90%时间都便宜。这显示由于近两年盈利增长，新能源汽车板块估值大幅消化，出现部分低估值龙头。但总体新能源产业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链由于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前期涨幅大，当前估值水准相对于自身历史仍不算低。</w:t>
      </w:r>
    </w:p>
    <w:p w14:paraId="339E210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综合而言，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股当前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多数传统行业（金融、能源、周期资源）估值处于历史低位区间，而成长型行业（科技、部分消费、新能源车等）估值处于相对高位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。这种分化也体现为市场热点集中在“高估值、高成长”板块，而低估值板块由于缺乏催化剂而被冷落。值得一提的是，A股整体估值不贵，但内部的结构性泡沫和结构性价值洼地并存。</w:t>
      </w:r>
    </w:p>
    <w:p w14:paraId="5465D598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2.3 港股及其他主要市场板块估值概览</w:t>
      </w:r>
    </w:p>
    <w:p w14:paraId="61C01011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港股市场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近年受到内外因素影响，估值跌至历史低位，被认为是全球主要市场中的“价值洼地”。截至2025年7月21日：</w:t>
      </w:r>
    </w:p>
    <w:p w14:paraId="203552F0" w14:textId="77777777" w:rsidR="000321CD" w:rsidRPr="000321CD" w:rsidRDefault="000321CD" w:rsidP="000321C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恒生指数PE约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8.98倍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，仅处于2000年以来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9.99%的历史分位。换言之，过去23年中有90%的时间港股估值高于当前水平，目前恒指估值接近历史极端低位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8BB9735" w14:textId="77777777" w:rsidR="000321CD" w:rsidRPr="000321CD" w:rsidRDefault="000321CD" w:rsidP="000321C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恒生国企指数（H股）PE约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7.66倍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，处于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13.00%历史分位；恒生红筹指数PE约6.66倍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，仅处**7.09%**的历史分位。这反映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出港股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无论蓝筹还是中资股，整体估值都极其低廉。</w:t>
      </w:r>
    </w:p>
    <w:p w14:paraId="0FA493D0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造成港股估值低迷的原因包括：中国经济复苏不及预期、美联储加息引发资金外流、地缘政治风险溢价等。但从全球配置角度看，港股的估值优势非常明显——例如恒生指数的PE不到美股三分之一。不少大型中资股在港股的股价甚至低于净资产，股息率吸引力较高。后文将结合AH股溢价指数等讨论这一现象。</w:t>
      </w:r>
    </w:p>
    <w:p w14:paraId="37C757F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欧洲市场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方面，整体估值介于美股和中国市场之间，较为温和。根据World P/E Ratio数据，截至2025年7月：</w:t>
      </w:r>
    </w:p>
    <w:p w14:paraId="7585C065" w14:textId="77777777" w:rsidR="000321CD" w:rsidRPr="000321CD" w:rsidRDefault="000321CD" w:rsidP="000321C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德国股市平均PE约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18.6倍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，法国约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18.4倍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，英国约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17.8倍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。这些估值水平大致接近其各自历史均值略偏下，属于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合理偏低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状态。欧洲股市在能源危机和地缘风险后，投资者情绪相对谨慎，估值未出现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美股式的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狂热溢价。</w:t>
      </w:r>
    </w:p>
    <w:p w14:paraId="2732C899" w14:textId="77777777" w:rsidR="000321CD" w:rsidRPr="000321CD" w:rsidRDefault="000321CD" w:rsidP="000321C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日本股市PE约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14.8倍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，低于欧美，处于偏低位置。日本近年来推行市场改革吸引资金，估值提升有限但盈利改善使PE下降。</w:t>
      </w:r>
    </w:p>
    <w:p w14:paraId="62464A41" w14:textId="77777777" w:rsidR="000321CD" w:rsidRPr="000321CD" w:rsidRDefault="000321CD" w:rsidP="000321C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新兴市场如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印度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PE约24.4倍，巴西仅10.1倍，中国（MSCI中国）约10.4倍。可见中国、巴西等市场估值极低，而印度因高增长预期反而估值较高接近美股水平。这也提醒我们，估值水平往往与增长预期和风险偏好密切相关。</w:t>
      </w:r>
    </w:p>
    <w:p w14:paraId="3D9B940D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综上，全球主要市场当下呈现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美股估值最高、港股A股等中华市场估值最低、欧洲等介于中间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的格局。这为全球资产配置提供了重要背景：便宜的市场不一定短期上涨，但从中长期看估值向均值回归是大概率事件。</w:t>
      </w:r>
    </w:p>
    <w:p w14:paraId="148B9AE8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当前估值水平的历史分位数分析</w:t>
      </w:r>
    </w:p>
    <w:p w14:paraId="4AC26423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在了解历史数据后，我们进一步量化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各板块当前估值处于自身历史区间的什么位置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，即计算历史分位数。这有助于判断哪些板块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（估值温度偏热）或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低估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（估值温度偏冷）。以下将分市场说明，并通过图表展示趋势：</w:t>
      </w:r>
    </w:p>
    <w:p w14:paraId="1E8872DA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各板块估值所处历史分位水平</w:t>
      </w:r>
    </w:p>
    <w:p w14:paraId="73AACA64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美股板块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：当前，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标普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500指数总体PE分位约在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90%以上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（非常高估）。具体行业来看：</w:t>
      </w:r>
    </w:p>
    <w:p w14:paraId="7A235D2E" w14:textId="77777777" w:rsidR="000321CD" w:rsidRPr="000321CD" w:rsidRDefault="000321CD" w:rsidP="000321C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科技（信息技术）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：PE分位接近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100%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，因当前PE已高于过去10年除极少数时点外的水平（+2.2σ意味着大约99 percentile）。可以说美股科技板块正处于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历史极值区域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9BA9B7B" w14:textId="77777777" w:rsidR="000321CD" w:rsidRPr="000321CD" w:rsidRDefault="000321CD" w:rsidP="000321C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可选消费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：PE约27倍，分位约在**70-80%**区间，属偏高估值但未到极端。</w:t>
      </w:r>
    </w:p>
    <w:p w14:paraId="46EB9B92" w14:textId="77777777" w:rsidR="000321CD" w:rsidRPr="000321CD" w:rsidRDefault="000321CD" w:rsidP="000321C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金融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：尽管PE略高于自身均值，但因金融危机和盈利波动史，当前估值分位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并不高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，银行为代表的金融股估值更倾向底部区域。</w:t>
      </w:r>
    </w:p>
    <w:p w14:paraId="57BBFA5E" w14:textId="77777777" w:rsidR="000321CD" w:rsidRPr="000321CD" w:rsidRDefault="000321CD" w:rsidP="000321C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能源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：PE仅15倍左右，在过去10年分位约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30-40%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，属于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低估区域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。能源板块当前估值温度计显示“便宜”。</w:t>
      </w:r>
    </w:p>
    <w:p w14:paraId="6180C92E" w14:textId="77777777" w:rsidR="000321CD" w:rsidRPr="000321CD" w:rsidRDefault="000321CD" w:rsidP="000321C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医疗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：PE分位约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60%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，接近中位水平略偏上，属合理偏贵。</w:t>
      </w:r>
    </w:p>
    <w:p w14:paraId="24B2CC2B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A股板块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：整体Wind全A PE分位约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25%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（低估）；但内部差异大：</w:t>
      </w:r>
    </w:p>
    <w:p w14:paraId="7A4F5B05" w14:textId="77777777" w:rsidR="000321CD" w:rsidRPr="000321CD" w:rsidRDefault="000321CD" w:rsidP="000321CD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高估前三行业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：当前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计算机（科技）行业PE估值分位高达94.93%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（几乎历史最高），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社会服务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行业（含旅游酒店等可选消费）和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汽车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行业紧随其后，也处于80-90%以上高位。这些行业估值温度计接近红区，提示存在一定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泡沫风险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或至少是乐观预期极高。</w:t>
      </w:r>
    </w:p>
    <w:p w14:paraId="5163C102" w14:textId="77777777" w:rsidR="000321CD" w:rsidRPr="000321CD" w:rsidRDefault="000321CD" w:rsidP="000321CD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低估行业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煤炭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有色金属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银行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当前PE分位均低于10%，是明显的历史底部区域。例如不少银行股PE仅5倍出头，对应业绩稳定但市场情绪极差。这些板块的估值温度计几乎打到“冰点”，某种程度上反映出可能的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价值洼地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AF03CAB" w14:textId="77777777" w:rsidR="000321CD" w:rsidRPr="000321CD" w:rsidRDefault="000321CD" w:rsidP="000321CD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其余多数行业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：估值分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位集中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在30%-60%之间，属正常偏低范围。例如食品饮料、家用电器等传统白马行业PE在历史中位数以下；军工板块PB分位略高于50%，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处合理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稍贵。总体A股除少数热门板块外，多数行业估值不算贵。</w:t>
      </w:r>
    </w:p>
    <w:p w14:paraId="6D546F3E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港股板块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：港股整体估值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极端低估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，所有恒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生行业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指数PE均低于各自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60%历史分位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，其中多数甚至低于20%。具体如：</w:t>
      </w:r>
    </w:p>
    <w:p w14:paraId="5B3C98EE" w14:textId="77777777" w:rsidR="000321CD" w:rsidRPr="000321CD" w:rsidRDefault="000321CD" w:rsidP="000321C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中资金融、工业、能源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等行业指数PE不到5%历史分位，非常便宜（见太平洋证券报告数据）。</w:t>
      </w:r>
    </w:p>
    <w:p w14:paraId="3EC3C298" w14:textId="77777777" w:rsidR="000321CD" w:rsidRPr="000321CD" w:rsidRDefault="000321CD" w:rsidP="000321C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科网科技股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因腾讯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等权重回调，估值也大降，目前恒生科技指数动态PE约25倍，在自身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短历史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来看也是低位。</w:t>
      </w:r>
    </w:p>
    <w:p w14:paraId="770D1CC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欧洲板块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：以行业层面数据，欧洲各行业PE大多在历史**40%-60%**中性区间，没有像美股那样极端高估，也无港股那样极端低估。欧洲市场目前估值既不“热”也不“冷”，反映出投资者对欧洲前景预期温和。</w:t>
      </w:r>
    </w:p>
    <w:p w14:paraId="4D15FD25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估值趋势图与历史区间对比</w:t>
      </w:r>
    </w:p>
    <w:p w14:paraId="5F9D6236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为更直观地观察估值分位的意义，下图展示了美股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科技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能源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两个板块过去十年的PE走势，并标示当前水平相对于历史区间的位置：</w:t>
      </w:r>
    </w:p>
    <w:p w14:paraId="33CD8F6E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（</w:t>
      </w:r>
      <w:r w:rsidRPr="000321CD">
        <w:rPr>
          <w:rFonts w:ascii="宋体" w:eastAsia="宋体" w:hAnsi="宋体" w:cs="宋体"/>
          <w:i/>
          <w:iCs/>
          <w:kern w:val="0"/>
          <w:sz w:val="24"/>
          <w14:ligatures w14:val="none"/>
        </w:rPr>
        <w:t>图1已给出，为科技 vs 能源估值趋势，可在此复述主要观察点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）</w:t>
      </w:r>
    </w:p>
    <w:p w14:paraId="7004325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从图1可以看到，**科技板块PE（橙线）**自2016年的20倍以下，攀升至2020-2021年超35倍的峰值，2022年一度回落到20倍附近，最近又升至36倍的新高。当前点几乎与2021年泡沫高峰持平，远高于图中历史均值水平线，说明科技板块估值重新逼近历史顶点。</w:t>
      </w:r>
    </w:p>
    <w:p w14:paraId="6C0B58F1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**能源板块PE（红线）**则呈现相反趋势：2016年时因上一轮油价低迷，能源PE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高企约30倍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；随着油价复苏，2018年降至20倍；2020年疫情冲击使能源盈利暴跌，PE一度飙升（图中红线2020年尖峰）；而2021-2022年油价飞涨，能源公司盈利大增，PE反而降至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个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位数；近期油价回落，能源PE回升至15倍左右。当前水平相当于图中红线的中段偏下位置，明显低于历史平均，处在过去十年的底部区域。</w:t>
      </w:r>
    </w:p>
    <w:p w14:paraId="0A5FF7C9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这样的对比清晰体现出不同板块估值所处分位：科技线接近过去高点（高估区），能源线贴近低点（低估区）。其他板块也可以用类似方法评估：例如A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股银行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指数的PB曲线长期下滑，目前低于以往大部分时期；港股恒指的PE曲线则在近年不断刷新20年新低。</w:t>
      </w:r>
    </w:p>
    <w:p w14:paraId="1EB19298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总之，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当前各主要板块估值在历史区间的位置已经明确分化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：一些热门板块在高位需警惕泡沫风险，而冷门板块在低位则可能孕育长期机会。下面我们将结合宏观和情绪因素分析形成这些高估/低估格局的原因。</w:t>
      </w:r>
    </w:p>
    <w:p w14:paraId="1D518A04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宏观与市场情绪指标对估值的影响</w:t>
      </w:r>
    </w:p>
    <w:p w14:paraId="5C28892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股票估值不仅反映企业基本面预期，也与宏观经济环境和市场情绪密不可分。本节聚焦当前宏观指标（利率、通胀、增长）和情绪指标（市场波动率、投资者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）如何影响不同板块估值，并评估这些因素的变化可能带来的估值调整压力。</w:t>
      </w:r>
    </w:p>
    <w:p w14:paraId="1A2284DF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4.1 利率、通胀、GDP增速等宏观指标的影响</w:t>
      </w:r>
    </w:p>
    <w:p w14:paraId="39502179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利率水平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被视为股市估值的“锚”。一般而言，低利率环境下，未来现金流折现率下降，股票尤其是远期成长股可享受更高估值；高利率则提高贴现率从而压低股权估值。过去十年宏观利率的大起大落对板块估值影响显著：</w:t>
      </w:r>
    </w:p>
    <w:p w14:paraId="5220FD37" w14:textId="77777777" w:rsidR="000321CD" w:rsidRPr="000321CD" w:rsidRDefault="000321CD" w:rsidP="000321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2010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年代中期起，美联储缓慢加息，科技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等成长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板块估值曾受抑制；但到2020年疫情后零利率+QE，科技股估值迅速扩张，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利率下行推动高成长板块泡沫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。2022年美联储激进加息至5%以上，成长板块估值大幅压缩（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纳指2022年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跌幅达30%以上），尤其是无盈利的概念科技公司估值腰斩，因为利率上升令这些股票的理论估值下降幅度最大。相反，银行等金融股在加息初期因利差扩大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反获青睐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，估值有所提升。</w:t>
      </w:r>
    </w:p>
    <w:p w14:paraId="569F1426" w14:textId="77777777" w:rsidR="000321CD" w:rsidRPr="000321CD" w:rsidRDefault="000321CD" w:rsidP="000321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当前（2025年）美联储利率仍在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5%以上），全球主要央行也大多结束宽松。按理高利率环境下，股市估值应承受压力。然而2023年以来科技等板块估值重新走高，部分原因在于市场预期未来利率将下降，提前为成长故事支付溢价。若未来利率维持高位更久，可能导致这些预期落空，估值面临回调压力——尤其对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高PE的科技成长板块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FD4E899" w14:textId="77777777" w:rsidR="000321CD" w:rsidRPr="000321CD" w:rsidRDefault="000321CD" w:rsidP="000321C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在中国，利率趋势相反。近两年人民银行多次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降息降准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，10年期国债利率降至约2.5%的低位。低利率本应提高股票估值吸引力，但A股估值却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未整体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提升，这是因为经济基本面疲弱压制企业盈利预期，投资者信心不足。传统板块即便利率下行也难以提振估值。但结构上看，低利率使得投资者风险偏好提升，更愿意为远期成长买单，所以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A股资金偏好高弹性成长股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，推高了科技、新能源等板块估值，而低估值蓝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筹依然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无人问津。这与美股情形类似：低利率时代塑造了“成长股溢价”。</w:t>
      </w:r>
    </w:p>
    <w:p w14:paraId="15EBF38D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**通胀（CPI）**水平通过影响利率预期和企业利润而间接影响估值：</w:t>
      </w:r>
    </w:p>
    <w:p w14:paraId="17EB2405" w14:textId="77777777" w:rsidR="000321CD" w:rsidRPr="000321CD" w:rsidRDefault="000321CD" w:rsidP="000321C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高通胀时期央行往往收紧政策，利率上升降低估值。同时高通胀也抬高企业成本侵蚀利润，对某些行业估值不利。2021-2022年的全球通胀飙升使股市估值普遍下调，即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体现此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效应。</w:t>
      </w:r>
    </w:p>
    <w:p w14:paraId="32D18558" w14:textId="77777777" w:rsidR="000321CD" w:rsidRPr="000321CD" w:rsidRDefault="000321CD" w:rsidP="000321C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然而适度通胀伴随经济增长时，一些周期行业盈利改善反而估值提高。例如能源、材料等在通胀初期迎来盈利上行，PE可能降低吸引资金。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材料和能源板块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有时被视为通胀对冲，在通胀升温时其股票估值相对抗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跌甚至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提升。相反，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科技成长股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在高通胀下因利率预期升高和未来增长不确定增加，估值受压。</w:t>
      </w:r>
    </w:p>
    <w:p w14:paraId="2AF55D48" w14:textId="77777777" w:rsidR="000321CD" w:rsidRPr="000321CD" w:rsidRDefault="000321CD" w:rsidP="000321C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当前全球通胀率较2022年高峰回落，但仍高于央行目标（如美国CPI仍3%左右）。只要通胀未彻底受控，各国央行不会轻易大幅降息。这意味着高估值板块暂不具备宏观宽松土壤支持，估值扩张需谨慎。</w:t>
      </w:r>
    </w:p>
    <w:p w14:paraId="2208649B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GDP增长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及宏观景气对不同行业估值的影响：</w:t>
      </w:r>
    </w:p>
    <w:p w14:paraId="370852CB" w14:textId="77777777" w:rsidR="000321CD" w:rsidRPr="000321CD" w:rsidRDefault="000321CD" w:rsidP="000321CD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当经济高速增长预期时，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周期性行业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（可选消费、工业、金融、能源）盈利前景好，市场愿意给予更高估值。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反之经济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衰退预期下，这些行业盈利下滑风险大，估值往往预先跌至低位。当前美国经济增长仍稳健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（市场数次推迟衰退预期），这支撑了消费和工业板块相对稳定的估值。如果未来增长放缓甚至衰退，估值较高的可选消费和工业股可能面临“双杀”（盈利下降+估值下移）。</w:t>
      </w:r>
    </w:p>
    <w:p w14:paraId="555D1055" w14:textId="77777777" w:rsidR="000321CD" w:rsidRPr="000321CD" w:rsidRDefault="000321CD" w:rsidP="000321CD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对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防御性行业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公用事业、医疗、必需消费）来说，GDP波动对其盈利影响小，估值更多取决于利率和风险偏好。因此利率高企时期，公用事业等因类债券特性PE也会下降（例如当前美股公用事业PE约21倍，在各板块中偏低）。一旦经济衰退临近，资金可能又涌入防御行业推高其估值。这种轮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动需要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关注。</w:t>
      </w:r>
    </w:p>
    <w:p w14:paraId="6E487DDE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综合来看，当前宏观环境对各板块估值的指引是：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高利率+温和增长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组合有利于传统价值板块（金融、能源）维持相对低估值优势，而不利于成长板块进一步提升估值。若未来出现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利率快速下行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（伴随通胀回落），则成长板块估值可能再次大幅扩张；若出现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经济衰退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，周期板块即使估值低也可能因为盈利塌方而暂时承受压力，防御板块和黄金等反而受捧。</w:t>
      </w:r>
    </w:p>
    <w:p w14:paraId="6E11AA8D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4.2 VIX波动率及散户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等情绪指标的影响</w:t>
      </w:r>
    </w:p>
    <w:p w14:paraId="36C8DBA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市场情绪往往通过风险偏好来影响估值倍数。当投资者贪婪乐观时，愿意支付更高倍数；恐惧悲观时，估值会大打折扣。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VIX指数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（CBOE波动率指数，被称为“恐慌指数”）和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散户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等指标可用于衡量当前情绪温度：</w:t>
      </w:r>
    </w:p>
    <w:p w14:paraId="529EABCB" w14:textId="77777777" w:rsidR="000321CD" w:rsidRPr="000321CD" w:rsidRDefault="000321CD" w:rsidP="000321CD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VIX指数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：VIX高企（&gt;30）通常对应市场剧烈波动或暴跌时期，此时股票估值被压低，往往出现“估值底”。例如2020年3月疫情冲击时VIX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飙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至80，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标普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500估值迅速跌至仅18倍附近。反之，VIX长期低迷（&lt;15）往往意味着市场过于平静和自满，此时估值可能无视风险而攀高。目前VIX在13左右的低位，显示市场情绪相当乐观甚至有些麻痹。这与美股科技股泡沫再现是同步的。需要警惕的是，极低的VIX往往是市场高点的先兆之一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在这种情绪下易被追捧过头。</w:t>
      </w:r>
    </w:p>
    <w:p w14:paraId="2C3171B3" w14:textId="77777777" w:rsidR="000321CD" w:rsidRPr="000321CD" w:rsidRDefault="000321CD" w:rsidP="000321CD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散户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指标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：散户投资者的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或资金流向也是情绪晴雨表。比如中国有“散户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指数”，今年以来一度达到80%左右的高水平, 表明散户几乎满仓操作，这往往发生在市场阶段性乐观的时候。同样，美国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AAII投资者情绪调查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在2023年初连续多个月显示看多情绪占优，但到了4月股市调整时，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牛熊差一度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转负值（看空者略多于看多者）。散户情绪转换快，容易追涨杀跌。当前在AI行情带动下，无论中美市场都出现了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散户资金追捧热点股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的现象：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据盈透证券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统计，今年散户不断逢低买入NVIDIA、特斯拉、AMD等热门科技股。这种行为推高相关板块估值，但也埋下波动隐患。</w:t>
      </w:r>
    </w:p>
    <w:p w14:paraId="7FE3A987" w14:textId="77777777" w:rsidR="000321CD" w:rsidRPr="000321CD" w:rsidRDefault="000321CD" w:rsidP="000321CD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机构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及资金流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：相较散户，机构投资者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变化对估值影响更深远。例如美国主动型基金近期股票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在降低——NAAIM（主动投资经理协会）调查显示4月中旬平均股票敞口降至63%，创数月新低。当机构减仓时，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容易先调整。不过亦有反向指标：J.P. Morgan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的“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战术仓位监测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TPM”近期发出买入信号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，因仓位大幅下降被视为短期利好。这些指标主要影响短期波动，但也反映了对估值过高板块的警惕心态。</w:t>
      </w:r>
    </w:p>
    <w:p w14:paraId="5BEBA783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目前可以总结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市场情绪对估值的作用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：美股方面情绪偏乐观（VIX低、炒作浓），支撑了科技等板块的高估值持续；A股市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场情绪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分化，局部（AI、新能源）过热而整体交投意愿一般。倘若未来出现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情绪转向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（例如宏观不确定性升高导致VIX跳涨，或散户遭受亏损撤退），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的估值可能迅速降温。而低估板块由于本就无人问津，受情绪影响相对小，甚至在极端悲观时成为“避风港”。投资者应密切关注情绪指标的变化，作为判断估值是否偏离基本面的辅助信号。</w:t>
      </w:r>
    </w:p>
    <w:p w14:paraId="7A863603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案例剖析：AI板块 vs 传统能源板块</w:t>
      </w:r>
    </w:p>
    <w:p w14:paraId="09D300BD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当前市场上，一个被广泛讨论的问题是：**以人工智能（AI）为代表的新兴科技板块是否存在泡沫？与之相对，传统价值板块例如能源板块是否被低估？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本节通过对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NVIDIA（英伟达）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传统能源巨头（以埃克森美孚XOM为代表）**的基本面和估值结构对比，深入分析两者背后的逻辑，并给出“泡沫”或“洼地”的判断依据。</w:t>
      </w:r>
    </w:p>
    <w:p w14:paraId="7ECFF8A5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5.1 NVIDIA为代表的AI板块基本面与估值结构</w:t>
      </w:r>
    </w:p>
    <w:p w14:paraId="0B82D5AB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英伟达（NVIDIA）作为AI时代的领军公司，其股价在2023-2025年大幅上涨，市值一度突破3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万亿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美元，成为全球市值最高的科技公司之一。AI板块的热度集中体现在NVIDIA等少数公司上，形成了明显的估值泡沫特征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354BC130" w14:textId="77777777" w:rsidR="000321CD" w:rsidRPr="000321CD" w:rsidRDefault="000321CD" w:rsidP="000321CD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估值指标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极端高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企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：截至2025年7月1日，NVIDIA的预期市盈率（forward PE）约为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45倍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，市销率（P/S）高达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30倍以上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样的估值水平通常只见于初创高成长科技股，但NVIDIA已是成熟巨头。这意味着市场预期其未来仍将保持高速增长。NVIDIA当前估值已反映了“完美执行、无限成长”的乐观假设。例如，其PEG（市盈率相对于盈利增速比）达1.5以上，远高于1的合理水平。尽管AI前景光明，如Morgan Stanley等看好其在AI芯片领域无可匹敌的地位，但如此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超高估值需要持续超预期增长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才能消化。一旦成长稍有放缓，估值泡沫就可能破裂。</w:t>
      </w:r>
    </w:p>
    <w:p w14:paraId="363F0D87" w14:textId="77777777" w:rsidR="000321CD" w:rsidRPr="000321CD" w:rsidRDefault="000321CD" w:rsidP="000321CD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基本面亮点与隐忧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NVIDIA基本面确实强劲——数据中心GPU业务营收同比增427%，毛利率高达75%，技术护城河深厚。这支撑多头认为其高估值有理。然而隐忧在于：爆发式增长部分受一次性AI服务器建设潮驱动，能否持续存疑；产能过度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依赖台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积电，供应瓶颈可能掣肘；美国出口管制和中美摩擦可能限制其20%-25%的中国市场。这些风险一旦显现，盈利不达预期，高昂估值将难以为继。</w:t>
      </w:r>
    </w:p>
    <w:p w14:paraId="2BF6CBA3" w14:textId="77777777" w:rsidR="000321CD" w:rsidRPr="000321CD" w:rsidRDefault="000321CD" w:rsidP="000321CD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市场情绪助推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I成为市场狂热主题，NVIDIA被视为“必买”标的，散户资金疯狂追捧逢低加仓。这种情绪导致股价超涨而脱离基本面。Truist投资机构CIO称“几乎所有历史标准看，市场估值都很贵”，问题在于是否合理。NVIDIA当前股价无疑包含了大量情绪溢价。</w:t>
      </w:r>
    </w:p>
    <w:p w14:paraId="35EEECA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综合判断，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AI板块（以NVIDIA为代表）存在明显泡沫迹象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：估值远超合理区间，需要长期高增长兑现才能消化。市场对AI前景极度乐观，一旦有任何风吹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草动（如业绩不及预期、宏观利率上升压缩估值），都可能引发估值重估。我们不否认AI的变革潜力，但从投资角度，现阶段介入高高在上的估值无异于博傻，风险很大。NVIDIA的例子表明AI板块短期**“估值泡沫”**的说法并非危言耸听。</w:t>
      </w:r>
    </w:p>
    <w:p w14:paraId="29F9A49A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5.2 传统能源板块基本面与估值结构</w:t>
      </w:r>
    </w:p>
    <w:p w14:paraId="692C6AEE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与AI板块形成鲜明对比的是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传统能源板块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，包括石油、天然气等行业龙头公司。以**埃克森美孚（XOM）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为例，能源板块呈现出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“价值洼地”**的典型特征：</w:t>
      </w:r>
    </w:p>
    <w:p w14:paraId="680F1522" w14:textId="77777777" w:rsidR="000321CD" w:rsidRPr="000321CD" w:rsidRDefault="000321CD" w:rsidP="000321CD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估值低迷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：截至今年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年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中，埃克森美孚股价上涨约9%，但其 forward市盈率仅从年初13.5倍升至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15.5倍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。这一PE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在标普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500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各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行业中是最低之列。同时XOM股息率接近3.5%，远高于多数科技股0-1%的水平。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整个标普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能源板块平均股息收益率约3.1%，估值和收益特征近似债券。此外，能源公司普遍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市净率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不到2倍，部分中小型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油企甚至破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净，这表明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价值被显著低估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5AAB00A" w14:textId="77777777" w:rsidR="000321CD" w:rsidRPr="000321CD" w:rsidRDefault="000321CD" w:rsidP="000321CD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盈利与预期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：当前油价在每桶70美元上下，较去年高点下跌，分析师纷纷下调能源企业盈利预期。XOM 2025年EPS预测从年初的$7.96降至$7.47。盈利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预期走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弱，本应压制股价，但能源股却靠估值提升实现上涨（即投资者愿以更高PE购买，抵消盈利下调）。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Gerdes能源研究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分析师指出，这反映资金视能源板块为“烫手山芋中的最好房子”——科技等风险更大板块不受信任，资金转入相对便宜安全的能源股。这在一定程度上推高了能源板块的估值从极低回升，但即便如此，15倍PE仍不算高。</w:t>
      </w:r>
    </w:p>
    <w:p w14:paraId="20303EAF" w14:textId="77777777" w:rsidR="000321CD" w:rsidRPr="000321CD" w:rsidRDefault="000321CD" w:rsidP="000321CD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长期前景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影响能源板块估值的一大因素是对石油长期需求的预期。近年来碳中和浪潮让市场担心石油需求见顶，因此给予能源公司低估值以反映长期衰退风险。然而最近迹象表明，“石油时代可能比预期更持久”。近月与远期原油期货价差缩窄，显示市场对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未来油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需更乐观。如果石油需求并不会快速塌方，那当前能源股估值就显得过度悲观。此外，能源企业经过上一轮惨痛教训，大多变得资本开支克制、专注股东回报，埃克森美孚和雪佛龙都大量用于回购和分红。这使其盈利和现金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流具有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吸引力，也对估值提供支撑（强股息保护）。</w:t>
      </w:r>
    </w:p>
    <w:p w14:paraId="75E18B40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将上述放在一起，传统能源板块可谓具备**“价值洼地”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特征：基本面稳健（只要油价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不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暴跌，能源巨头盈利稳）、估值处历史低位、市场预期悲观、却有高股息和回购托底。这并不意味着能源股不会下跌——短期油价波动和政策风险仍会造成股价波动。但若以中长期视角，目前价格买入能源龙头获得的是相对确定的收益和较大的安全边际。从风险收益看，能源板块的吸引力在提升。正如Gerdes所言：“市场对其它板块信心下降，资金正轮动进入能源股”。只要油价不出现趋势性下行，能源板块估值有望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修复向上**，这正是价值投资者青睐的场景。</w:t>
      </w:r>
    </w:p>
    <w:p w14:paraId="68A8019F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5.3 “泡沫”或“价值洼地”的判断依据</w:t>
      </w:r>
    </w:p>
    <w:p w14:paraId="105315D8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通过以上AI vs 能源案例，可以总结判断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板块高估或低估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的几个关键依据：</w:t>
      </w:r>
    </w:p>
    <w:p w14:paraId="5E79B437" w14:textId="77777777" w:rsidR="000321CD" w:rsidRPr="000321CD" w:rsidRDefault="000321CD" w:rsidP="000321C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估值倍数相对历史/同业的极端程度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：NVIDIA的PE、PS远超自身历史和其他公司（水平均值数倍以上），能源板块PE则处于底部偏离大盘平均（只有大盘的一半甚至更低）。前者暗示泡沫，后者暗示洼地。</w:t>
      </w:r>
    </w:p>
    <w:p w14:paraId="7E039D62" w14:textId="77777777" w:rsidR="000321CD" w:rsidRPr="000321CD" w:rsidRDefault="000321CD" w:rsidP="000321C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市场预期与定价偏离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：AI板块定价隐含了极度乐观预期（持续超高速增长、垄断地位等），任何不达预期都会导致调整。能源板块定价隐含了悲观预期（需求将衰退、盈利难持久等），如果实际情况好于预期，其估值有上行空间。</w:t>
      </w:r>
    </w:p>
    <w:p w14:paraId="6BB9BF05" w14:textId="77777777" w:rsidR="000321CD" w:rsidRPr="000321CD" w:rsidRDefault="000321CD" w:rsidP="000321C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资金动向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：泡沫板块往往有过多逐利资金涌入，成交活跃度极高，筹码高度集中于短线热钱。价值洼地则常被冷落，交投清淡，多为空头或观望者，对应换手率低。AI主题今年的资金热度和能源股的无人问津形成对比。</w:t>
      </w:r>
    </w:p>
    <w:p w14:paraId="4FE21DEC" w14:textId="77777777" w:rsidR="000321CD" w:rsidRPr="000321CD" w:rsidRDefault="000321CD" w:rsidP="000321C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基本面与估值匹配度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：即便AI公司有光明前景，但45倍PE是否合理还需盈利成长验证；而能源公司哪怕增长有限，但5-10倍PE显然低估了其稳健现金流。基本面和估值错配越大，泡沫或洼地的概率越高。</w:t>
      </w:r>
    </w:p>
    <w:p w14:paraId="30A2D15C" w14:textId="77777777" w:rsidR="000321CD" w:rsidRPr="000321CD" w:rsidRDefault="000321CD" w:rsidP="000321C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宏观环境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：泡沫往往滋生于宽松或过热环境，如AI浪潮赶上宽松余温；洼地则多出现在周期低谷或高利率冷淡时期，如能源在气候压力和紧缩周期下低估。宏观逆风中幸存的低估值资产，一旦风向转变，估值修复动力强。</w:t>
      </w:r>
    </w:p>
    <w:p w14:paraId="71467C1A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基于这些因素，我们认为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AI板块目前存在局部泡沫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（需要提防估值回归风险），而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传统能源板块整体处于价值洼地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（具有中长期配置价值）。当然，这并非静态结论：若AI公司未来几年真兑现超常业绩增长，泡沫可能软着陆为合理；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若全球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加速能源转型压制油价，能源洼地也可能成为“价值陷阱”。投资者应动态跟踪基本面，以验证当下判断。</w:t>
      </w:r>
    </w:p>
    <w:p w14:paraId="3813EECD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情景分析：利率高位、快速下调与经济衰退</w:t>
      </w:r>
    </w:p>
    <w:p w14:paraId="6FBD03F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鉴于宏观环境对估值影响重大，本节设计三种潜在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市场情景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，模拟各板块估值可能的回归幅度和时间窗口。三种情景分别为：</w:t>
      </w:r>
    </w:p>
    <w:p w14:paraId="414DFE3C" w14:textId="77777777" w:rsidR="000321CD" w:rsidRPr="000321CD" w:rsidRDefault="000321CD" w:rsidP="000321CD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情景A：利率维持高位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 xml:space="preserve"> – 假设未来一年主要央行利率保持当前高位（美联储维持5%以上，无明显降息），全球经济温和增长不出现衰退。</w:t>
      </w:r>
    </w:p>
    <w:p w14:paraId="681F2607" w14:textId="77777777" w:rsidR="000321CD" w:rsidRPr="000321CD" w:rsidRDefault="000321CD" w:rsidP="000321CD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情景B：利率快速下调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 xml:space="preserve"> – 假设通胀迅速受控，各国央行在未来6-12个月内大幅降息（美联储降息100bps以上），流动性环境宽松重现。</w:t>
      </w:r>
    </w:p>
    <w:p w14:paraId="0E02B968" w14:textId="77777777" w:rsidR="000321CD" w:rsidRPr="000321CD" w:rsidRDefault="000321CD" w:rsidP="000321CD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情景C：经济衰退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 xml:space="preserve"> – 假设2025年前后主要经济体陷入温和衰退（GDP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增速转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负），央行被迫降息但企业盈利大幅下滑。</w:t>
      </w:r>
    </w:p>
    <w:p w14:paraId="198F7C9C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在每种情景下，不同行业板块的估值将如何变动？下表给出了模拟的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估值回归幅度（以当前估值为基准的变化）和大致时间窗口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869"/>
        <w:gridCol w:w="2215"/>
        <w:gridCol w:w="3613"/>
      </w:tblGrid>
      <w:tr w:rsidR="000321CD" w:rsidRPr="000321CD" w14:paraId="41FE902A" w14:textId="77777777" w:rsidTr="00032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C3E7F" w14:textId="77777777" w:rsidR="000321CD" w:rsidRPr="000321CD" w:rsidRDefault="000321CD" w:rsidP="000321C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板块</w:t>
            </w:r>
          </w:p>
        </w:tc>
        <w:tc>
          <w:tcPr>
            <w:tcW w:w="0" w:type="auto"/>
            <w:vAlign w:val="center"/>
            <w:hideMark/>
          </w:tcPr>
          <w:p w14:paraId="5AE64F19" w14:textId="77777777" w:rsidR="000321CD" w:rsidRPr="000321CD" w:rsidRDefault="000321CD" w:rsidP="000321C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情景A: 利率高位</w:t>
            </w:r>
          </w:p>
        </w:tc>
        <w:tc>
          <w:tcPr>
            <w:tcW w:w="0" w:type="auto"/>
            <w:vAlign w:val="center"/>
            <w:hideMark/>
          </w:tcPr>
          <w:p w14:paraId="50755E6D" w14:textId="77777777" w:rsidR="000321CD" w:rsidRPr="000321CD" w:rsidRDefault="000321CD" w:rsidP="000321C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情景B: 利率快速下调</w:t>
            </w:r>
          </w:p>
        </w:tc>
        <w:tc>
          <w:tcPr>
            <w:tcW w:w="0" w:type="auto"/>
            <w:vAlign w:val="center"/>
            <w:hideMark/>
          </w:tcPr>
          <w:p w14:paraId="41B46E77" w14:textId="77777777" w:rsidR="000321CD" w:rsidRPr="000321CD" w:rsidRDefault="000321CD" w:rsidP="000321C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情景C: 经济衰退</w:t>
            </w:r>
          </w:p>
        </w:tc>
      </w:tr>
      <w:tr w:rsidR="000321CD" w:rsidRPr="000321CD" w14:paraId="541FF3A4" w14:textId="77777777" w:rsidTr="00032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794B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科技 (AI等)</w:t>
            </w:r>
          </w:p>
        </w:tc>
        <w:tc>
          <w:tcPr>
            <w:tcW w:w="0" w:type="auto"/>
            <w:vAlign w:val="center"/>
            <w:hideMark/>
          </w:tcPr>
          <w:p w14:paraId="7A530A82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估值小幅回调或横盘，高位难再上行；压制持续，回归正常估值需1-2年</w:t>
            </w:r>
          </w:p>
        </w:tc>
        <w:tc>
          <w:tcPr>
            <w:tcW w:w="0" w:type="auto"/>
            <w:vAlign w:val="center"/>
            <w:hideMark/>
          </w:tcPr>
          <w:p w14:paraId="5EC71C61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估值迅速扩张20-30%，可能再创新高；泡沫延续，6-12个月内发生</w:t>
            </w:r>
          </w:p>
        </w:tc>
        <w:tc>
          <w:tcPr>
            <w:tcW w:w="0" w:type="auto"/>
            <w:vAlign w:val="center"/>
            <w:hideMark/>
          </w:tcPr>
          <w:p w14:paraId="17989885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估值大幅下杀30%以上（盈利预期降+恐慌情绪），但因其“长_duration”，衰退后有望较快修复</w:t>
            </w:r>
          </w:p>
        </w:tc>
      </w:tr>
      <w:tr w:rsidR="000321CD" w:rsidRPr="000321CD" w14:paraId="4796B488" w14:textId="77777777" w:rsidTr="00032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C5CC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消费 (可选)</w:t>
            </w:r>
          </w:p>
        </w:tc>
        <w:tc>
          <w:tcPr>
            <w:tcW w:w="0" w:type="auto"/>
            <w:vAlign w:val="center"/>
            <w:hideMark/>
          </w:tcPr>
          <w:p w14:paraId="78FB2089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估值略有压缩，因高利率抑制消费信贷；估值回归5-10%，时间约1年</w:t>
            </w:r>
          </w:p>
        </w:tc>
        <w:tc>
          <w:tcPr>
            <w:tcW w:w="0" w:type="auto"/>
            <w:vAlign w:val="center"/>
            <w:hideMark/>
          </w:tcPr>
          <w:p w14:paraId="551C2A85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估值提升10-15%，低利率刺激消费预期；半年内体现</w:t>
            </w:r>
          </w:p>
        </w:tc>
        <w:tc>
          <w:tcPr>
            <w:tcW w:w="0" w:type="auto"/>
            <w:vAlign w:val="center"/>
            <w:hideMark/>
          </w:tcPr>
          <w:p w14:paraId="349808CF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估值和盈利双降，或下跌20%；衰退期防御属性不强，需1-2年恢复</w:t>
            </w:r>
          </w:p>
        </w:tc>
      </w:tr>
      <w:tr w:rsidR="000321CD" w:rsidRPr="000321CD" w14:paraId="32CBD727" w14:textId="77777777" w:rsidTr="00032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9C3F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金融 (银行)</w:t>
            </w:r>
          </w:p>
        </w:tc>
        <w:tc>
          <w:tcPr>
            <w:tcW w:w="0" w:type="auto"/>
            <w:vAlign w:val="center"/>
            <w:hideMark/>
          </w:tcPr>
          <w:p w14:paraId="28AF0ABC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估值偏低维持，利率</w:t>
            </w:r>
            <w:proofErr w:type="gramStart"/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高利好</w:t>
            </w:r>
            <w:proofErr w:type="gramEnd"/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利差但经济风险在；横盘为主</w:t>
            </w:r>
          </w:p>
        </w:tc>
        <w:tc>
          <w:tcPr>
            <w:tcW w:w="0" w:type="auto"/>
            <w:vAlign w:val="center"/>
            <w:hideMark/>
          </w:tcPr>
          <w:p w14:paraId="5E3B8CDC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估值可能下降（降息压缩利差），银行PE或下调20%；但经济回暖缓冲，1年左右反映</w:t>
            </w:r>
          </w:p>
        </w:tc>
        <w:tc>
          <w:tcPr>
            <w:tcW w:w="0" w:type="auto"/>
            <w:vAlign w:val="center"/>
            <w:hideMark/>
          </w:tcPr>
          <w:p w14:paraId="2D97C776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先跌后涨：衰退冲击坏账上升估值跌20%，随后政策救市修复；完整周期约2-3年</w:t>
            </w:r>
          </w:p>
        </w:tc>
      </w:tr>
      <w:tr w:rsidR="000321CD" w:rsidRPr="000321CD" w14:paraId="6FEDF0C4" w14:textId="77777777" w:rsidTr="00032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D27A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能源</w:t>
            </w:r>
          </w:p>
        </w:tc>
        <w:tc>
          <w:tcPr>
            <w:tcW w:w="0" w:type="auto"/>
            <w:vAlign w:val="center"/>
            <w:hideMark/>
          </w:tcPr>
          <w:p w14:paraId="00DC6DF6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估值缓升，油价稳中有升带动PE小幅提高10%；过程较缓，1年以上</w:t>
            </w:r>
          </w:p>
        </w:tc>
        <w:tc>
          <w:tcPr>
            <w:tcW w:w="0" w:type="auto"/>
            <w:vAlign w:val="center"/>
            <w:hideMark/>
          </w:tcPr>
          <w:p w14:paraId="23732F77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估值扩张15%左右（低利率提高风险偏好+经济</w:t>
            </w:r>
            <w:proofErr w:type="gramStart"/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转暖提油需</w:t>
            </w:r>
            <w:proofErr w:type="gramEnd"/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）；油价同步涨；1年内</w:t>
            </w:r>
          </w:p>
        </w:tc>
        <w:tc>
          <w:tcPr>
            <w:tcW w:w="0" w:type="auto"/>
            <w:vAlign w:val="center"/>
            <w:hideMark/>
          </w:tcPr>
          <w:p w14:paraId="14F0AB72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估值先跌后平：衰退压制需求PE或临时升高（盈利降），股价跌；但因估值本低，下跌有限10-15%，衰退后随经济复苏修复</w:t>
            </w:r>
          </w:p>
        </w:tc>
      </w:tr>
      <w:tr w:rsidR="000321CD" w:rsidRPr="000321CD" w14:paraId="7C2783DF" w14:textId="77777777" w:rsidTr="00032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882E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医疗 (防御)</w:t>
            </w:r>
          </w:p>
        </w:tc>
        <w:tc>
          <w:tcPr>
            <w:tcW w:w="0" w:type="auto"/>
            <w:vAlign w:val="center"/>
            <w:hideMark/>
          </w:tcPr>
          <w:p w14:paraId="5E86F70B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估值基本平稳，高利率对其影响中性；可能微降5%，逐步体现</w:t>
            </w:r>
          </w:p>
        </w:tc>
        <w:tc>
          <w:tcPr>
            <w:tcW w:w="0" w:type="auto"/>
            <w:vAlign w:val="center"/>
            <w:hideMark/>
          </w:tcPr>
          <w:p w14:paraId="7AC052E2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估值稍降，因资金转去成长股，防御板块不再稀缺；PE降5-10%；半年内</w:t>
            </w:r>
          </w:p>
        </w:tc>
        <w:tc>
          <w:tcPr>
            <w:tcW w:w="0" w:type="auto"/>
            <w:vAlign w:val="center"/>
            <w:hideMark/>
          </w:tcPr>
          <w:p w14:paraId="3F38ABE7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估值提升，资金涌入防御板块推高PE约+15%；衰退期间体现</w:t>
            </w:r>
          </w:p>
        </w:tc>
      </w:tr>
      <w:tr w:rsidR="000321CD" w:rsidRPr="000321CD" w14:paraId="5C83C296" w14:textId="77777777" w:rsidTr="00032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02BE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新能源</w:t>
            </w:r>
          </w:p>
        </w:tc>
        <w:tc>
          <w:tcPr>
            <w:tcW w:w="0" w:type="auto"/>
            <w:vAlign w:val="center"/>
            <w:hideMark/>
          </w:tcPr>
          <w:p w14:paraId="42A4E8E6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估值承压，高利率不利于高投入行业，PE可能缓降10%；1-2年内完成</w:t>
            </w:r>
          </w:p>
        </w:tc>
        <w:tc>
          <w:tcPr>
            <w:tcW w:w="0" w:type="auto"/>
            <w:vAlign w:val="center"/>
            <w:hideMark/>
          </w:tcPr>
          <w:p w14:paraId="4B878A08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估值大涨20%以上，宽松推动新一轮“讲故事”行情；6个月内就会反映在股价</w:t>
            </w:r>
          </w:p>
        </w:tc>
        <w:tc>
          <w:tcPr>
            <w:tcW w:w="0" w:type="auto"/>
            <w:vAlign w:val="center"/>
            <w:hideMark/>
          </w:tcPr>
          <w:p w14:paraId="29C743E0" w14:textId="77777777" w:rsidR="000321CD" w:rsidRPr="000321CD" w:rsidRDefault="000321CD" w:rsidP="000321CD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321C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衰退中部分新能源企业盈利受挫，估值不一定降（因股价已跌），甚至PE被动升；需等经济复苏重新估值</w:t>
            </w:r>
          </w:p>
        </w:tc>
      </w:tr>
    </w:tbl>
    <w:p w14:paraId="45CCE901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i/>
          <w:iCs/>
          <w:kern w:val="0"/>
          <w:sz w:val="24"/>
          <w14:ligatures w14:val="none"/>
        </w:rPr>
        <w:t>表：三种情景下主要板块估值变化模拟（百分比变化为PE等倍数的相对变化）。</w:t>
      </w:r>
    </w:p>
    <w:p w14:paraId="6113B68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情景A（利率高位）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：总体来说，利率长期处高位将抑制股票估值进一步提升。高估值板块可能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缓慢回归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理性，例如科技股估值不再上涨甚至小幅下降。价值板块则稳中有升，因为相对于债券仍具吸引力（能源股高股息会吸引资金）。整个过程较温和，时间拉长。这个情景下市场可能呈**“估值挤泡沫”**走势，高估的跌一点，低估的补涨一点。</w:t>
      </w:r>
    </w:p>
    <w:p w14:paraId="4C4D8FB0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情景B（利率快速下调）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：这接近于**“软着陆”+重启宽松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的美好Scenario。低利率重现将迅速推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升成长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板块估值，可能让已经高企的AI泡沫进一步扩大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（短期投资者或获利，但风险积累更大）。相反，一些利率敏感行业如银行可能因利差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收窄被重新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定价下调。周期板块会因为经济前景转好而估值提升，如能源受益于需求走强和资金风险偏好上升。总的来说，这是市场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全面牛市**情景，大部分板块估值都会上涨，高风险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资产涨幅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更大，发生时间会很快（因为市场提前交易预期）。然而需要注意，如果宽松过头，后续又会重复泡沫-紧缩循环。</w:t>
      </w:r>
    </w:p>
    <w:p w14:paraId="568E337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情景C（经济衰退）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：在衰退情景下，板块估值的变化复杂，取决于盈利和情绪双重作用。通常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盈利下滑更剧烈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，反而可能使PE这种指标短期上升（因为E下降更快），所以要从股价表现看。大体预期是：周期性板块（可选消费、工业、能源、金融）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股价大幅下跌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，即使PE未必跌很多，但估值意义不大因为盈利在塌陷；防御性板块（医疗、必需消费、公用事业）相对抗跌，资金涌入令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估值提升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股价跌幅小甚至逆市上涨。科技成长股在衰退初期会先大跌（风险偏好急剧降温），但若衰退导致激进宽松，它们有可能在衰退末期率先反弹收复估值。时间窗口上，历史表明一次中等衰退对股市冲击6-12个月，随后估值修复可能又要6-12个月。所以衰退情景是痛苦但为下一轮上涨准备土壤——低估板块或许会更低估，但之后反弹更猛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则经历泡沫破裂，重新出发。</w:t>
      </w:r>
    </w:p>
    <w:p w14:paraId="28587475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需要强调，这三种情景只是模拟，真实情况可能是以上的某种组合（例如滞胀：高通胀+衰退，会同时冲击估值和盈利；或温和再通胀：降息一点点、经济小幅增长）。投资者应根据对宏观的判断，对照情景及时调整持仓板块，以在不同宏观周期中保持相对优势。</w:t>
      </w:r>
    </w:p>
    <w:p w14:paraId="64787063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7. 投资配置建议：不同风险偏好下的策略</w:t>
      </w:r>
    </w:p>
    <w:p w14:paraId="7B7C7588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基于以上宏观情景与估值分析，我们为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不同风险偏好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的投资者制定了相应的配置策略和时间规划，分为**短期（6个月）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和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中长期（1–3年）**两个维度。</w:t>
      </w:r>
    </w:p>
    <w:p w14:paraId="70B5CE00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7.1 短期（6个月）配置建议</w:t>
      </w:r>
    </w:p>
    <w:p w14:paraId="09ACCFE9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保守型（低风险偏好）投资者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：短期内以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防守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为主，保护资本为第一要务。在当前市场环境下，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存在调整风险，因此应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低配或回避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科技互联网等前期涨幅巨大的高估资产。建议超配以下：</w:t>
      </w:r>
    </w:p>
    <w:p w14:paraId="45B0E580" w14:textId="77777777" w:rsidR="000321CD" w:rsidRPr="000321CD" w:rsidRDefault="000321CD" w:rsidP="000321CD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高股息价值板块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：例如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能源板块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（石油、煤炭等）和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公用事业板块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。这些板块估值低、分红收益率高，具有抗跌属性。即使市场波动，它们凭借股息和低估值有较强缓冲。当前能源股的平均股息率超3%，短期波动小于大盘。</w:t>
      </w:r>
    </w:p>
    <w:p w14:paraId="2E6140C2" w14:textId="77777777" w:rsidR="000321CD" w:rsidRPr="000321CD" w:rsidRDefault="000321CD" w:rsidP="000321CD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必需消费与医疗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：食品饮料、医药等需求刚性的行业在6个月窗口内即便市场震荡，盈利稳定，股价相对稳健，可作为“压舱石”。医药板块估值经过调整后安全边际提高，适合低风险配置一定比例。</w:t>
      </w:r>
    </w:p>
    <w:p w14:paraId="63FE2379" w14:textId="77777777" w:rsidR="000321CD" w:rsidRPr="000321CD" w:rsidRDefault="000321CD" w:rsidP="000321CD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现金及债券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：在不确定性较高的半年内，适当持有现金或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短久期高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评级债券也是明智的。当前货币基金和国债利率尚可，保守投资者可以将20-30%资金停泊在低风险资产中，等待更明晰的买入时机。</w:t>
      </w:r>
    </w:p>
    <w:p w14:paraId="27A3C05C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稳健型（中等风险）投资者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：可采取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均衡配置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策略，适度参与机会同时注重防守。建议：</w:t>
      </w:r>
    </w:p>
    <w:p w14:paraId="5017565F" w14:textId="77777777" w:rsidR="000321CD" w:rsidRPr="000321CD" w:rsidRDefault="000321CD" w:rsidP="000321CD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核心持仓低估值蓝筹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：如A股的银行、保险、港股的优质国企，以及美股道指中的价值股。这些资产估值低于历史均值，6个月内下行风险有限，获得估值修复或分红收益可能性高。</w:t>
      </w:r>
    </w:p>
    <w:p w14:paraId="2A596942" w14:textId="77777777" w:rsidR="000321CD" w:rsidRPr="000321CD" w:rsidRDefault="000321CD" w:rsidP="000321CD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卫星持仓成长主题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：拿出小部分资金（不超过20%）博取高增长主题的短期收益，如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AI板块龙头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（NVIDIA等）或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新能源车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等，但要严格控制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和设置止盈止损。这类高波动资产近期可能继续冲高，但随时回调，稳健投资者只能少量介入、快进快出。</w:t>
      </w:r>
    </w:p>
    <w:p w14:paraId="4327CE49" w14:textId="77777777" w:rsidR="000321CD" w:rsidRPr="000321CD" w:rsidRDefault="000321CD" w:rsidP="000321CD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全球分散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：将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分散在美股、A股、港股和欧洲等市场，降低单一市场波动影响。尤其考虑到港股和部分欧洲市场低估，可以在稳健组合中增加这些市场的ETF或指数基金权重，以“捡便宜货”的思路布局，短期等待估值修复。</w:t>
      </w:r>
    </w:p>
    <w:p w14:paraId="6921A108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激进型（高风险偏好）投资者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：短期内可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积极捕捉市场热点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，但要有承担波动损失的准备。配置上倾向进攻：</w:t>
      </w:r>
    </w:p>
    <w:p w14:paraId="4A2B99EE" w14:textId="77777777" w:rsidR="000321CD" w:rsidRPr="000321CD" w:rsidRDefault="000321CD" w:rsidP="000321CD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重仓高弹性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成长股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：在6个月视角，高风险投资者可以超配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AI、云计算、芯片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等炙手可热的科技主题，因为这些板块往往有趋势延续惯性（所谓“泡沫有惯性”）。例如继续持有或加仓NVIDIA、特斯拉等龙头，押注“泡沫最后的疯狂”。需要紧密跟踪市场情绪，一旦趋势反转及时撤退。</w:t>
      </w:r>
    </w:p>
    <w:p w14:paraId="05BD1A21" w14:textId="77777777" w:rsidR="000321CD" w:rsidRPr="000321CD" w:rsidRDefault="000321CD" w:rsidP="000321CD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波段交易低估板块反弹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：激进投资者也可短线参与此前超跌板块的技术性反弹，如港股互联网（估值低但波动大）或A股券商股（受政策刺激时会弹）。这要求较高的择时和交易技巧，不确定性高，但潜在收益可观。</w:t>
      </w:r>
    </w:p>
    <w:p w14:paraId="42A00F39" w14:textId="77777777" w:rsidR="000321CD" w:rsidRPr="000321CD" w:rsidRDefault="000321CD" w:rsidP="000321CD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杠杆与衍生品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：高风险投资者可以考虑适度使用杠杆ETF、期权等放大短期收益。例如看好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某板块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6个月内上涨，可买入对应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看涨期权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或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2x做多ETF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；担心调整则买VIX期权或买入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看跌期权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做对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冲。但需严格风控，防止衍生品损失吞噬本金。</w:t>
      </w:r>
    </w:p>
    <w:p w14:paraId="1174D02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无论哪种类型投资者，在短期配置中都应注意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灵活应变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。6个月内宏观和政策可能有较大变化（如美联储动向、地缘事件等），要根据最新信息调整策略。对于高估值资产，短期一定要有止损纪律；对于低估值资产，也不能一味死守，要观察市场风格切换信号。</w:t>
      </w:r>
    </w:p>
    <w:p w14:paraId="49615456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7.2 中长期（1–3年）配置建议</w:t>
      </w:r>
    </w:p>
    <w:p w14:paraId="35ED329F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拉长时间维度到1-3年，投资策略更强调估值回归和基本面趋势，而非短期情绪波动。不同风险偏好的配置建议如下：</w:t>
      </w:r>
    </w:p>
    <w:p w14:paraId="67BBCD4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保守型（低风险）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：中长期依然以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资本保值和稳定收益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为目标，配置上建议：</w:t>
      </w:r>
    </w:p>
    <w:p w14:paraId="2ABE5277" w14:textId="77777777" w:rsidR="000321CD" w:rsidRPr="000321CD" w:rsidRDefault="000321CD" w:rsidP="000321CD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偏重价值与收益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：继续重点配置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价值洼地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板块，包括高股息的能源、公用事业、REITs，以及低PE的金融和周期龙头。这些资产在3年视角大概率能收获估值修复+股息复利。例如，当下港股大盘股3年内如果估值从10%历史分位升到30-40%，股价涨幅可观。同时保守投资者可将每年股息再投资，滚动提高回报。</w:t>
      </w:r>
    </w:p>
    <w:p w14:paraId="626E71E0" w14:textId="77777777" w:rsidR="000321CD" w:rsidRPr="000321CD" w:rsidRDefault="000321CD" w:rsidP="000321CD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适度黄金等对冲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：为了抵御通胀和系统性风险，建议配置5-10%的黄金或抗通胀债券(TIPS)。黄金在股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债双杀环境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下表现相对稳，是中长期保险配置之一。</w:t>
      </w:r>
    </w:p>
    <w:p w14:paraId="421385A0" w14:textId="77777777" w:rsidR="000321CD" w:rsidRPr="000321CD" w:rsidRDefault="000321CD" w:rsidP="000321CD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控制股票比例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：低风险者股票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可限制在50-60%，其余放债券或现金等，以防范不可测的黑天鹅。3年内如果出现衰退或市场下跌，债券和现金能起到保护作用，同时可用于抄底优质股票。</w:t>
      </w:r>
    </w:p>
    <w:p w14:paraId="01FA3082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稳健型（中等风险）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：中长期目标为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稳健增值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，策略上追求收益和风险平衡：</w:t>
      </w:r>
    </w:p>
    <w:p w14:paraId="7623957C" w14:textId="77777777" w:rsidR="000321CD" w:rsidRPr="000321CD" w:rsidRDefault="000321CD" w:rsidP="000321CD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均衡配置“三大市场”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：建议将资产在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美股、A股、港股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三大市场均衡分布，各取所长。美股配置偏向稳定增长的大盘股和科技龙头，但要注意估值，择机逢低布局而非追高。A股配置优选具备长期竞争力的行业龙头（如消费白马、制造业冠军），享受中国内需和转型红利。港股则配置低估值、高股息的中资蓝筹，坐等价值回归。通过地域分散，可以降低单一市场风险并提升长期收益概率。</w:t>
      </w:r>
    </w:p>
    <w:p w14:paraId="4E2AA0F9" w14:textId="77777777" w:rsidR="000321CD" w:rsidRPr="000321CD" w:rsidRDefault="000321CD" w:rsidP="000321CD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成长与价值兼备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：行业上采取“核心-卫星”模式：核心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放在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业绩确定性强、估值合理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的公司（比如全球知名消费品公司、医药龙头、银行保险龙头），这些公司3年后大概率盈利更高、股价相应提升；卫星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投入未来空间大的成长领域（AI、绿色能源、生物科技等）的龙头，但控制比例。时间拉长，真正有价值的成长股将用业绩证明自己，泡沫成分会消退，因此选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股能力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关键。</w:t>
      </w:r>
    </w:p>
    <w:p w14:paraId="546E42A7" w14:textId="77777777" w:rsidR="000321CD" w:rsidRPr="000321CD" w:rsidRDefault="000321CD" w:rsidP="000321CD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定投与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再平衡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：对于稳健型来说，1-3年可以通过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定期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定投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摊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薄成本，同时每年做一次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组合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再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平衡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（涨多了的减仓、跌多了的补仓），以持续优化配置。这种纪律性操作在震荡市中效果突出。</w:t>
      </w:r>
    </w:p>
    <w:p w14:paraId="24FFE479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激进型（高风险）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：中长期高风险投资者追求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超额收益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，愿意承担波动。建议：</w:t>
      </w:r>
    </w:p>
    <w:p w14:paraId="07ECCDB4" w14:textId="77777777" w:rsidR="000321CD" w:rsidRPr="000321CD" w:rsidRDefault="000321CD" w:rsidP="000321CD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布局未来颠覆性趋势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：将大部分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投入预期未来3年高速发展的领域，如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人工智能、大模型应用、清洁能源转型、电动车、新兴市场科技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等。选取各领域最有竞争力的公司长期持有。例如，看好AI的可以买入相关芯片、软件和应用层多只龙头，构建“AI组合”。高风险者相信长周期里这些公司会改变世界，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股价数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倍增长，从而愿意承受中途波动甚至回撤50%的风险。</w:t>
      </w:r>
    </w:p>
    <w:p w14:paraId="229C1A68" w14:textId="77777777" w:rsidR="000321CD" w:rsidRPr="000321CD" w:rsidRDefault="000321CD" w:rsidP="000321CD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主动调整赛道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：3年内科技迭代迅速，激进投资者需要跟踪行业动态，可能在不同阶段切换赛道。如目前重仓AI，2年后AI成熟增长放缓时，果断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调仓下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一个热点（比如元宇宙2.0或其他）。这需要深入研究和大胆决策能力。</w:t>
      </w:r>
    </w:p>
    <w:p w14:paraId="59ADBB1B" w14:textId="77777777" w:rsidR="000321CD" w:rsidRPr="000321CD" w:rsidRDefault="000321CD" w:rsidP="000321CD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杠杆策略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：在确认牛市主升浪时，高风险者可以加杠杆放大收益，比如融资加仓或使用期权策略增强。需要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做好风控和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退出方案。3年是较长时间，杠杆运用要避免遇上大跌爆仓。因此尽量选择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期权代替直接杠杆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，亏损可控。</w:t>
      </w:r>
    </w:p>
    <w:p w14:paraId="78EFE4E7" w14:textId="77777777" w:rsidR="000321CD" w:rsidRPr="000321CD" w:rsidRDefault="000321CD" w:rsidP="000321CD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地缘与政策下注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激进者也可关注地缘政治和政策带来的结构性机会，如某国改革红利、某行业政策大力扶持，提前埋伏相关资产。比如预判某新兴市场将爆发增长，则超配其股市ETF等。这种策略收益高但不确定性也高，属于高风险高回报博弈。</w:t>
      </w:r>
    </w:p>
    <w:p w14:paraId="262D79EA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需要提醒的是，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高风险策略在中长期同样面临不确定性积累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。一个黑天鹅事件就可能让高度杠杆的组合蒙受重创。因此即便激进投资者，也应有底线思维：保证在最坏情况下自己仍有东山再起的资本，不要孤注一掷押上全部身家。</w:t>
      </w:r>
    </w:p>
    <w:p w14:paraId="39AAD38F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最后，无论何种类型投资者，都应在中长期配置中坚持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基本面导向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时间是价值投资者的朋友，却是投机者的敌人。随着3年的时间推移，股票价格最终还是由盈利和现金流说话。我们在第5节对AI和能源的剖析便体现出，基本面终将驱动估值回归。因此在做配置决策时，要不断审视所持资产的内在价值，确保自己的投资逻辑在时间考验下站得住脚。</w:t>
      </w:r>
    </w:p>
    <w:p w14:paraId="6982EEB6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8. 结论</w:t>
      </w:r>
    </w:p>
    <w:p w14:paraId="5F0CAD2F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本研究通过对过去10年主要板块估值数据的梳理和分析，揭示了当前市场“冰火两重天”的估值状况：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一端是以AI科技为代表的板块估值创历史新高，另一端是传统金融能源等板块估值跌至历史低谷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。当前美股整体处于接近99%历史百分位的高估状态，而A股和港股许多板块则在低分位彷徨。宏观环境方面，高利率和衰退隐忧与AI革命的乐观预期交织，导致资金在不同板块之间分化流动。</w:t>
      </w:r>
    </w:p>
    <w:p w14:paraId="045CC197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综合全文分析，我们得到以下主要结论和建议：</w:t>
      </w:r>
    </w:p>
    <w:p w14:paraId="757B6557" w14:textId="77777777" w:rsidR="000321CD" w:rsidRPr="000321CD" w:rsidRDefault="000321CD" w:rsidP="000321CD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估值分位</w:t>
      </w:r>
      <w:proofErr w:type="gramStart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研</w:t>
      </w:r>
      <w:proofErr w:type="gramEnd"/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判高低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通过历史分位比较，可以明确判断哪些板块被高估或低估。当前科技类板块估值温度计几乎爆表（如美股科技+2σ、A股计算机94%分位）属于高估风险区域；而传统价值板块（能源、金融、煤炭等）估值处冰点（如港股恒指仅10%分位、A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股银行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煤炭&lt;10%），属于低估价值洼地。投资中应倾向后者以获取安全边际。</w:t>
      </w:r>
    </w:p>
    <w:p w14:paraId="19EBB03F" w14:textId="77777777" w:rsidR="000321CD" w:rsidRPr="000321CD" w:rsidRDefault="000321CD" w:rsidP="000321CD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宏观情景对症下药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：不同宏观未来将塑造不同板块命运。我们情景分析表明，如果利率高悬不下，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将逐步挤泡沫，低估板块有望补涨；如果重回宽松，高估者或许更高，泡沫延续但风险积累，而低估价值股也会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涨只是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幅度较小；如果经济衰退，高估成长股和周期股将大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lastRenderedPageBreak/>
        <w:t>跌，只有真正防御价值才能抗住风雨。投资者应密切跟踪宏观指标转向，及时在板块配置上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顺势而为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1D51B43" w14:textId="77777777" w:rsidR="000321CD" w:rsidRPr="000321CD" w:rsidRDefault="000321CD" w:rsidP="000321CD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情绪指标辅助决策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：VIX、散户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情绪指标当前一热一冷：美股VIX极低显示市场过度乐观；A股投资者情绪结构性分化，高位股热炒散户重仓，低位股无人问津。这种情绪极端往往预示拐点临近。建议投资者逆向思维，在大众贪婪时谨慎，在他人恐惧时贪婪。具体做法是逐步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兑现部分泡沫板块利润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，并逢低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布局被错杀的价值板块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，为未来行情切换做好准备。</w:t>
      </w:r>
    </w:p>
    <w:p w14:paraId="6783798F" w14:textId="77777777" w:rsidR="000321CD" w:rsidRPr="000321CD" w:rsidRDefault="000321CD" w:rsidP="000321CD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坚持基本面，分散风险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：无论短期还是长期投资策略，都要以基本面为依据，切忌被市场噪音干扰。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高估板块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未必马上崩，但基本面不支持终将回归；低估板块也许要久等，但价值会体现。同时，通过跨板块、跨市场分散投资，可降低单一板块估值失真的损害。AH股两地配置、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中美双市配置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等都是有效分散手段。此外控制</w:t>
      </w: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仓位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和杠杆，做好风险管理，是在不确定时代生存的关键。</w:t>
      </w:r>
    </w:p>
    <w:p w14:paraId="39DB40D6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展望未来1-3年，我们预计全球市场将逐步走向</w:t>
      </w: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重新定价</w:t>
      </w:r>
      <w:r w:rsidRPr="000321CD">
        <w:rPr>
          <w:rFonts w:ascii="宋体" w:eastAsia="宋体" w:hAnsi="宋体" w:cs="宋体"/>
          <w:kern w:val="0"/>
          <w:sz w:val="24"/>
          <w14:ligatures w14:val="none"/>
        </w:rPr>
        <w:t>：某些拥挤交易（如AI）可能在狂欢后冷静，估值从峰值回落；而被冷落的价值股会在业绩和现金流的支撑下吸引长期资金，估值修复上升。这一过程可能迂回曲折，但大势如此。投资者应当提前布局，耐心等待收获。当下或许正是**“价值投资者的春天”**在孕育：当别人醉心于讲故事时，我们关注被忽视的基本盘；当市场重新理性时，这些播下的种子将开花结果。</w:t>
      </w:r>
    </w:p>
    <w:p w14:paraId="2B533313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最后提醒，所有分析基于当前可得数据和趋势判断，但市场永远充满不确定性。请读者在进行投资决策时结合自身财务状况和风险承受能力，谨慎对待。本报告引用数据和观点均来自可靠来源并经过认真分析，但不构成具体投资建议。据此操作，盈亏自负。在瞬息万变的市场中，唯有不断学习和适时调整，方能在风险与机遇中立于不败之地。</w:t>
      </w:r>
    </w:p>
    <w:p w14:paraId="31DB37DF" w14:textId="77777777" w:rsidR="000321CD" w:rsidRPr="000321CD" w:rsidRDefault="000321CD" w:rsidP="000321C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b/>
          <w:bCs/>
          <w:kern w:val="0"/>
          <w:sz w:val="24"/>
          <w14:ligatures w14:val="none"/>
        </w:rPr>
        <w:t>参考来源：</w:t>
      </w:r>
    </w:p>
    <w:p w14:paraId="41FB22EE" w14:textId="77777777" w:rsidR="000321CD" w:rsidRPr="000321CD" w:rsidRDefault="000321CD" w:rsidP="000321C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太平洋证券研究院，《全市场与各行业估值跟踪》，2023年7月</w:t>
      </w:r>
    </w:p>
    <w:p w14:paraId="5A77D1C9" w14:textId="77777777" w:rsidR="000321CD" w:rsidRPr="000321CD" w:rsidRDefault="000321CD" w:rsidP="000321C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World P/E Ratio 数据中心，各国及板块估值统计，2025年7月</w:t>
      </w:r>
    </w:p>
    <w:p w14:paraId="41B7F73E" w14:textId="77777777" w:rsidR="000321CD" w:rsidRPr="000321CD" w:rsidRDefault="000321CD" w:rsidP="000321C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0321CD">
        <w:rPr>
          <w:rFonts w:ascii="宋体" w:eastAsia="宋体" w:hAnsi="宋体" w:cs="宋体"/>
          <w:kern w:val="0"/>
          <w:sz w:val="24"/>
          <w14:ligatures w14:val="none"/>
        </w:rPr>
        <w:t>金十数据</w:t>
      </w:r>
      <w:proofErr w:type="gramEnd"/>
      <w:r w:rsidRPr="000321CD">
        <w:rPr>
          <w:rFonts w:ascii="宋体" w:eastAsia="宋体" w:hAnsi="宋体" w:cs="宋体"/>
          <w:kern w:val="0"/>
          <w:sz w:val="24"/>
          <w14:ligatures w14:val="none"/>
        </w:rPr>
        <w:t>，《能源股狂飙，2025股市最大赢家？》，2025年</w:t>
      </w:r>
    </w:p>
    <w:p w14:paraId="4994DC97" w14:textId="77777777" w:rsidR="000321CD" w:rsidRPr="000321CD" w:rsidRDefault="000321CD" w:rsidP="000321C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Vocus投资专栏，《Nvidia股价创高后的估值解析》，2025年7月</w:t>
      </w:r>
    </w:p>
    <w:p w14:paraId="6EDF693D" w14:textId="77777777" w:rsidR="000321CD" w:rsidRPr="000321CD" w:rsidRDefault="000321CD" w:rsidP="000321C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Vanguard投资展望，2025年6月</w:t>
      </w:r>
    </w:p>
    <w:p w14:paraId="0BD547F1" w14:textId="77777777" w:rsidR="000321CD" w:rsidRPr="000321CD" w:rsidRDefault="000321CD" w:rsidP="000321C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321CD">
        <w:rPr>
          <w:rFonts w:ascii="宋体" w:eastAsia="宋体" w:hAnsi="宋体" w:cs="宋体"/>
          <w:kern w:val="0"/>
          <w:sz w:val="24"/>
          <w14:ligatures w14:val="none"/>
        </w:rPr>
        <w:t>其他数据来自Wind、东方财富等公开信息。</w:t>
      </w:r>
    </w:p>
    <w:p w14:paraId="66AC98E8" w14:textId="77777777" w:rsidR="000D7E08" w:rsidRPr="000321CD" w:rsidRDefault="000D7E08"/>
    <w:sectPr w:rsidR="000D7E08" w:rsidRPr="0003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0B9"/>
    <w:multiLevelType w:val="multilevel"/>
    <w:tmpl w:val="9BB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352"/>
    <w:multiLevelType w:val="multilevel"/>
    <w:tmpl w:val="F892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A2B"/>
    <w:multiLevelType w:val="multilevel"/>
    <w:tmpl w:val="51A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279D"/>
    <w:multiLevelType w:val="multilevel"/>
    <w:tmpl w:val="B3D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51BBC"/>
    <w:multiLevelType w:val="multilevel"/>
    <w:tmpl w:val="75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C5AAD"/>
    <w:multiLevelType w:val="multilevel"/>
    <w:tmpl w:val="E2F6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7784F"/>
    <w:multiLevelType w:val="multilevel"/>
    <w:tmpl w:val="97A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74178"/>
    <w:multiLevelType w:val="multilevel"/>
    <w:tmpl w:val="C70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B2563"/>
    <w:multiLevelType w:val="multilevel"/>
    <w:tmpl w:val="DE9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07EC6"/>
    <w:multiLevelType w:val="multilevel"/>
    <w:tmpl w:val="A7D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D2E3F"/>
    <w:multiLevelType w:val="multilevel"/>
    <w:tmpl w:val="CB0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A3BA4"/>
    <w:multiLevelType w:val="multilevel"/>
    <w:tmpl w:val="A2C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B6093"/>
    <w:multiLevelType w:val="multilevel"/>
    <w:tmpl w:val="6E3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B7BAC"/>
    <w:multiLevelType w:val="multilevel"/>
    <w:tmpl w:val="B4F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61FFF"/>
    <w:multiLevelType w:val="multilevel"/>
    <w:tmpl w:val="58B6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A64CE"/>
    <w:multiLevelType w:val="multilevel"/>
    <w:tmpl w:val="E71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B227B"/>
    <w:multiLevelType w:val="multilevel"/>
    <w:tmpl w:val="133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15F0D"/>
    <w:multiLevelType w:val="multilevel"/>
    <w:tmpl w:val="9258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34C09"/>
    <w:multiLevelType w:val="multilevel"/>
    <w:tmpl w:val="571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010CB"/>
    <w:multiLevelType w:val="multilevel"/>
    <w:tmpl w:val="E99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B053D"/>
    <w:multiLevelType w:val="multilevel"/>
    <w:tmpl w:val="535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C2303"/>
    <w:multiLevelType w:val="multilevel"/>
    <w:tmpl w:val="C52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538E4"/>
    <w:multiLevelType w:val="multilevel"/>
    <w:tmpl w:val="8F8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C5ED4"/>
    <w:multiLevelType w:val="multilevel"/>
    <w:tmpl w:val="7C4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64FB0"/>
    <w:multiLevelType w:val="multilevel"/>
    <w:tmpl w:val="D0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D062E"/>
    <w:multiLevelType w:val="multilevel"/>
    <w:tmpl w:val="6D58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267444">
    <w:abstractNumId w:val="14"/>
  </w:num>
  <w:num w:numId="2" w16cid:durableId="744454387">
    <w:abstractNumId w:val="3"/>
  </w:num>
  <w:num w:numId="3" w16cid:durableId="1682274352">
    <w:abstractNumId w:val="12"/>
  </w:num>
  <w:num w:numId="4" w16cid:durableId="243613475">
    <w:abstractNumId w:val="4"/>
  </w:num>
  <w:num w:numId="5" w16cid:durableId="513808088">
    <w:abstractNumId w:val="18"/>
  </w:num>
  <w:num w:numId="6" w16cid:durableId="2018387795">
    <w:abstractNumId w:val="7"/>
  </w:num>
  <w:num w:numId="7" w16cid:durableId="872117455">
    <w:abstractNumId w:val="11"/>
  </w:num>
  <w:num w:numId="8" w16cid:durableId="1978294644">
    <w:abstractNumId w:val="17"/>
  </w:num>
  <w:num w:numId="9" w16cid:durableId="1957903401">
    <w:abstractNumId w:val="15"/>
  </w:num>
  <w:num w:numId="10" w16cid:durableId="1252590305">
    <w:abstractNumId w:val="9"/>
  </w:num>
  <w:num w:numId="11" w16cid:durableId="1080979573">
    <w:abstractNumId w:val="8"/>
  </w:num>
  <w:num w:numId="12" w16cid:durableId="1170098016">
    <w:abstractNumId w:val="23"/>
  </w:num>
  <w:num w:numId="13" w16cid:durableId="1167093820">
    <w:abstractNumId w:val="25"/>
  </w:num>
  <w:num w:numId="14" w16cid:durableId="507522681">
    <w:abstractNumId w:val="0"/>
  </w:num>
  <w:num w:numId="15" w16cid:durableId="1314798512">
    <w:abstractNumId w:val="5"/>
  </w:num>
  <w:num w:numId="16" w16cid:durableId="1570193985">
    <w:abstractNumId w:val="6"/>
  </w:num>
  <w:num w:numId="17" w16cid:durableId="1124810894">
    <w:abstractNumId w:val="1"/>
  </w:num>
  <w:num w:numId="18" w16cid:durableId="1917208740">
    <w:abstractNumId w:val="10"/>
  </w:num>
  <w:num w:numId="19" w16cid:durableId="732655626">
    <w:abstractNumId w:val="2"/>
  </w:num>
  <w:num w:numId="20" w16cid:durableId="1226917918">
    <w:abstractNumId w:val="21"/>
  </w:num>
  <w:num w:numId="21" w16cid:durableId="1676415426">
    <w:abstractNumId w:val="20"/>
  </w:num>
  <w:num w:numId="22" w16cid:durableId="1739548708">
    <w:abstractNumId w:val="22"/>
  </w:num>
  <w:num w:numId="23" w16cid:durableId="1077703913">
    <w:abstractNumId w:val="24"/>
  </w:num>
  <w:num w:numId="24" w16cid:durableId="375853185">
    <w:abstractNumId w:val="19"/>
  </w:num>
  <w:num w:numId="25" w16cid:durableId="1757436942">
    <w:abstractNumId w:val="16"/>
  </w:num>
  <w:num w:numId="26" w16cid:durableId="736673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CD"/>
    <w:rsid w:val="00021F47"/>
    <w:rsid w:val="000321CD"/>
    <w:rsid w:val="0009729A"/>
    <w:rsid w:val="000D7E08"/>
    <w:rsid w:val="002C152B"/>
    <w:rsid w:val="003D2603"/>
    <w:rsid w:val="00592E08"/>
    <w:rsid w:val="00601748"/>
    <w:rsid w:val="00861FB6"/>
    <w:rsid w:val="00882A08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F8FA"/>
  <w15:chartTrackingRefBased/>
  <w15:docId w15:val="{ADA899D1-5431-416A-966D-4C6CAB9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21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321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1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1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1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1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1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1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0321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3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21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21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21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21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21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21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21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1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21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21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1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1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21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21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321C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0321CD"/>
    <w:rPr>
      <w:b/>
      <w:bCs/>
    </w:rPr>
  </w:style>
  <w:style w:type="character" w:styleId="af0">
    <w:name w:val="Emphasis"/>
    <w:basedOn w:val="a0"/>
    <w:uiPriority w:val="20"/>
    <w:qFormat/>
    <w:rsid w:val="00032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1</cp:revision>
  <dcterms:created xsi:type="dcterms:W3CDTF">2025-07-21T10:22:00Z</dcterms:created>
  <dcterms:modified xsi:type="dcterms:W3CDTF">2025-07-21T10:28:00Z</dcterms:modified>
</cp:coreProperties>
</file>