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571F" w14:textId="77777777" w:rsidR="00EC474F" w:rsidRDefault="00EC474F" w:rsidP="00EC474F"/>
    <w:p w14:paraId="4996FD07" w14:textId="77777777" w:rsidR="00EC474F" w:rsidRDefault="00EC474F" w:rsidP="00EC474F"/>
    <w:p w14:paraId="4075DB4C" w14:textId="77777777" w:rsidR="00EC474F" w:rsidRDefault="00EC474F" w:rsidP="00EC474F"/>
    <w:p w14:paraId="046ABFB7" w14:textId="242AE217" w:rsidR="00EC474F" w:rsidRDefault="00EC474F" w:rsidP="00EC474F">
      <w:r>
        <w:rPr>
          <w:noProof/>
        </w:rPr>
        <w:drawing>
          <wp:inline distT="0" distB="0" distL="0" distR="0" wp14:anchorId="155C7976" wp14:editId="5F27E024">
            <wp:extent cx="5946142" cy="2614930"/>
            <wp:effectExtent l="0" t="0" r="0" b="0"/>
            <wp:docPr id="1751368033" name="Picture 1" descr="Image result for spanish ministry of econo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6142" cy="2614930"/>
                    </a:xfrm>
                    <a:prstGeom prst="rect">
                      <a:avLst/>
                    </a:prstGeom>
                  </pic:spPr>
                </pic:pic>
              </a:graphicData>
            </a:graphic>
          </wp:inline>
        </w:drawing>
      </w:r>
    </w:p>
    <w:p w14:paraId="0E497F70" w14:textId="77777777" w:rsidR="00EC474F" w:rsidRDefault="00EC474F" w:rsidP="00EC474F">
      <w:pPr>
        <w:rPr>
          <w:b/>
          <w:bCs/>
        </w:rPr>
      </w:pPr>
    </w:p>
    <w:p w14:paraId="34AAA8C1" w14:textId="77777777" w:rsidR="00EC474F" w:rsidRDefault="00EC474F" w:rsidP="00EC474F">
      <w:pPr>
        <w:jc w:val="center"/>
        <w:rPr>
          <w:b/>
          <w:bCs/>
          <w:sz w:val="32"/>
          <w:szCs w:val="32"/>
        </w:rPr>
      </w:pPr>
      <w:r>
        <w:rPr>
          <w:b/>
          <w:bCs/>
          <w:sz w:val="32"/>
          <w:szCs w:val="32"/>
        </w:rPr>
        <w:t xml:space="preserve">Machine </w:t>
      </w:r>
      <w:proofErr w:type="gramStart"/>
      <w:r>
        <w:rPr>
          <w:b/>
          <w:bCs/>
          <w:sz w:val="32"/>
          <w:szCs w:val="32"/>
        </w:rPr>
        <w:t>Learning</w:t>
      </w:r>
      <w:proofErr w:type="gramEnd"/>
      <w:r>
        <w:rPr>
          <w:b/>
          <w:bCs/>
          <w:sz w:val="32"/>
          <w:szCs w:val="32"/>
        </w:rPr>
        <w:t xml:space="preserve"> I</w:t>
      </w:r>
    </w:p>
    <w:p w14:paraId="1218CF61" w14:textId="38AD4562" w:rsidR="00EC474F" w:rsidRDefault="00EC474F" w:rsidP="00EC474F">
      <w:pPr>
        <w:jc w:val="center"/>
        <w:rPr>
          <w:b/>
          <w:bCs/>
          <w:sz w:val="32"/>
          <w:szCs w:val="32"/>
        </w:rPr>
      </w:pPr>
      <w:r>
        <w:rPr>
          <w:b/>
          <w:bCs/>
          <w:sz w:val="32"/>
          <w:szCs w:val="32"/>
        </w:rPr>
        <w:t xml:space="preserve">Spanish Ministry of Economy </w:t>
      </w:r>
      <w:r w:rsidR="00305ADF">
        <w:rPr>
          <w:b/>
          <w:bCs/>
          <w:sz w:val="32"/>
          <w:szCs w:val="32"/>
        </w:rPr>
        <w:t xml:space="preserve">Province Segmentation </w:t>
      </w:r>
      <w:r>
        <w:rPr>
          <w:b/>
          <w:bCs/>
          <w:sz w:val="32"/>
          <w:szCs w:val="32"/>
        </w:rPr>
        <w:t>Study</w:t>
      </w:r>
    </w:p>
    <w:p w14:paraId="77A1415F" w14:textId="77777777" w:rsidR="00EC474F" w:rsidRDefault="00EC474F" w:rsidP="00EC474F">
      <w:pPr>
        <w:jc w:val="center"/>
        <w:rPr>
          <w:b/>
          <w:bCs/>
        </w:rPr>
      </w:pPr>
    </w:p>
    <w:p w14:paraId="21CC3D4F" w14:textId="77777777" w:rsidR="00305ADF" w:rsidRDefault="00305ADF" w:rsidP="00EC474F">
      <w:pPr>
        <w:jc w:val="center"/>
        <w:rPr>
          <w:b/>
          <w:bCs/>
        </w:rPr>
      </w:pPr>
    </w:p>
    <w:p w14:paraId="71C6BE80" w14:textId="77777777" w:rsidR="00305ADF" w:rsidRDefault="00305ADF" w:rsidP="00EC474F">
      <w:pPr>
        <w:jc w:val="center"/>
        <w:rPr>
          <w:b/>
          <w:bCs/>
        </w:rPr>
      </w:pPr>
    </w:p>
    <w:p w14:paraId="0E3FCC3E" w14:textId="77777777" w:rsidR="00305ADF" w:rsidRDefault="00305ADF" w:rsidP="00EC474F">
      <w:pPr>
        <w:jc w:val="center"/>
        <w:rPr>
          <w:b/>
          <w:bCs/>
        </w:rPr>
      </w:pPr>
    </w:p>
    <w:p w14:paraId="32C4CB6F" w14:textId="77777777" w:rsidR="00305ADF" w:rsidRDefault="00305ADF" w:rsidP="00EC474F">
      <w:pPr>
        <w:jc w:val="center"/>
        <w:rPr>
          <w:b/>
          <w:bCs/>
        </w:rPr>
      </w:pPr>
    </w:p>
    <w:p w14:paraId="6D51F16F" w14:textId="77777777" w:rsidR="00305ADF" w:rsidRDefault="00305ADF" w:rsidP="00EC474F">
      <w:pPr>
        <w:jc w:val="center"/>
        <w:rPr>
          <w:b/>
          <w:bCs/>
        </w:rPr>
      </w:pPr>
    </w:p>
    <w:p w14:paraId="0055D539" w14:textId="77777777" w:rsidR="00EC474F" w:rsidRDefault="00EC474F" w:rsidP="00EC474F">
      <w:pPr>
        <w:jc w:val="center"/>
        <w:rPr>
          <w:b/>
          <w:bCs/>
        </w:rPr>
      </w:pPr>
    </w:p>
    <w:p w14:paraId="77E19AFC" w14:textId="77777777" w:rsidR="00EC474F" w:rsidRDefault="00EC474F" w:rsidP="00EC474F">
      <w:pPr>
        <w:jc w:val="center"/>
        <w:rPr>
          <w:b/>
          <w:bCs/>
        </w:rPr>
      </w:pPr>
    </w:p>
    <w:p w14:paraId="2503A6FE" w14:textId="77777777" w:rsidR="00EC474F" w:rsidRDefault="00EC474F" w:rsidP="00EC474F">
      <w:pPr>
        <w:jc w:val="center"/>
        <w:rPr>
          <w:sz w:val="28"/>
          <w:szCs w:val="28"/>
        </w:rPr>
      </w:pPr>
    </w:p>
    <w:p w14:paraId="182A204A" w14:textId="77777777" w:rsidR="00EC474F" w:rsidRDefault="00EC474F" w:rsidP="00EC474F">
      <w:pPr>
        <w:jc w:val="right"/>
        <w:rPr>
          <w:sz w:val="28"/>
          <w:szCs w:val="28"/>
        </w:rPr>
      </w:pPr>
      <w:r>
        <w:rPr>
          <w:sz w:val="28"/>
          <w:szCs w:val="28"/>
        </w:rPr>
        <w:t>Group Assignment 1</w:t>
      </w:r>
    </w:p>
    <w:p w14:paraId="23256B56" w14:textId="77777777" w:rsidR="00EC474F" w:rsidRDefault="00EC474F" w:rsidP="00EC474F">
      <w:pPr>
        <w:jc w:val="right"/>
        <w:rPr>
          <w:sz w:val="28"/>
          <w:szCs w:val="28"/>
        </w:rPr>
      </w:pPr>
      <w:bookmarkStart w:id="0" w:name="_GoBack"/>
      <w:bookmarkEnd w:id="0"/>
      <w:r>
        <w:rPr>
          <w:sz w:val="28"/>
          <w:szCs w:val="28"/>
        </w:rPr>
        <w:t>MBD – A1 – Group C</w:t>
      </w:r>
    </w:p>
    <w:p w14:paraId="6909B0C3" w14:textId="77777777" w:rsidR="00A9544C" w:rsidRDefault="00A9544C" w:rsidP="00EC474F">
      <w:pPr>
        <w:jc w:val="right"/>
        <w:rPr>
          <w:sz w:val="28"/>
          <w:szCs w:val="28"/>
        </w:rPr>
        <w:sectPr w:rsidR="00A9544C" w:rsidSect="00A9544C">
          <w:footerReference w:type="default" r:id="rId12"/>
          <w:footerReference w:type="first" r:id="rId13"/>
          <w:pgSz w:w="12240" w:h="15840"/>
          <w:pgMar w:top="1440" w:right="1440" w:bottom="1440" w:left="1440" w:header="720" w:footer="720" w:gutter="0"/>
          <w:pgNumType w:fmt="lowerRoman" w:start="1"/>
          <w:cols w:space="720"/>
          <w:titlePg/>
          <w:docGrid w:linePitch="360"/>
        </w:sectPr>
      </w:pPr>
    </w:p>
    <w:sdt>
      <w:sdtPr>
        <w:rPr>
          <w:rFonts w:asciiTheme="minorHAnsi" w:eastAsiaTheme="minorHAnsi" w:hAnsiTheme="minorHAnsi" w:cstheme="minorBidi"/>
          <w:b/>
          <w:color w:val="000000" w:themeColor="text1"/>
          <w:sz w:val="22"/>
          <w:szCs w:val="22"/>
        </w:rPr>
        <w:id w:val="-1105107054"/>
        <w:docPartObj>
          <w:docPartGallery w:val="Table of Contents"/>
          <w:docPartUnique/>
        </w:docPartObj>
      </w:sdtPr>
      <w:sdtEndPr>
        <w:rPr>
          <w:bCs/>
          <w:noProof/>
          <w:color w:val="auto"/>
        </w:rPr>
      </w:sdtEndPr>
      <w:sdtContent>
        <w:p w14:paraId="23A9470A" w14:textId="35FD5394" w:rsidR="00E91BEC" w:rsidRPr="00ED004C" w:rsidRDefault="00E91BEC">
          <w:pPr>
            <w:pStyle w:val="TOCHeading"/>
            <w:rPr>
              <w:b/>
              <w:color w:val="000000" w:themeColor="text1"/>
            </w:rPr>
          </w:pPr>
          <w:r w:rsidRPr="00ED004C">
            <w:rPr>
              <w:b/>
              <w:color w:val="000000" w:themeColor="text1"/>
            </w:rPr>
            <w:t>Table of Contents</w:t>
          </w:r>
        </w:p>
        <w:p w14:paraId="46001003" w14:textId="1BB922D0" w:rsidR="004377EC" w:rsidRDefault="00E91BEC">
          <w:pPr>
            <w:pStyle w:val="TOC1"/>
            <w:rPr>
              <w:rFonts w:eastAsiaTheme="minorEastAsia"/>
              <w:noProof/>
              <w:lang w:val="en-GB" w:eastAsia="en-GB"/>
            </w:rPr>
          </w:pPr>
          <w:r w:rsidRPr="4EF923D9">
            <w:fldChar w:fldCharType="begin"/>
          </w:r>
          <w:r>
            <w:rPr>
              <w:b/>
              <w:bCs/>
              <w:noProof/>
            </w:rPr>
            <w:instrText xml:space="preserve"> TOC \o "1-3" \h \z \u </w:instrText>
          </w:r>
          <w:r w:rsidRPr="4EF923D9">
            <w:rPr>
              <w:b/>
              <w:bCs/>
              <w:noProof/>
            </w:rPr>
            <w:fldChar w:fldCharType="separate"/>
          </w:r>
          <w:hyperlink w:anchor="_Toc12472797" w:history="1">
            <w:r w:rsidR="004377EC" w:rsidRPr="008A4452">
              <w:rPr>
                <w:rStyle w:val="Hyperlink"/>
                <w:bCs/>
                <w:noProof/>
              </w:rPr>
              <w:t>1.</w:t>
            </w:r>
            <w:r w:rsidR="004377EC">
              <w:rPr>
                <w:rFonts w:eastAsiaTheme="minorEastAsia"/>
                <w:noProof/>
                <w:lang w:val="en-GB" w:eastAsia="en-GB"/>
              </w:rPr>
              <w:tab/>
            </w:r>
            <w:r w:rsidR="004377EC" w:rsidRPr="008A4452">
              <w:rPr>
                <w:rStyle w:val="Hyperlink"/>
                <w:noProof/>
              </w:rPr>
              <w:t>Executive Summary</w:t>
            </w:r>
            <w:r w:rsidR="004377EC">
              <w:rPr>
                <w:noProof/>
                <w:webHidden/>
              </w:rPr>
              <w:tab/>
            </w:r>
            <w:r w:rsidR="004377EC">
              <w:rPr>
                <w:noProof/>
                <w:webHidden/>
              </w:rPr>
              <w:fldChar w:fldCharType="begin"/>
            </w:r>
            <w:r w:rsidR="004377EC">
              <w:rPr>
                <w:noProof/>
                <w:webHidden/>
              </w:rPr>
              <w:instrText xml:space="preserve"> PAGEREF _Toc12472797 \h </w:instrText>
            </w:r>
            <w:r w:rsidR="004377EC">
              <w:rPr>
                <w:noProof/>
                <w:webHidden/>
              </w:rPr>
            </w:r>
            <w:r w:rsidR="004377EC">
              <w:rPr>
                <w:noProof/>
                <w:webHidden/>
              </w:rPr>
              <w:fldChar w:fldCharType="separate"/>
            </w:r>
            <w:r w:rsidR="004377EC">
              <w:rPr>
                <w:noProof/>
                <w:webHidden/>
              </w:rPr>
              <w:t>1</w:t>
            </w:r>
            <w:r w:rsidR="004377EC">
              <w:rPr>
                <w:noProof/>
                <w:webHidden/>
              </w:rPr>
              <w:fldChar w:fldCharType="end"/>
            </w:r>
          </w:hyperlink>
        </w:p>
        <w:p w14:paraId="0B731750" w14:textId="0E1FBD3C" w:rsidR="004377EC" w:rsidRDefault="00186D72">
          <w:pPr>
            <w:pStyle w:val="TOC1"/>
            <w:rPr>
              <w:rFonts w:eastAsiaTheme="minorEastAsia"/>
              <w:noProof/>
              <w:lang w:val="en-GB" w:eastAsia="en-GB"/>
            </w:rPr>
          </w:pPr>
          <w:hyperlink w:anchor="_Toc12472798" w:history="1">
            <w:r w:rsidR="004377EC" w:rsidRPr="008A4452">
              <w:rPr>
                <w:rStyle w:val="Hyperlink"/>
                <w:bCs/>
                <w:noProof/>
              </w:rPr>
              <w:t>2.</w:t>
            </w:r>
            <w:r w:rsidR="004377EC">
              <w:rPr>
                <w:rFonts w:eastAsiaTheme="minorEastAsia"/>
                <w:noProof/>
                <w:lang w:val="en-GB" w:eastAsia="en-GB"/>
              </w:rPr>
              <w:tab/>
            </w:r>
            <w:r w:rsidR="004377EC" w:rsidRPr="008A4452">
              <w:rPr>
                <w:rStyle w:val="Hyperlink"/>
                <w:noProof/>
              </w:rPr>
              <w:t>Analysis</w:t>
            </w:r>
            <w:r w:rsidR="004377EC">
              <w:rPr>
                <w:noProof/>
                <w:webHidden/>
              </w:rPr>
              <w:tab/>
            </w:r>
            <w:r w:rsidR="004377EC">
              <w:rPr>
                <w:noProof/>
                <w:webHidden/>
              </w:rPr>
              <w:fldChar w:fldCharType="begin"/>
            </w:r>
            <w:r w:rsidR="004377EC">
              <w:rPr>
                <w:noProof/>
                <w:webHidden/>
              </w:rPr>
              <w:instrText xml:space="preserve"> PAGEREF _Toc12472798 \h </w:instrText>
            </w:r>
            <w:r w:rsidR="004377EC">
              <w:rPr>
                <w:noProof/>
                <w:webHidden/>
              </w:rPr>
            </w:r>
            <w:r w:rsidR="004377EC">
              <w:rPr>
                <w:noProof/>
                <w:webHidden/>
              </w:rPr>
              <w:fldChar w:fldCharType="separate"/>
            </w:r>
            <w:r w:rsidR="004377EC">
              <w:rPr>
                <w:noProof/>
                <w:webHidden/>
              </w:rPr>
              <w:t>1</w:t>
            </w:r>
            <w:r w:rsidR="004377EC">
              <w:rPr>
                <w:noProof/>
                <w:webHidden/>
              </w:rPr>
              <w:fldChar w:fldCharType="end"/>
            </w:r>
          </w:hyperlink>
        </w:p>
        <w:p w14:paraId="595211D5" w14:textId="6083BEF7" w:rsidR="004377EC" w:rsidRDefault="00186D72">
          <w:pPr>
            <w:pStyle w:val="TOC2"/>
            <w:tabs>
              <w:tab w:val="left" w:pos="880"/>
              <w:tab w:val="right" w:leader="dot" w:pos="9350"/>
            </w:tabs>
            <w:rPr>
              <w:rFonts w:eastAsiaTheme="minorEastAsia"/>
              <w:noProof/>
              <w:lang w:val="en-GB" w:eastAsia="en-GB"/>
            </w:rPr>
          </w:pPr>
          <w:hyperlink w:anchor="_Toc12472799" w:history="1">
            <w:r w:rsidR="004377EC" w:rsidRPr="008A4452">
              <w:rPr>
                <w:rStyle w:val="Hyperlink"/>
                <w:noProof/>
              </w:rPr>
              <w:t>2.1.</w:t>
            </w:r>
            <w:r w:rsidR="004377EC">
              <w:rPr>
                <w:rFonts w:eastAsiaTheme="minorEastAsia"/>
                <w:noProof/>
                <w:lang w:val="en-GB" w:eastAsia="en-GB"/>
              </w:rPr>
              <w:tab/>
            </w:r>
            <w:r w:rsidR="004377EC" w:rsidRPr="008A4452">
              <w:rPr>
                <w:rStyle w:val="Hyperlink"/>
                <w:noProof/>
              </w:rPr>
              <w:t>Approach</w:t>
            </w:r>
            <w:r w:rsidR="004377EC">
              <w:rPr>
                <w:noProof/>
                <w:webHidden/>
              </w:rPr>
              <w:tab/>
            </w:r>
            <w:r w:rsidR="004377EC">
              <w:rPr>
                <w:noProof/>
                <w:webHidden/>
              </w:rPr>
              <w:fldChar w:fldCharType="begin"/>
            </w:r>
            <w:r w:rsidR="004377EC">
              <w:rPr>
                <w:noProof/>
                <w:webHidden/>
              </w:rPr>
              <w:instrText xml:space="preserve"> PAGEREF _Toc12472799 \h </w:instrText>
            </w:r>
            <w:r w:rsidR="004377EC">
              <w:rPr>
                <w:noProof/>
                <w:webHidden/>
              </w:rPr>
            </w:r>
            <w:r w:rsidR="004377EC">
              <w:rPr>
                <w:noProof/>
                <w:webHidden/>
              </w:rPr>
              <w:fldChar w:fldCharType="separate"/>
            </w:r>
            <w:r w:rsidR="004377EC">
              <w:rPr>
                <w:noProof/>
                <w:webHidden/>
              </w:rPr>
              <w:t>1</w:t>
            </w:r>
            <w:r w:rsidR="004377EC">
              <w:rPr>
                <w:noProof/>
                <w:webHidden/>
              </w:rPr>
              <w:fldChar w:fldCharType="end"/>
            </w:r>
          </w:hyperlink>
        </w:p>
        <w:p w14:paraId="3C82F3F1" w14:textId="0476613D" w:rsidR="004377EC" w:rsidRDefault="00186D72">
          <w:pPr>
            <w:pStyle w:val="TOC2"/>
            <w:tabs>
              <w:tab w:val="left" w:pos="880"/>
              <w:tab w:val="right" w:leader="dot" w:pos="9350"/>
            </w:tabs>
            <w:rPr>
              <w:rFonts w:eastAsiaTheme="minorEastAsia"/>
              <w:noProof/>
              <w:lang w:val="en-GB" w:eastAsia="en-GB"/>
            </w:rPr>
          </w:pPr>
          <w:hyperlink w:anchor="_Toc12472800" w:history="1">
            <w:r w:rsidR="004377EC" w:rsidRPr="008A4452">
              <w:rPr>
                <w:rStyle w:val="Hyperlink"/>
                <w:noProof/>
              </w:rPr>
              <w:t>2.2.</w:t>
            </w:r>
            <w:r w:rsidR="004377EC">
              <w:rPr>
                <w:rFonts w:eastAsiaTheme="minorEastAsia"/>
                <w:noProof/>
                <w:lang w:val="en-GB" w:eastAsia="en-GB"/>
              </w:rPr>
              <w:tab/>
            </w:r>
            <w:r w:rsidR="004377EC" w:rsidRPr="008A4452">
              <w:rPr>
                <w:rStyle w:val="Hyperlink"/>
                <w:noProof/>
              </w:rPr>
              <w:t>Solution</w:t>
            </w:r>
            <w:r w:rsidR="004377EC">
              <w:rPr>
                <w:noProof/>
                <w:webHidden/>
              </w:rPr>
              <w:tab/>
            </w:r>
            <w:r w:rsidR="004377EC">
              <w:rPr>
                <w:noProof/>
                <w:webHidden/>
              </w:rPr>
              <w:fldChar w:fldCharType="begin"/>
            </w:r>
            <w:r w:rsidR="004377EC">
              <w:rPr>
                <w:noProof/>
                <w:webHidden/>
              </w:rPr>
              <w:instrText xml:space="preserve"> PAGEREF _Toc12472800 \h </w:instrText>
            </w:r>
            <w:r w:rsidR="004377EC">
              <w:rPr>
                <w:noProof/>
                <w:webHidden/>
              </w:rPr>
            </w:r>
            <w:r w:rsidR="004377EC">
              <w:rPr>
                <w:noProof/>
                <w:webHidden/>
              </w:rPr>
              <w:fldChar w:fldCharType="separate"/>
            </w:r>
            <w:r w:rsidR="004377EC">
              <w:rPr>
                <w:noProof/>
                <w:webHidden/>
              </w:rPr>
              <w:t>1</w:t>
            </w:r>
            <w:r w:rsidR="004377EC">
              <w:rPr>
                <w:noProof/>
                <w:webHidden/>
              </w:rPr>
              <w:fldChar w:fldCharType="end"/>
            </w:r>
          </w:hyperlink>
        </w:p>
        <w:p w14:paraId="06D53D0B" w14:textId="5BCE3BEB" w:rsidR="004377EC" w:rsidRDefault="00186D72">
          <w:pPr>
            <w:pStyle w:val="TOC2"/>
            <w:tabs>
              <w:tab w:val="left" w:pos="880"/>
              <w:tab w:val="right" w:leader="dot" w:pos="9350"/>
            </w:tabs>
            <w:rPr>
              <w:rFonts w:eastAsiaTheme="minorEastAsia"/>
              <w:noProof/>
              <w:lang w:val="en-GB" w:eastAsia="en-GB"/>
            </w:rPr>
          </w:pPr>
          <w:hyperlink w:anchor="_Toc12472801" w:history="1">
            <w:r w:rsidR="004377EC" w:rsidRPr="008A4452">
              <w:rPr>
                <w:rStyle w:val="Hyperlink"/>
                <w:noProof/>
              </w:rPr>
              <w:t>2.3.</w:t>
            </w:r>
            <w:r w:rsidR="004377EC">
              <w:rPr>
                <w:rFonts w:eastAsiaTheme="minorEastAsia"/>
                <w:noProof/>
                <w:lang w:val="en-GB" w:eastAsia="en-GB"/>
              </w:rPr>
              <w:tab/>
            </w:r>
            <w:r w:rsidR="004377EC" w:rsidRPr="008A4452">
              <w:rPr>
                <w:rStyle w:val="Hyperlink"/>
                <w:noProof/>
              </w:rPr>
              <w:t>Conclusions</w:t>
            </w:r>
            <w:r w:rsidR="004377EC">
              <w:rPr>
                <w:noProof/>
                <w:webHidden/>
              </w:rPr>
              <w:tab/>
            </w:r>
            <w:r w:rsidR="004377EC">
              <w:rPr>
                <w:noProof/>
                <w:webHidden/>
              </w:rPr>
              <w:fldChar w:fldCharType="begin"/>
            </w:r>
            <w:r w:rsidR="004377EC">
              <w:rPr>
                <w:noProof/>
                <w:webHidden/>
              </w:rPr>
              <w:instrText xml:space="preserve"> PAGEREF _Toc12472801 \h </w:instrText>
            </w:r>
            <w:r w:rsidR="004377EC">
              <w:rPr>
                <w:noProof/>
                <w:webHidden/>
              </w:rPr>
            </w:r>
            <w:r w:rsidR="004377EC">
              <w:rPr>
                <w:noProof/>
                <w:webHidden/>
              </w:rPr>
              <w:fldChar w:fldCharType="separate"/>
            </w:r>
            <w:r w:rsidR="004377EC">
              <w:rPr>
                <w:noProof/>
                <w:webHidden/>
              </w:rPr>
              <w:t>2</w:t>
            </w:r>
            <w:r w:rsidR="004377EC">
              <w:rPr>
                <w:noProof/>
                <w:webHidden/>
              </w:rPr>
              <w:fldChar w:fldCharType="end"/>
            </w:r>
          </w:hyperlink>
        </w:p>
        <w:p w14:paraId="3D939654" w14:textId="01F1C15B" w:rsidR="004377EC" w:rsidRDefault="00186D72">
          <w:pPr>
            <w:pStyle w:val="TOC1"/>
            <w:rPr>
              <w:rFonts w:eastAsiaTheme="minorEastAsia"/>
              <w:noProof/>
              <w:lang w:val="en-GB" w:eastAsia="en-GB"/>
            </w:rPr>
          </w:pPr>
          <w:hyperlink w:anchor="_Toc12472802" w:history="1">
            <w:r w:rsidR="004377EC" w:rsidRPr="008A4452">
              <w:rPr>
                <w:rStyle w:val="Hyperlink"/>
                <w:bCs/>
                <w:noProof/>
              </w:rPr>
              <w:t>3.</w:t>
            </w:r>
            <w:r w:rsidR="004377EC">
              <w:rPr>
                <w:rFonts w:eastAsiaTheme="minorEastAsia"/>
                <w:noProof/>
                <w:lang w:val="en-GB" w:eastAsia="en-GB"/>
              </w:rPr>
              <w:tab/>
            </w:r>
            <w:r w:rsidR="004377EC" w:rsidRPr="008A4452">
              <w:rPr>
                <w:rStyle w:val="Hyperlink"/>
                <w:noProof/>
              </w:rPr>
              <w:t>Recommendations</w:t>
            </w:r>
            <w:r w:rsidR="004377EC">
              <w:rPr>
                <w:noProof/>
                <w:webHidden/>
              </w:rPr>
              <w:tab/>
            </w:r>
            <w:r w:rsidR="004377EC">
              <w:rPr>
                <w:noProof/>
                <w:webHidden/>
              </w:rPr>
              <w:fldChar w:fldCharType="begin"/>
            </w:r>
            <w:r w:rsidR="004377EC">
              <w:rPr>
                <w:noProof/>
                <w:webHidden/>
              </w:rPr>
              <w:instrText xml:space="preserve"> PAGEREF _Toc12472802 \h </w:instrText>
            </w:r>
            <w:r w:rsidR="004377EC">
              <w:rPr>
                <w:noProof/>
                <w:webHidden/>
              </w:rPr>
            </w:r>
            <w:r w:rsidR="004377EC">
              <w:rPr>
                <w:noProof/>
                <w:webHidden/>
              </w:rPr>
              <w:fldChar w:fldCharType="separate"/>
            </w:r>
            <w:r w:rsidR="004377EC">
              <w:rPr>
                <w:noProof/>
                <w:webHidden/>
              </w:rPr>
              <w:t>2</w:t>
            </w:r>
            <w:r w:rsidR="004377EC">
              <w:rPr>
                <w:noProof/>
                <w:webHidden/>
              </w:rPr>
              <w:fldChar w:fldCharType="end"/>
            </w:r>
          </w:hyperlink>
        </w:p>
        <w:p w14:paraId="61FAEB5B" w14:textId="50F80507" w:rsidR="004377EC" w:rsidRDefault="00186D72">
          <w:pPr>
            <w:pStyle w:val="TOC2"/>
            <w:tabs>
              <w:tab w:val="left" w:pos="880"/>
              <w:tab w:val="right" w:leader="dot" w:pos="9350"/>
            </w:tabs>
            <w:rPr>
              <w:rFonts w:eastAsiaTheme="minorEastAsia"/>
              <w:noProof/>
              <w:lang w:val="en-GB" w:eastAsia="en-GB"/>
            </w:rPr>
          </w:pPr>
          <w:hyperlink w:anchor="_Toc12472803" w:history="1">
            <w:r w:rsidR="004377EC" w:rsidRPr="008A4452">
              <w:rPr>
                <w:rStyle w:val="Hyperlink"/>
                <w:noProof/>
              </w:rPr>
              <w:t>3.2.</w:t>
            </w:r>
            <w:r w:rsidR="004377EC">
              <w:rPr>
                <w:rFonts w:eastAsiaTheme="minorEastAsia"/>
                <w:noProof/>
                <w:lang w:val="en-GB" w:eastAsia="en-GB"/>
              </w:rPr>
              <w:tab/>
            </w:r>
            <w:r w:rsidR="004377EC" w:rsidRPr="008A4452">
              <w:rPr>
                <w:rStyle w:val="Hyperlink"/>
                <w:noProof/>
              </w:rPr>
              <w:t>Mid-Population-Sized Manufacturing Provinces</w:t>
            </w:r>
            <w:r w:rsidR="004377EC">
              <w:rPr>
                <w:noProof/>
                <w:webHidden/>
              </w:rPr>
              <w:tab/>
            </w:r>
            <w:r w:rsidR="004377EC">
              <w:rPr>
                <w:noProof/>
                <w:webHidden/>
              </w:rPr>
              <w:fldChar w:fldCharType="begin"/>
            </w:r>
            <w:r w:rsidR="004377EC">
              <w:rPr>
                <w:noProof/>
                <w:webHidden/>
              </w:rPr>
              <w:instrText xml:space="preserve"> PAGEREF _Toc12472803 \h </w:instrText>
            </w:r>
            <w:r w:rsidR="004377EC">
              <w:rPr>
                <w:noProof/>
                <w:webHidden/>
              </w:rPr>
            </w:r>
            <w:r w:rsidR="004377EC">
              <w:rPr>
                <w:noProof/>
                <w:webHidden/>
              </w:rPr>
              <w:fldChar w:fldCharType="separate"/>
            </w:r>
            <w:r w:rsidR="004377EC">
              <w:rPr>
                <w:noProof/>
                <w:webHidden/>
              </w:rPr>
              <w:t>3</w:t>
            </w:r>
            <w:r w:rsidR="004377EC">
              <w:rPr>
                <w:noProof/>
                <w:webHidden/>
              </w:rPr>
              <w:fldChar w:fldCharType="end"/>
            </w:r>
          </w:hyperlink>
        </w:p>
        <w:p w14:paraId="7223EFE7" w14:textId="7A9A9D52" w:rsidR="004377EC" w:rsidRDefault="00186D72">
          <w:pPr>
            <w:pStyle w:val="TOC2"/>
            <w:tabs>
              <w:tab w:val="left" w:pos="880"/>
              <w:tab w:val="right" w:leader="dot" w:pos="9350"/>
            </w:tabs>
            <w:rPr>
              <w:rFonts w:eastAsiaTheme="minorEastAsia"/>
              <w:noProof/>
              <w:lang w:val="en-GB" w:eastAsia="en-GB"/>
            </w:rPr>
          </w:pPr>
          <w:hyperlink w:anchor="_Toc12472804" w:history="1">
            <w:r w:rsidR="004377EC" w:rsidRPr="008A4452">
              <w:rPr>
                <w:rStyle w:val="Hyperlink"/>
                <w:noProof/>
              </w:rPr>
              <w:t>3.3.</w:t>
            </w:r>
            <w:r w:rsidR="004377EC">
              <w:rPr>
                <w:rFonts w:eastAsiaTheme="minorEastAsia"/>
                <w:noProof/>
                <w:lang w:val="en-GB" w:eastAsia="en-GB"/>
              </w:rPr>
              <w:tab/>
            </w:r>
            <w:r w:rsidR="004377EC" w:rsidRPr="008A4452">
              <w:rPr>
                <w:rStyle w:val="Hyperlink"/>
                <w:noProof/>
              </w:rPr>
              <w:t>Mid-Population-Sized Agricultural and Building Provinces</w:t>
            </w:r>
            <w:r w:rsidR="004377EC">
              <w:rPr>
                <w:noProof/>
                <w:webHidden/>
              </w:rPr>
              <w:tab/>
            </w:r>
            <w:r w:rsidR="004377EC">
              <w:rPr>
                <w:noProof/>
                <w:webHidden/>
              </w:rPr>
              <w:fldChar w:fldCharType="begin"/>
            </w:r>
            <w:r w:rsidR="004377EC">
              <w:rPr>
                <w:noProof/>
                <w:webHidden/>
              </w:rPr>
              <w:instrText xml:space="preserve"> PAGEREF _Toc12472804 \h </w:instrText>
            </w:r>
            <w:r w:rsidR="004377EC">
              <w:rPr>
                <w:noProof/>
                <w:webHidden/>
              </w:rPr>
            </w:r>
            <w:r w:rsidR="004377EC">
              <w:rPr>
                <w:noProof/>
                <w:webHidden/>
              </w:rPr>
              <w:fldChar w:fldCharType="separate"/>
            </w:r>
            <w:r w:rsidR="004377EC">
              <w:rPr>
                <w:noProof/>
                <w:webHidden/>
              </w:rPr>
              <w:t>3</w:t>
            </w:r>
            <w:r w:rsidR="004377EC">
              <w:rPr>
                <w:noProof/>
                <w:webHidden/>
              </w:rPr>
              <w:fldChar w:fldCharType="end"/>
            </w:r>
          </w:hyperlink>
        </w:p>
        <w:p w14:paraId="67B755B2" w14:textId="79F089CB" w:rsidR="004377EC" w:rsidRDefault="00186D72">
          <w:pPr>
            <w:pStyle w:val="TOC2"/>
            <w:tabs>
              <w:tab w:val="left" w:pos="880"/>
              <w:tab w:val="right" w:leader="dot" w:pos="9350"/>
            </w:tabs>
            <w:rPr>
              <w:rFonts w:eastAsiaTheme="minorEastAsia"/>
              <w:noProof/>
              <w:lang w:val="en-GB" w:eastAsia="en-GB"/>
            </w:rPr>
          </w:pPr>
          <w:hyperlink w:anchor="_Toc12472805" w:history="1">
            <w:r w:rsidR="004377EC" w:rsidRPr="008A4452">
              <w:rPr>
                <w:rStyle w:val="Hyperlink"/>
                <w:noProof/>
              </w:rPr>
              <w:t>3.4.</w:t>
            </w:r>
            <w:r w:rsidR="004377EC">
              <w:rPr>
                <w:rFonts w:eastAsiaTheme="minorEastAsia"/>
                <w:noProof/>
                <w:lang w:val="en-GB" w:eastAsia="en-GB"/>
              </w:rPr>
              <w:tab/>
            </w:r>
            <w:r w:rsidR="004377EC" w:rsidRPr="008A4452">
              <w:rPr>
                <w:rStyle w:val="Hyperlink"/>
                <w:noProof/>
              </w:rPr>
              <w:t>Smallest size and not growing agriculture provinces with the lowest unemployment rate</w:t>
            </w:r>
            <w:r w:rsidR="004377EC">
              <w:rPr>
                <w:noProof/>
                <w:webHidden/>
              </w:rPr>
              <w:tab/>
            </w:r>
            <w:r w:rsidR="004377EC">
              <w:rPr>
                <w:noProof/>
                <w:webHidden/>
              </w:rPr>
              <w:fldChar w:fldCharType="begin"/>
            </w:r>
            <w:r w:rsidR="004377EC">
              <w:rPr>
                <w:noProof/>
                <w:webHidden/>
              </w:rPr>
              <w:instrText xml:space="preserve"> PAGEREF _Toc12472805 \h </w:instrText>
            </w:r>
            <w:r w:rsidR="004377EC">
              <w:rPr>
                <w:noProof/>
                <w:webHidden/>
              </w:rPr>
            </w:r>
            <w:r w:rsidR="004377EC">
              <w:rPr>
                <w:noProof/>
                <w:webHidden/>
              </w:rPr>
              <w:fldChar w:fldCharType="separate"/>
            </w:r>
            <w:r w:rsidR="004377EC">
              <w:rPr>
                <w:noProof/>
                <w:webHidden/>
              </w:rPr>
              <w:t>3</w:t>
            </w:r>
            <w:r w:rsidR="004377EC">
              <w:rPr>
                <w:noProof/>
                <w:webHidden/>
              </w:rPr>
              <w:fldChar w:fldCharType="end"/>
            </w:r>
          </w:hyperlink>
        </w:p>
        <w:p w14:paraId="7F5F7357" w14:textId="3462569B" w:rsidR="004377EC" w:rsidRDefault="00186D72">
          <w:pPr>
            <w:pStyle w:val="TOC2"/>
            <w:tabs>
              <w:tab w:val="left" w:pos="880"/>
              <w:tab w:val="right" w:leader="dot" w:pos="9350"/>
            </w:tabs>
            <w:rPr>
              <w:rFonts w:eastAsiaTheme="minorEastAsia"/>
              <w:noProof/>
              <w:lang w:val="en-GB" w:eastAsia="en-GB"/>
            </w:rPr>
          </w:pPr>
          <w:hyperlink w:anchor="_Toc12472806" w:history="1">
            <w:r w:rsidR="004377EC" w:rsidRPr="008A4452">
              <w:rPr>
                <w:rStyle w:val="Hyperlink"/>
                <w:noProof/>
              </w:rPr>
              <w:t>3.5.</w:t>
            </w:r>
            <w:r w:rsidR="004377EC">
              <w:rPr>
                <w:rFonts w:eastAsiaTheme="minorEastAsia"/>
                <w:noProof/>
                <w:lang w:val="en-GB" w:eastAsia="en-GB"/>
              </w:rPr>
              <w:tab/>
            </w:r>
            <w:r w:rsidR="004377EC" w:rsidRPr="008A4452">
              <w:rPr>
                <w:rStyle w:val="Hyperlink"/>
                <w:noProof/>
              </w:rPr>
              <w:t>Mid-population-sized touristic provinces, with high unemployment rates</w:t>
            </w:r>
            <w:r w:rsidR="004377EC">
              <w:rPr>
                <w:noProof/>
                <w:webHidden/>
              </w:rPr>
              <w:tab/>
            </w:r>
            <w:r w:rsidR="004377EC">
              <w:rPr>
                <w:noProof/>
                <w:webHidden/>
              </w:rPr>
              <w:fldChar w:fldCharType="begin"/>
            </w:r>
            <w:r w:rsidR="004377EC">
              <w:rPr>
                <w:noProof/>
                <w:webHidden/>
              </w:rPr>
              <w:instrText xml:space="preserve"> PAGEREF _Toc12472806 \h </w:instrText>
            </w:r>
            <w:r w:rsidR="004377EC">
              <w:rPr>
                <w:noProof/>
                <w:webHidden/>
              </w:rPr>
            </w:r>
            <w:r w:rsidR="004377EC">
              <w:rPr>
                <w:noProof/>
                <w:webHidden/>
              </w:rPr>
              <w:fldChar w:fldCharType="separate"/>
            </w:r>
            <w:r w:rsidR="004377EC">
              <w:rPr>
                <w:noProof/>
                <w:webHidden/>
              </w:rPr>
              <w:t>3</w:t>
            </w:r>
            <w:r w:rsidR="004377EC">
              <w:rPr>
                <w:noProof/>
                <w:webHidden/>
              </w:rPr>
              <w:fldChar w:fldCharType="end"/>
            </w:r>
          </w:hyperlink>
        </w:p>
        <w:p w14:paraId="0BD8BD1B" w14:textId="38E83BCC" w:rsidR="004377EC" w:rsidRDefault="00186D72">
          <w:pPr>
            <w:pStyle w:val="TOC1"/>
            <w:rPr>
              <w:rFonts w:eastAsiaTheme="minorEastAsia"/>
              <w:noProof/>
              <w:lang w:val="en-GB" w:eastAsia="en-GB"/>
            </w:rPr>
          </w:pPr>
          <w:hyperlink w:anchor="_Toc12472807" w:history="1">
            <w:r w:rsidR="004377EC" w:rsidRPr="008A4452">
              <w:rPr>
                <w:rStyle w:val="Hyperlink"/>
                <w:bCs/>
                <w:noProof/>
              </w:rPr>
              <w:t>4.</w:t>
            </w:r>
            <w:r w:rsidR="004377EC">
              <w:rPr>
                <w:rFonts w:eastAsiaTheme="minorEastAsia"/>
                <w:noProof/>
                <w:lang w:val="en-GB" w:eastAsia="en-GB"/>
              </w:rPr>
              <w:tab/>
            </w:r>
            <w:r w:rsidR="004377EC" w:rsidRPr="008A4452">
              <w:rPr>
                <w:rStyle w:val="Hyperlink"/>
                <w:noProof/>
              </w:rPr>
              <w:t>Technical Annexes</w:t>
            </w:r>
            <w:r w:rsidR="004377EC">
              <w:rPr>
                <w:noProof/>
                <w:webHidden/>
              </w:rPr>
              <w:tab/>
            </w:r>
            <w:r w:rsidR="004377EC">
              <w:rPr>
                <w:noProof/>
                <w:webHidden/>
              </w:rPr>
              <w:fldChar w:fldCharType="begin"/>
            </w:r>
            <w:r w:rsidR="004377EC">
              <w:rPr>
                <w:noProof/>
                <w:webHidden/>
              </w:rPr>
              <w:instrText xml:space="preserve"> PAGEREF _Toc12472807 \h </w:instrText>
            </w:r>
            <w:r w:rsidR="004377EC">
              <w:rPr>
                <w:noProof/>
                <w:webHidden/>
              </w:rPr>
            </w:r>
            <w:r w:rsidR="004377EC">
              <w:rPr>
                <w:noProof/>
                <w:webHidden/>
              </w:rPr>
              <w:fldChar w:fldCharType="separate"/>
            </w:r>
            <w:r w:rsidR="004377EC">
              <w:rPr>
                <w:noProof/>
                <w:webHidden/>
              </w:rPr>
              <w:t>5</w:t>
            </w:r>
            <w:r w:rsidR="004377EC">
              <w:rPr>
                <w:noProof/>
                <w:webHidden/>
              </w:rPr>
              <w:fldChar w:fldCharType="end"/>
            </w:r>
          </w:hyperlink>
        </w:p>
        <w:p w14:paraId="14DB68E3" w14:textId="1E6EDF90" w:rsidR="004377EC" w:rsidRPr="004377EC" w:rsidRDefault="00186D72">
          <w:pPr>
            <w:pStyle w:val="TOC2"/>
            <w:tabs>
              <w:tab w:val="left" w:pos="880"/>
              <w:tab w:val="right" w:leader="dot" w:pos="9350"/>
            </w:tabs>
            <w:rPr>
              <w:rFonts w:eastAsiaTheme="minorEastAsia"/>
              <w:noProof/>
              <w:lang w:val="en-GB" w:eastAsia="en-GB"/>
            </w:rPr>
          </w:pPr>
          <w:hyperlink w:anchor="_Toc12472808" w:history="1">
            <w:r w:rsidR="004377EC" w:rsidRPr="004377EC">
              <w:rPr>
                <w:rStyle w:val="Hyperlink"/>
                <w:noProof/>
              </w:rPr>
              <w:t>4.1.</w:t>
            </w:r>
            <w:r w:rsidR="004377EC" w:rsidRPr="004377EC">
              <w:rPr>
                <w:rFonts w:eastAsiaTheme="minorEastAsia"/>
                <w:noProof/>
                <w:lang w:val="en-GB" w:eastAsia="en-GB"/>
              </w:rPr>
              <w:tab/>
            </w:r>
            <w:r w:rsidR="004377EC" w:rsidRPr="004377EC">
              <w:rPr>
                <w:rStyle w:val="Hyperlink"/>
                <w:noProof/>
              </w:rPr>
              <w:t>Annex I – Correlation Analysis</w:t>
            </w:r>
            <w:r w:rsidR="004377EC" w:rsidRPr="004377EC">
              <w:rPr>
                <w:noProof/>
                <w:webHidden/>
              </w:rPr>
              <w:tab/>
            </w:r>
            <w:r w:rsidR="004377EC" w:rsidRPr="004377EC">
              <w:rPr>
                <w:noProof/>
                <w:webHidden/>
              </w:rPr>
              <w:fldChar w:fldCharType="begin"/>
            </w:r>
            <w:r w:rsidR="004377EC" w:rsidRPr="004377EC">
              <w:rPr>
                <w:noProof/>
                <w:webHidden/>
              </w:rPr>
              <w:instrText xml:space="preserve"> PAGEREF _Toc12472808 \h </w:instrText>
            </w:r>
            <w:r w:rsidR="004377EC" w:rsidRPr="004377EC">
              <w:rPr>
                <w:noProof/>
                <w:webHidden/>
              </w:rPr>
            </w:r>
            <w:r w:rsidR="004377EC" w:rsidRPr="004377EC">
              <w:rPr>
                <w:noProof/>
                <w:webHidden/>
              </w:rPr>
              <w:fldChar w:fldCharType="separate"/>
            </w:r>
            <w:r w:rsidR="004377EC" w:rsidRPr="004377EC">
              <w:rPr>
                <w:noProof/>
                <w:webHidden/>
              </w:rPr>
              <w:t>5</w:t>
            </w:r>
            <w:r w:rsidR="004377EC" w:rsidRPr="004377EC">
              <w:rPr>
                <w:noProof/>
                <w:webHidden/>
              </w:rPr>
              <w:fldChar w:fldCharType="end"/>
            </w:r>
          </w:hyperlink>
        </w:p>
        <w:p w14:paraId="40538928" w14:textId="1C3D5A55" w:rsidR="004377EC" w:rsidRPr="004377EC" w:rsidRDefault="00186D72">
          <w:pPr>
            <w:pStyle w:val="TOC2"/>
            <w:tabs>
              <w:tab w:val="left" w:pos="880"/>
              <w:tab w:val="right" w:leader="dot" w:pos="9350"/>
            </w:tabs>
            <w:rPr>
              <w:rFonts w:eastAsiaTheme="minorEastAsia"/>
              <w:noProof/>
              <w:lang w:val="en-GB" w:eastAsia="en-GB"/>
            </w:rPr>
          </w:pPr>
          <w:hyperlink w:anchor="_Toc12472809" w:history="1">
            <w:r w:rsidR="004377EC" w:rsidRPr="004377EC">
              <w:rPr>
                <w:rStyle w:val="Hyperlink"/>
                <w:noProof/>
              </w:rPr>
              <w:t>4.2.</w:t>
            </w:r>
            <w:r w:rsidR="004377EC" w:rsidRPr="004377EC">
              <w:rPr>
                <w:rFonts w:eastAsiaTheme="minorEastAsia"/>
                <w:noProof/>
                <w:lang w:val="en-GB" w:eastAsia="en-GB"/>
              </w:rPr>
              <w:tab/>
            </w:r>
            <w:r w:rsidR="004377EC" w:rsidRPr="004377EC">
              <w:rPr>
                <w:rStyle w:val="Hyperlink"/>
                <w:noProof/>
              </w:rPr>
              <w:t>Annex II – Variable Significance for Clustering Model</w:t>
            </w:r>
            <w:r w:rsidR="004377EC" w:rsidRPr="004377EC">
              <w:rPr>
                <w:noProof/>
                <w:webHidden/>
              </w:rPr>
              <w:tab/>
            </w:r>
            <w:r w:rsidR="004377EC" w:rsidRPr="004377EC">
              <w:rPr>
                <w:noProof/>
                <w:webHidden/>
              </w:rPr>
              <w:fldChar w:fldCharType="begin"/>
            </w:r>
            <w:r w:rsidR="004377EC" w:rsidRPr="004377EC">
              <w:rPr>
                <w:noProof/>
                <w:webHidden/>
              </w:rPr>
              <w:instrText xml:space="preserve"> PAGEREF _Toc12472809 \h </w:instrText>
            </w:r>
            <w:r w:rsidR="004377EC" w:rsidRPr="004377EC">
              <w:rPr>
                <w:noProof/>
                <w:webHidden/>
              </w:rPr>
            </w:r>
            <w:r w:rsidR="004377EC" w:rsidRPr="004377EC">
              <w:rPr>
                <w:noProof/>
                <w:webHidden/>
              </w:rPr>
              <w:fldChar w:fldCharType="separate"/>
            </w:r>
            <w:r w:rsidR="004377EC" w:rsidRPr="004377EC">
              <w:rPr>
                <w:noProof/>
                <w:webHidden/>
              </w:rPr>
              <w:t>6</w:t>
            </w:r>
            <w:r w:rsidR="004377EC" w:rsidRPr="004377EC">
              <w:rPr>
                <w:noProof/>
                <w:webHidden/>
              </w:rPr>
              <w:fldChar w:fldCharType="end"/>
            </w:r>
          </w:hyperlink>
        </w:p>
        <w:p w14:paraId="5FC1A250" w14:textId="342D7216" w:rsidR="004377EC" w:rsidRPr="004377EC" w:rsidRDefault="00186D72">
          <w:pPr>
            <w:pStyle w:val="TOC2"/>
            <w:tabs>
              <w:tab w:val="left" w:pos="880"/>
              <w:tab w:val="right" w:leader="dot" w:pos="9350"/>
            </w:tabs>
            <w:rPr>
              <w:rFonts w:eastAsiaTheme="minorEastAsia"/>
              <w:noProof/>
              <w:lang w:val="en-GB" w:eastAsia="en-GB"/>
            </w:rPr>
          </w:pPr>
          <w:hyperlink w:anchor="_Toc12472810" w:history="1">
            <w:r w:rsidR="004377EC" w:rsidRPr="004377EC">
              <w:rPr>
                <w:rStyle w:val="Hyperlink"/>
                <w:noProof/>
              </w:rPr>
              <w:t>4.3.</w:t>
            </w:r>
            <w:r w:rsidR="004377EC" w:rsidRPr="004377EC">
              <w:rPr>
                <w:rFonts w:eastAsiaTheme="minorEastAsia"/>
                <w:noProof/>
                <w:lang w:val="en-GB" w:eastAsia="en-GB"/>
              </w:rPr>
              <w:tab/>
            </w:r>
            <w:r w:rsidR="004377EC" w:rsidRPr="004377EC">
              <w:rPr>
                <w:rStyle w:val="Hyperlink"/>
                <w:noProof/>
              </w:rPr>
              <w:t>Annex III – Detailed Metrics</w:t>
            </w:r>
            <w:r w:rsidR="004377EC" w:rsidRPr="004377EC">
              <w:rPr>
                <w:noProof/>
                <w:webHidden/>
              </w:rPr>
              <w:tab/>
            </w:r>
            <w:r w:rsidR="004377EC" w:rsidRPr="004377EC">
              <w:rPr>
                <w:noProof/>
                <w:webHidden/>
              </w:rPr>
              <w:fldChar w:fldCharType="begin"/>
            </w:r>
            <w:r w:rsidR="004377EC" w:rsidRPr="004377EC">
              <w:rPr>
                <w:noProof/>
                <w:webHidden/>
              </w:rPr>
              <w:instrText xml:space="preserve"> PAGEREF _Toc12472810 \h </w:instrText>
            </w:r>
            <w:r w:rsidR="004377EC" w:rsidRPr="004377EC">
              <w:rPr>
                <w:noProof/>
                <w:webHidden/>
              </w:rPr>
            </w:r>
            <w:r w:rsidR="004377EC" w:rsidRPr="004377EC">
              <w:rPr>
                <w:noProof/>
                <w:webHidden/>
              </w:rPr>
              <w:fldChar w:fldCharType="separate"/>
            </w:r>
            <w:r w:rsidR="004377EC" w:rsidRPr="004377EC">
              <w:rPr>
                <w:noProof/>
                <w:webHidden/>
              </w:rPr>
              <w:t>6</w:t>
            </w:r>
            <w:r w:rsidR="004377EC" w:rsidRPr="004377EC">
              <w:rPr>
                <w:noProof/>
                <w:webHidden/>
              </w:rPr>
              <w:fldChar w:fldCharType="end"/>
            </w:r>
          </w:hyperlink>
        </w:p>
        <w:p w14:paraId="227CCEA6" w14:textId="20884539" w:rsidR="004377EC" w:rsidRPr="004377EC" w:rsidRDefault="00186D72">
          <w:pPr>
            <w:pStyle w:val="TOC2"/>
            <w:tabs>
              <w:tab w:val="left" w:pos="880"/>
              <w:tab w:val="right" w:leader="dot" w:pos="9350"/>
            </w:tabs>
            <w:rPr>
              <w:rFonts w:eastAsiaTheme="minorEastAsia"/>
              <w:noProof/>
              <w:lang w:val="en-GB" w:eastAsia="en-GB"/>
            </w:rPr>
          </w:pPr>
          <w:hyperlink w:anchor="_Toc12472811" w:history="1">
            <w:r w:rsidR="004377EC" w:rsidRPr="004377EC">
              <w:rPr>
                <w:rStyle w:val="Hyperlink"/>
                <w:noProof/>
              </w:rPr>
              <w:t>4.4.</w:t>
            </w:r>
            <w:r w:rsidR="004377EC" w:rsidRPr="004377EC">
              <w:rPr>
                <w:rFonts w:eastAsiaTheme="minorEastAsia"/>
                <w:noProof/>
                <w:lang w:val="en-GB" w:eastAsia="en-GB"/>
              </w:rPr>
              <w:tab/>
            </w:r>
            <w:r w:rsidR="004377EC" w:rsidRPr="004377EC">
              <w:rPr>
                <w:rStyle w:val="Hyperlink"/>
                <w:noProof/>
              </w:rPr>
              <w:t>Annex IV – Cluster Heatmap</w:t>
            </w:r>
            <w:r w:rsidR="004377EC" w:rsidRPr="004377EC">
              <w:rPr>
                <w:noProof/>
                <w:webHidden/>
              </w:rPr>
              <w:tab/>
            </w:r>
            <w:r w:rsidR="004377EC" w:rsidRPr="004377EC">
              <w:rPr>
                <w:noProof/>
                <w:webHidden/>
              </w:rPr>
              <w:fldChar w:fldCharType="begin"/>
            </w:r>
            <w:r w:rsidR="004377EC" w:rsidRPr="004377EC">
              <w:rPr>
                <w:noProof/>
                <w:webHidden/>
              </w:rPr>
              <w:instrText xml:space="preserve"> PAGEREF _Toc12472811 \h </w:instrText>
            </w:r>
            <w:r w:rsidR="004377EC" w:rsidRPr="004377EC">
              <w:rPr>
                <w:noProof/>
                <w:webHidden/>
              </w:rPr>
            </w:r>
            <w:r w:rsidR="004377EC" w:rsidRPr="004377EC">
              <w:rPr>
                <w:noProof/>
                <w:webHidden/>
              </w:rPr>
              <w:fldChar w:fldCharType="separate"/>
            </w:r>
            <w:r w:rsidR="004377EC" w:rsidRPr="004377EC">
              <w:rPr>
                <w:noProof/>
                <w:webHidden/>
              </w:rPr>
              <w:t>6</w:t>
            </w:r>
            <w:r w:rsidR="004377EC" w:rsidRPr="004377EC">
              <w:rPr>
                <w:noProof/>
                <w:webHidden/>
              </w:rPr>
              <w:fldChar w:fldCharType="end"/>
            </w:r>
          </w:hyperlink>
        </w:p>
        <w:p w14:paraId="29108C40" w14:textId="4CCDDE4D" w:rsidR="004377EC" w:rsidRPr="004377EC" w:rsidRDefault="00186D72">
          <w:pPr>
            <w:pStyle w:val="TOC2"/>
            <w:tabs>
              <w:tab w:val="left" w:pos="880"/>
              <w:tab w:val="right" w:leader="dot" w:pos="9350"/>
            </w:tabs>
            <w:rPr>
              <w:rFonts w:eastAsiaTheme="minorEastAsia"/>
              <w:noProof/>
              <w:lang w:val="en-GB" w:eastAsia="en-GB"/>
            </w:rPr>
          </w:pPr>
          <w:hyperlink w:anchor="_Toc12472812" w:history="1">
            <w:r w:rsidR="004377EC" w:rsidRPr="004377EC">
              <w:rPr>
                <w:rStyle w:val="Hyperlink"/>
                <w:noProof/>
              </w:rPr>
              <w:t>4.5.</w:t>
            </w:r>
            <w:r w:rsidR="004377EC" w:rsidRPr="004377EC">
              <w:rPr>
                <w:rFonts w:eastAsiaTheme="minorEastAsia"/>
                <w:noProof/>
                <w:lang w:val="en-GB" w:eastAsia="en-GB"/>
              </w:rPr>
              <w:tab/>
            </w:r>
            <w:r w:rsidR="004377EC" w:rsidRPr="004377EC">
              <w:rPr>
                <w:rStyle w:val="Hyperlink"/>
                <w:noProof/>
              </w:rPr>
              <w:t>Annex V – Cluster-Provinces Classification</w:t>
            </w:r>
            <w:r w:rsidR="004377EC" w:rsidRPr="004377EC">
              <w:rPr>
                <w:noProof/>
                <w:webHidden/>
              </w:rPr>
              <w:tab/>
            </w:r>
            <w:r w:rsidR="004377EC" w:rsidRPr="004377EC">
              <w:rPr>
                <w:noProof/>
                <w:webHidden/>
              </w:rPr>
              <w:fldChar w:fldCharType="begin"/>
            </w:r>
            <w:r w:rsidR="004377EC" w:rsidRPr="004377EC">
              <w:rPr>
                <w:noProof/>
                <w:webHidden/>
              </w:rPr>
              <w:instrText xml:space="preserve"> PAGEREF _Toc12472812 \h </w:instrText>
            </w:r>
            <w:r w:rsidR="004377EC" w:rsidRPr="004377EC">
              <w:rPr>
                <w:noProof/>
                <w:webHidden/>
              </w:rPr>
            </w:r>
            <w:r w:rsidR="004377EC" w:rsidRPr="004377EC">
              <w:rPr>
                <w:noProof/>
                <w:webHidden/>
              </w:rPr>
              <w:fldChar w:fldCharType="separate"/>
            </w:r>
            <w:r w:rsidR="004377EC" w:rsidRPr="004377EC">
              <w:rPr>
                <w:noProof/>
                <w:webHidden/>
              </w:rPr>
              <w:t>7</w:t>
            </w:r>
            <w:r w:rsidR="004377EC" w:rsidRPr="004377EC">
              <w:rPr>
                <w:noProof/>
                <w:webHidden/>
              </w:rPr>
              <w:fldChar w:fldCharType="end"/>
            </w:r>
          </w:hyperlink>
        </w:p>
        <w:p w14:paraId="7AE133D6" w14:textId="20C83A95" w:rsidR="004377EC" w:rsidRPr="004377EC" w:rsidRDefault="00186D72">
          <w:pPr>
            <w:pStyle w:val="TOC2"/>
            <w:tabs>
              <w:tab w:val="left" w:pos="880"/>
              <w:tab w:val="right" w:leader="dot" w:pos="9350"/>
            </w:tabs>
            <w:rPr>
              <w:rFonts w:eastAsiaTheme="minorEastAsia"/>
              <w:noProof/>
              <w:lang w:val="en-GB" w:eastAsia="en-GB"/>
            </w:rPr>
          </w:pPr>
          <w:hyperlink w:anchor="_Toc12472813" w:history="1">
            <w:r w:rsidR="004377EC" w:rsidRPr="004377EC">
              <w:rPr>
                <w:rStyle w:val="Hyperlink"/>
                <w:noProof/>
              </w:rPr>
              <w:t>4.6.</w:t>
            </w:r>
            <w:r w:rsidR="004377EC" w:rsidRPr="004377EC">
              <w:rPr>
                <w:rFonts w:eastAsiaTheme="minorEastAsia"/>
                <w:noProof/>
                <w:lang w:val="en-GB" w:eastAsia="en-GB"/>
              </w:rPr>
              <w:tab/>
            </w:r>
            <w:r w:rsidR="004377EC" w:rsidRPr="004377EC">
              <w:rPr>
                <w:rStyle w:val="Hyperlink"/>
                <w:noProof/>
              </w:rPr>
              <w:t>Annex VI – Map of the Clusters</w:t>
            </w:r>
            <w:r w:rsidR="004377EC" w:rsidRPr="004377EC">
              <w:rPr>
                <w:noProof/>
                <w:webHidden/>
              </w:rPr>
              <w:tab/>
            </w:r>
            <w:r w:rsidR="004377EC" w:rsidRPr="004377EC">
              <w:rPr>
                <w:noProof/>
                <w:webHidden/>
              </w:rPr>
              <w:fldChar w:fldCharType="begin"/>
            </w:r>
            <w:r w:rsidR="004377EC" w:rsidRPr="004377EC">
              <w:rPr>
                <w:noProof/>
                <w:webHidden/>
              </w:rPr>
              <w:instrText xml:space="preserve"> PAGEREF _Toc12472813 \h </w:instrText>
            </w:r>
            <w:r w:rsidR="004377EC" w:rsidRPr="004377EC">
              <w:rPr>
                <w:noProof/>
                <w:webHidden/>
              </w:rPr>
            </w:r>
            <w:r w:rsidR="004377EC" w:rsidRPr="004377EC">
              <w:rPr>
                <w:noProof/>
                <w:webHidden/>
              </w:rPr>
              <w:fldChar w:fldCharType="separate"/>
            </w:r>
            <w:r w:rsidR="004377EC" w:rsidRPr="004377EC">
              <w:rPr>
                <w:noProof/>
                <w:webHidden/>
              </w:rPr>
              <w:t>8</w:t>
            </w:r>
            <w:r w:rsidR="004377EC" w:rsidRPr="004377EC">
              <w:rPr>
                <w:noProof/>
                <w:webHidden/>
              </w:rPr>
              <w:fldChar w:fldCharType="end"/>
            </w:r>
          </w:hyperlink>
        </w:p>
        <w:p w14:paraId="2C8E889D" w14:textId="58B3EA38" w:rsidR="004377EC" w:rsidRPr="004377EC" w:rsidRDefault="00186D72">
          <w:pPr>
            <w:pStyle w:val="TOC2"/>
            <w:tabs>
              <w:tab w:val="left" w:pos="880"/>
              <w:tab w:val="right" w:leader="dot" w:pos="9350"/>
            </w:tabs>
            <w:rPr>
              <w:rFonts w:eastAsiaTheme="minorEastAsia"/>
              <w:noProof/>
              <w:lang w:val="en-GB" w:eastAsia="en-GB"/>
            </w:rPr>
          </w:pPr>
          <w:hyperlink w:anchor="_Toc12472814" w:history="1">
            <w:r w:rsidR="004377EC" w:rsidRPr="004377EC">
              <w:rPr>
                <w:rStyle w:val="Hyperlink"/>
                <w:noProof/>
              </w:rPr>
              <w:t>4.7.</w:t>
            </w:r>
            <w:r w:rsidR="004377EC" w:rsidRPr="004377EC">
              <w:rPr>
                <w:rFonts w:eastAsiaTheme="minorEastAsia"/>
                <w:noProof/>
                <w:lang w:val="en-GB" w:eastAsia="en-GB"/>
              </w:rPr>
              <w:tab/>
            </w:r>
            <w:r w:rsidR="004377EC" w:rsidRPr="004377EC">
              <w:rPr>
                <w:rStyle w:val="Hyperlink"/>
                <w:noProof/>
              </w:rPr>
              <w:t>Annex VII – Cluster Feature Averages</w:t>
            </w:r>
            <w:r w:rsidR="004377EC" w:rsidRPr="004377EC">
              <w:rPr>
                <w:noProof/>
                <w:webHidden/>
              </w:rPr>
              <w:tab/>
            </w:r>
            <w:r w:rsidR="004377EC" w:rsidRPr="004377EC">
              <w:rPr>
                <w:noProof/>
                <w:webHidden/>
              </w:rPr>
              <w:fldChar w:fldCharType="begin"/>
            </w:r>
            <w:r w:rsidR="004377EC" w:rsidRPr="004377EC">
              <w:rPr>
                <w:noProof/>
                <w:webHidden/>
              </w:rPr>
              <w:instrText xml:space="preserve"> PAGEREF _Toc12472814 \h </w:instrText>
            </w:r>
            <w:r w:rsidR="004377EC" w:rsidRPr="004377EC">
              <w:rPr>
                <w:noProof/>
                <w:webHidden/>
              </w:rPr>
            </w:r>
            <w:r w:rsidR="004377EC" w:rsidRPr="004377EC">
              <w:rPr>
                <w:noProof/>
                <w:webHidden/>
              </w:rPr>
              <w:fldChar w:fldCharType="separate"/>
            </w:r>
            <w:r w:rsidR="004377EC" w:rsidRPr="004377EC">
              <w:rPr>
                <w:noProof/>
                <w:webHidden/>
              </w:rPr>
              <w:t>9</w:t>
            </w:r>
            <w:r w:rsidR="004377EC" w:rsidRPr="004377EC">
              <w:rPr>
                <w:noProof/>
                <w:webHidden/>
              </w:rPr>
              <w:fldChar w:fldCharType="end"/>
            </w:r>
          </w:hyperlink>
        </w:p>
        <w:p w14:paraId="30170C6C" w14:textId="1CC4D3DA" w:rsidR="00E91BEC" w:rsidRDefault="00E91BEC" w:rsidP="008D545C">
          <w:pPr>
            <w:pStyle w:val="TOC1"/>
            <w:rPr>
              <w:rFonts w:eastAsiaTheme="minorEastAsia"/>
              <w:lang w:val="en-GB" w:eastAsia="en-GB"/>
            </w:rPr>
          </w:pPr>
          <w:r w:rsidRPr="4EF923D9">
            <w:fldChar w:fldCharType="end"/>
          </w:r>
        </w:p>
      </w:sdtContent>
    </w:sdt>
    <w:p w14:paraId="1B683814" w14:textId="77777777" w:rsidR="00A9544C" w:rsidRDefault="00A9544C" w:rsidP="00981385">
      <w:pPr>
        <w:sectPr w:rsidR="00A9544C" w:rsidSect="00A9544C">
          <w:footerReference w:type="first" r:id="rId14"/>
          <w:pgSz w:w="12240" w:h="15840"/>
          <w:pgMar w:top="1440" w:right="1440" w:bottom="1440" w:left="1440" w:header="720" w:footer="720" w:gutter="0"/>
          <w:pgNumType w:fmt="lowerRoman" w:start="1"/>
          <w:cols w:space="720"/>
          <w:titlePg/>
          <w:docGrid w:linePitch="360"/>
        </w:sectPr>
      </w:pPr>
    </w:p>
    <w:p w14:paraId="65B4422E" w14:textId="4C1E2118" w:rsidR="000B62C2" w:rsidRPr="000B62C2" w:rsidRDefault="00EC474F" w:rsidP="000B62C2">
      <w:pPr>
        <w:pStyle w:val="Heading1"/>
        <w:numPr>
          <w:ilvl w:val="0"/>
          <w:numId w:val="2"/>
        </w:numPr>
      </w:pPr>
      <w:bookmarkStart w:id="1" w:name="_Toc12472797"/>
      <w:r>
        <w:lastRenderedPageBreak/>
        <w:t>Executive Summary</w:t>
      </w:r>
      <w:bookmarkEnd w:id="1"/>
    </w:p>
    <w:p w14:paraId="116135BF" w14:textId="0BF19D1A" w:rsidR="005D1C1E" w:rsidRPr="005D1C1E" w:rsidRDefault="1651141A" w:rsidP="005D1C1E">
      <w:pPr>
        <w:jc w:val="both"/>
      </w:pPr>
      <w:proofErr w:type="gramStart"/>
      <w:r>
        <w:t>In order to</w:t>
      </w:r>
      <w:proofErr w:type="gramEnd"/>
      <w:r>
        <w:t xml:space="preserve"> identify similar provinces in Spain, different territory features need to be considered. When identifying different groups, the human brain can easily distinguish between most populated cities or the ones with biggest unemployment’s rate, but when identifying similar groups considering a greater number of characteristics, the problem becomes non-trivial, and more complex and powerful analytical tools must be used, such as clustering analysis.</w:t>
      </w:r>
    </w:p>
    <w:p w14:paraId="62EAE03E" w14:textId="7F39F783" w:rsidR="00006B3B" w:rsidRDefault="009411CD" w:rsidP="00F44ECC">
      <w:pPr>
        <w:jc w:val="both"/>
        <w:rPr>
          <w:rFonts w:ascii="Calibri" w:eastAsia="Calibri" w:hAnsi="Calibri" w:cs="Calibri"/>
        </w:rPr>
      </w:pPr>
      <w:r>
        <w:rPr>
          <w:rFonts w:ascii="Calibri" w:eastAsia="Calibri" w:hAnsi="Calibri" w:cs="Calibri"/>
        </w:rPr>
        <w:t>Following th</w:t>
      </w:r>
      <w:r w:rsidR="001A40F5">
        <w:rPr>
          <w:rFonts w:ascii="Calibri" w:eastAsia="Calibri" w:hAnsi="Calibri" w:cs="Calibri"/>
        </w:rPr>
        <w:t>e preparation of the data, v</w:t>
      </w:r>
      <w:r w:rsidR="007E6A61">
        <w:rPr>
          <w:rFonts w:ascii="Calibri" w:eastAsia="Calibri" w:hAnsi="Calibri" w:cs="Calibri"/>
        </w:rPr>
        <w:t>arious</w:t>
      </w:r>
      <w:r w:rsidR="0ED27FC9" w:rsidRPr="0ED27FC9">
        <w:rPr>
          <w:rFonts w:ascii="Calibri" w:eastAsia="Calibri" w:hAnsi="Calibri" w:cs="Calibri"/>
        </w:rPr>
        <w:t xml:space="preserve"> demographic and economic variables were </w:t>
      </w:r>
      <w:r w:rsidR="007E6A61">
        <w:rPr>
          <w:rFonts w:ascii="Calibri" w:eastAsia="Calibri" w:hAnsi="Calibri" w:cs="Calibri"/>
        </w:rPr>
        <w:t xml:space="preserve">used as </w:t>
      </w:r>
      <w:r w:rsidR="0ED27FC9" w:rsidRPr="0ED27FC9">
        <w:rPr>
          <w:rFonts w:ascii="Calibri" w:eastAsia="Calibri" w:hAnsi="Calibri" w:cs="Calibri"/>
        </w:rPr>
        <w:t>inp</w:t>
      </w:r>
      <w:r w:rsidR="007E6A61">
        <w:rPr>
          <w:rFonts w:ascii="Calibri" w:eastAsia="Calibri" w:hAnsi="Calibri" w:cs="Calibri"/>
        </w:rPr>
        <w:t>uts for a c</w:t>
      </w:r>
      <w:r w:rsidR="21491690" w:rsidRPr="21491690">
        <w:rPr>
          <w:rFonts w:ascii="Calibri" w:eastAsia="Calibri" w:hAnsi="Calibri" w:cs="Calibri"/>
        </w:rPr>
        <w:t xml:space="preserve">lustering </w:t>
      </w:r>
      <w:r w:rsidR="240557EF" w:rsidRPr="240557EF">
        <w:rPr>
          <w:rFonts w:ascii="Calibri" w:eastAsia="Calibri" w:hAnsi="Calibri" w:cs="Calibri"/>
        </w:rPr>
        <w:t>model to identify provinces in Spain</w:t>
      </w:r>
      <w:r w:rsidR="007E6A61">
        <w:rPr>
          <w:rFonts w:ascii="Calibri" w:eastAsia="Calibri" w:hAnsi="Calibri" w:cs="Calibri"/>
        </w:rPr>
        <w:t xml:space="preserve"> that are similar</w:t>
      </w:r>
      <w:r w:rsidR="46928E90" w:rsidRPr="46928E90">
        <w:rPr>
          <w:rFonts w:ascii="Calibri" w:eastAsia="Calibri" w:hAnsi="Calibri" w:cs="Calibri"/>
        </w:rPr>
        <w:t xml:space="preserve"> </w:t>
      </w:r>
      <w:r w:rsidR="007E6A61">
        <w:rPr>
          <w:rFonts w:ascii="Calibri" w:eastAsia="Calibri" w:hAnsi="Calibri" w:cs="Calibri"/>
        </w:rPr>
        <w:t>on both of those dimensions</w:t>
      </w:r>
      <w:r w:rsidR="46928E90" w:rsidRPr="46928E90">
        <w:rPr>
          <w:rFonts w:ascii="Calibri" w:eastAsia="Calibri" w:hAnsi="Calibri" w:cs="Calibri"/>
        </w:rPr>
        <w:t>.</w:t>
      </w:r>
      <w:r w:rsidR="240557EF" w:rsidRPr="240557EF">
        <w:rPr>
          <w:rFonts w:ascii="Calibri" w:eastAsia="Calibri" w:hAnsi="Calibri" w:cs="Calibri"/>
        </w:rPr>
        <w:t xml:space="preserve"> </w:t>
      </w:r>
      <w:r w:rsidR="00F14F79">
        <w:rPr>
          <w:rFonts w:ascii="Calibri" w:eastAsia="Calibri" w:hAnsi="Calibri" w:cs="Calibri"/>
        </w:rPr>
        <w:t xml:space="preserve">In the end, six variables </w:t>
      </w:r>
      <w:r w:rsidR="007E6A61" w:rsidRPr="5E9DE68D">
        <w:rPr>
          <w:rFonts w:ascii="Calibri" w:eastAsia="Calibri" w:hAnsi="Calibri" w:cs="Calibri"/>
        </w:rPr>
        <w:t>were</w:t>
      </w:r>
      <w:r w:rsidR="00F14F79">
        <w:rPr>
          <w:rFonts w:ascii="Calibri" w:eastAsia="Calibri" w:hAnsi="Calibri" w:cs="Calibri"/>
        </w:rPr>
        <w:t xml:space="preserve"> use</w:t>
      </w:r>
      <w:r w:rsidR="001A40F5">
        <w:rPr>
          <w:rFonts w:ascii="Calibri" w:eastAsia="Calibri" w:hAnsi="Calibri" w:cs="Calibri"/>
        </w:rPr>
        <w:t xml:space="preserve">d. </w:t>
      </w:r>
      <w:r w:rsidR="006F44F4">
        <w:rPr>
          <w:rFonts w:ascii="Calibri" w:eastAsia="Calibri" w:hAnsi="Calibri" w:cs="Calibri"/>
        </w:rPr>
        <w:t>These variables</w:t>
      </w:r>
      <w:r w:rsidR="001A40F5">
        <w:rPr>
          <w:rFonts w:ascii="Calibri" w:eastAsia="Calibri" w:hAnsi="Calibri" w:cs="Calibri"/>
        </w:rPr>
        <w:t xml:space="preserve"> are</w:t>
      </w:r>
      <w:r w:rsidR="00F14F79">
        <w:rPr>
          <w:rFonts w:ascii="Calibri" w:eastAsia="Calibri" w:hAnsi="Calibri" w:cs="Calibri"/>
        </w:rPr>
        <w:t xml:space="preserve"> the u</w:t>
      </w:r>
      <w:r w:rsidR="296D6602" w:rsidRPr="296D6602">
        <w:rPr>
          <w:rFonts w:ascii="Calibri" w:eastAsia="Calibri" w:hAnsi="Calibri" w:cs="Calibri"/>
        </w:rPr>
        <w:t>nemployment</w:t>
      </w:r>
      <w:r w:rsidR="536E7193" w:rsidRPr="536E7193">
        <w:rPr>
          <w:rFonts w:ascii="Calibri" w:eastAsia="Calibri" w:hAnsi="Calibri" w:cs="Calibri"/>
        </w:rPr>
        <w:t xml:space="preserve"> </w:t>
      </w:r>
      <w:r w:rsidR="001A40F5">
        <w:rPr>
          <w:rFonts w:ascii="Calibri" w:eastAsia="Calibri" w:hAnsi="Calibri" w:cs="Calibri"/>
        </w:rPr>
        <w:t>r</w:t>
      </w:r>
      <w:r w:rsidR="536E7193" w:rsidRPr="536E7193">
        <w:rPr>
          <w:rFonts w:ascii="Calibri" w:eastAsia="Calibri" w:hAnsi="Calibri" w:cs="Calibri"/>
        </w:rPr>
        <w:t>ate</w:t>
      </w:r>
      <w:r w:rsidR="5E9DE68D" w:rsidRPr="5E9DE68D">
        <w:rPr>
          <w:rFonts w:ascii="Calibri" w:eastAsia="Calibri" w:hAnsi="Calibri" w:cs="Calibri"/>
        </w:rPr>
        <w:t>,</w:t>
      </w:r>
      <w:r w:rsidR="536E7193" w:rsidRPr="536E7193">
        <w:rPr>
          <w:rFonts w:ascii="Calibri" w:eastAsia="Calibri" w:hAnsi="Calibri" w:cs="Calibri"/>
        </w:rPr>
        <w:t xml:space="preserve"> </w:t>
      </w:r>
      <w:r w:rsidR="001A40F5">
        <w:rPr>
          <w:rFonts w:ascii="Calibri" w:eastAsia="Calibri" w:hAnsi="Calibri" w:cs="Calibri"/>
        </w:rPr>
        <w:t>the r</w:t>
      </w:r>
      <w:r w:rsidR="536E7193" w:rsidRPr="536E7193">
        <w:rPr>
          <w:rFonts w:ascii="Calibri" w:eastAsia="Calibri" w:hAnsi="Calibri" w:cs="Calibri"/>
        </w:rPr>
        <w:t xml:space="preserve">atio of </w:t>
      </w:r>
      <w:r w:rsidR="00557B50">
        <w:rPr>
          <w:rFonts w:ascii="Calibri" w:eastAsia="Calibri" w:hAnsi="Calibri" w:cs="Calibri"/>
        </w:rPr>
        <w:t>percentage</w:t>
      </w:r>
      <w:r w:rsidR="536E7193" w:rsidRPr="536E7193">
        <w:rPr>
          <w:rFonts w:ascii="Calibri" w:eastAsia="Calibri" w:hAnsi="Calibri" w:cs="Calibri"/>
        </w:rPr>
        <w:t xml:space="preserve"> </w:t>
      </w:r>
      <w:r w:rsidR="00557B50">
        <w:rPr>
          <w:rFonts w:ascii="Calibri" w:eastAsia="Calibri" w:hAnsi="Calibri" w:cs="Calibri"/>
        </w:rPr>
        <w:t>m</w:t>
      </w:r>
      <w:r w:rsidR="536E7193" w:rsidRPr="536E7193">
        <w:rPr>
          <w:rFonts w:ascii="Calibri" w:eastAsia="Calibri" w:hAnsi="Calibri" w:cs="Calibri"/>
        </w:rPr>
        <w:t xml:space="preserve">anufacturing </w:t>
      </w:r>
      <w:r w:rsidR="00F14F79">
        <w:rPr>
          <w:rFonts w:ascii="Calibri" w:eastAsia="Calibri" w:hAnsi="Calibri" w:cs="Calibri"/>
        </w:rPr>
        <w:t>i</w:t>
      </w:r>
      <w:r w:rsidR="536E7193" w:rsidRPr="536E7193">
        <w:rPr>
          <w:rFonts w:ascii="Calibri" w:eastAsia="Calibri" w:hAnsi="Calibri" w:cs="Calibri"/>
        </w:rPr>
        <w:t xml:space="preserve">ndustry </w:t>
      </w:r>
      <w:r w:rsidR="007E6A61">
        <w:rPr>
          <w:rFonts w:ascii="Calibri" w:eastAsia="Calibri" w:hAnsi="Calibri" w:cs="Calibri"/>
        </w:rPr>
        <w:t>to</w:t>
      </w:r>
      <w:r w:rsidR="536E7193" w:rsidRPr="536E7193">
        <w:rPr>
          <w:rFonts w:ascii="Calibri" w:eastAsia="Calibri" w:hAnsi="Calibri" w:cs="Calibri"/>
        </w:rPr>
        <w:t xml:space="preserve"> </w:t>
      </w:r>
      <w:r w:rsidR="00557B50">
        <w:rPr>
          <w:rFonts w:ascii="Calibri" w:eastAsia="Calibri" w:hAnsi="Calibri" w:cs="Calibri"/>
        </w:rPr>
        <w:t>percentage</w:t>
      </w:r>
      <w:r w:rsidR="536E7193" w:rsidRPr="536E7193">
        <w:rPr>
          <w:rFonts w:ascii="Calibri" w:eastAsia="Calibri" w:hAnsi="Calibri" w:cs="Calibri"/>
        </w:rPr>
        <w:t xml:space="preserve"> building</w:t>
      </w:r>
      <w:r w:rsidR="5E9DE68D" w:rsidRPr="5E9DE68D">
        <w:rPr>
          <w:rFonts w:ascii="Calibri" w:eastAsia="Calibri" w:hAnsi="Calibri" w:cs="Calibri"/>
        </w:rPr>
        <w:t>,</w:t>
      </w:r>
      <w:r w:rsidR="536E7193" w:rsidRPr="536E7193">
        <w:rPr>
          <w:rFonts w:ascii="Calibri" w:eastAsia="Calibri" w:hAnsi="Calibri" w:cs="Calibri"/>
        </w:rPr>
        <w:t xml:space="preserve"> </w:t>
      </w:r>
      <w:r w:rsidR="00557B50">
        <w:rPr>
          <w:rFonts w:ascii="Calibri" w:eastAsia="Calibri" w:hAnsi="Calibri" w:cs="Calibri"/>
        </w:rPr>
        <w:t>r</w:t>
      </w:r>
      <w:r w:rsidR="536E7193" w:rsidRPr="536E7193">
        <w:rPr>
          <w:rFonts w:ascii="Calibri" w:eastAsia="Calibri" w:hAnsi="Calibri" w:cs="Calibri"/>
        </w:rPr>
        <w:t xml:space="preserve">atio of </w:t>
      </w:r>
      <w:r w:rsidR="00557B50">
        <w:rPr>
          <w:rFonts w:ascii="Calibri" w:eastAsia="Calibri" w:hAnsi="Calibri" w:cs="Calibri"/>
        </w:rPr>
        <w:t>percentage</w:t>
      </w:r>
      <w:r w:rsidR="536E7193" w:rsidRPr="536E7193">
        <w:rPr>
          <w:rFonts w:ascii="Calibri" w:eastAsia="Calibri" w:hAnsi="Calibri" w:cs="Calibri"/>
        </w:rPr>
        <w:t xml:space="preserve"> </w:t>
      </w:r>
      <w:r w:rsidR="00557B50">
        <w:rPr>
          <w:rFonts w:ascii="Calibri" w:eastAsia="Calibri" w:hAnsi="Calibri" w:cs="Calibri"/>
        </w:rPr>
        <w:t>o</w:t>
      </w:r>
      <w:r w:rsidR="536E7193" w:rsidRPr="536E7193">
        <w:rPr>
          <w:rFonts w:ascii="Calibri" w:eastAsia="Calibri" w:hAnsi="Calibri" w:cs="Calibri"/>
        </w:rPr>
        <w:t xml:space="preserve">ther industry trade </w:t>
      </w:r>
      <w:r w:rsidR="00557B50">
        <w:rPr>
          <w:rFonts w:ascii="Calibri" w:eastAsia="Calibri" w:hAnsi="Calibri" w:cs="Calibri"/>
        </w:rPr>
        <w:t>to</w:t>
      </w:r>
      <w:r w:rsidR="536E7193" w:rsidRPr="536E7193">
        <w:rPr>
          <w:rFonts w:ascii="Calibri" w:eastAsia="Calibri" w:hAnsi="Calibri" w:cs="Calibri"/>
        </w:rPr>
        <w:t xml:space="preserve"> </w:t>
      </w:r>
      <w:r w:rsidR="001A40F5">
        <w:rPr>
          <w:rFonts w:ascii="Calibri" w:eastAsia="Calibri" w:hAnsi="Calibri" w:cs="Calibri"/>
        </w:rPr>
        <w:t>percentage</w:t>
      </w:r>
      <w:r w:rsidR="536E7193" w:rsidRPr="536E7193">
        <w:rPr>
          <w:rFonts w:ascii="Calibri" w:eastAsia="Calibri" w:hAnsi="Calibri" w:cs="Calibri"/>
        </w:rPr>
        <w:t xml:space="preserve"> </w:t>
      </w:r>
      <w:r w:rsidR="001A40F5">
        <w:rPr>
          <w:rFonts w:ascii="Calibri" w:eastAsia="Calibri" w:hAnsi="Calibri" w:cs="Calibri"/>
        </w:rPr>
        <w:t>o</w:t>
      </w:r>
      <w:r w:rsidR="536E7193" w:rsidRPr="536E7193">
        <w:rPr>
          <w:rFonts w:ascii="Calibri" w:eastAsia="Calibri" w:hAnsi="Calibri" w:cs="Calibri"/>
        </w:rPr>
        <w:t>ther wholesale trade</w:t>
      </w:r>
      <w:r w:rsidR="3E8ACF90" w:rsidRPr="3E8ACF90">
        <w:rPr>
          <w:rFonts w:ascii="Calibri" w:eastAsia="Calibri" w:hAnsi="Calibri" w:cs="Calibri"/>
        </w:rPr>
        <w:t>,</w:t>
      </w:r>
      <w:r w:rsidR="536E7193" w:rsidRPr="536E7193">
        <w:rPr>
          <w:rFonts w:ascii="Calibri" w:eastAsia="Calibri" w:hAnsi="Calibri" w:cs="Calibri"/>
        </w:rPr>
        <w:t xml:space="preserve"> </w:t>
      </w:r>
      <w:r w:rsidR="001A40F5">
        <w:rPr>
          <w:rFonts w:ascii="Calibri" w:eastAsia="Calibri" w:hAnsi="Calibri" w:cs="Calibri"/>
        </w:rPr>
        <w:t>percentage</w:t>
      </w:r>
      <w:r w:rsidR="536E7193" w:rsidRPr="536E7193">
        <w:rPr>
          <w:rFonts w:ascii="Calibri" w:eastAsia="Calibri" w:hAnsi="Calibri" w:cs="Calibri"/>
        </w:rPr>
        <w:t xml:space="preserve"> </w:t>
      </w:r>
      <w:r w:rsidR="001A40F5">
        <w:rPr>
          <w:rFonts w:ascii="Calibri" w:eastAsia="Calibri" w:hAnsi="Calibri" w:cs="Calibri"/>
        </w:rPr>
        <w:t>a</w:t>
      </w:r>
      <w:r w:rsidR="536E7193" w:rsidRPr="536E7193">
        <w:rPr>
          <w:rFonts w:ascii="Calibri" w:eastAsia="Calibri" w:hAnsi="Calibri" w:cs="Calibri"/>
        </w:rPr>
        <w:t>griculture-</w:t>
      </w:r>
      <w:r w:rsidR="001A40F5">
        <w:rPr>
          <w:rFonts w:ascii="Calibri" w:eastAsia="Calibri" w:hAnsi="Calibri" w:cs="Calibri"/>
        </w:rPr>
        <w:t>f</w:t>
      </w:r>
      <w:r w:rsidR="536E7193" w:rsidRPr="536E7193">
        <w:rPr>
          <w:rFonts w:ascii="Calibri" w:eastAsia="Calibri" w:hAnsi="Calibri" w:cs="Calibri"/>
        </w:rPr>
        <w:t>ood</w:t>
      </w:r>
      <w:r w:rsidR="3E8ACF90" w:rsidRPr="3E8ACF90">
        <w:rPr>
          <w:rFonts w:ascii="Calibri" w:eastAsia="Calibri" w:hAnsi="Calibri" w:cs="Calibri"/>
        </w:rPr>
        <w:t>,</w:t>
      </w:r>
      <w:r w:rsidR="536E7193" w:rsidRPr="536E7193">
        <w:rPr>
          <w:rFonts w:ascii="Calibri" w:eastAsia="Calibri" w:hAnsi="Calibri" w:cs="Calibri"/>
        </w:rPr>
        <w:t xml:space="preserve"> </w:t>
      </w:r>
      <w:r w:rsidR="001A40F5">
        <w:rPr>
          <w:rFonts w:ascii="Calibri" w:eastAsia="Calibri" w:hAnsi="Calibri" w:cs="Calibri"/>
        </w:rPr>
        <w:t>the a</w:t>
      </w:r>
      <w:r w:rsidR="536E7193" w:rsidRPr="536E7193">
        <w:rPr>
          <w:rFonts w:ascii="Calibri" w:eastAsia="Calibri" w:hAnsi="Calibri" w:cs="Calibri"/>
        </w:rPr>
        <w:t xml:space="preserve">verage of </w:t>
      </w:r>
      <w:r w:rsidR="001A40F5">
        <w:rPr>
          <w:rFonts w:ascii="Calibri" w:eastAsia="Calibri" w:hAnsi="Calibri" w:cs="Calibri"/>
        </w:rPr>
        <w:t xml:space="preserve">all the economic </w:t>
      </w:r>
      <w:r w:rsidR="536E7193" w:rsidRPr="536E7193">
        <w:rPr>
          <w:rFonts w:ascii="Calibri" w:eastAsia="Calibri" w:hAnsi="Calibri" w:cs="Calibri"/>
        </w:rPr>
        <w:t>ind</w:t>
      </w:r>
      <w:r w:rsidR="001A40F5">
        <w:rPr>
          <w:rFonts w:ascii="Calibri" w:eastAsia="Calibri" w:hAnsi="Calibri" w:cs="Calibri"/>
        </w:rPr>
        <w:t>ices</w:t>
      </w:r>
      <w:r w:rsidR="006F44F4">
        <w:rPr>
          <w:rFonts w:ascii="Calibri" w:eastAsia="Calibri" w:hAnsi="Calibri" w:cs="Calibri"/>
        </w:rPr>
        <w:t>,</w:t>
      </w:r>
      <w:r w:rsidR="3E8ACF90" w:rsidRPr="3E8ACF90">
        <w:rPr>
          <w:rFonts w:ascii="Calibri" w:eastAsia="Calibri" w:hAnsi="Calibri" w:cs="Calibri"/>
        </w:rPr>
        <w:t xml:space="preserve"> and</w:t>
      </w:r>
      <w:r w:rsidR="536E7193" w:rsidRPr="536E7193">
        <w:rPr>
          <w:rFonts w:ascii="Calibri" w:eastAsia="Calibri" w:hAnsi="Calibri" w:cs="Calibri"/>
        </w:rPr>
        <w:t xml:space="preserve"> </w:t>
      </w:r>
      <w:r w:rsidR="006F44F4">
        <w:rPr>
          <w:rFonts w:ascii="Calibri" w:eastAsia="Calibri" w:hAnsi="Calibri" w:cs="Calibri"/>
        </w:rPr>
        <w:t>the p</w:t>
      </w:r>
      <w:r w:rsidR="536E7193" w:rsidRPr="536E7193">
        <w:rPr>
          <w:rFonts w:ascii="Calibri" w:eastAsia="Calibri" w:hAnsi="Calibri" w:cs="Calibri"/>
        </w:rPr>
        <w:t>opulation</w:t>
      </w:r>
      <w:r w:rsidR="3E8ACF90" w:rsidRPr="3E8ACF90">
        <w:rPr>
          <w:rFonts w:ascii="Calibri" w:eastAsia="Calibri" w:hAnsi="Calibri" w:cs="Calibri"/>
        </w:rPr>
        <w:t>.</w:t>
      </w:r>
      <w:r w:rsidR="006F44F4">
        <w:rPr>
          <w:rFonts w:ascii="Calibri" w:eastAsia="Calibri" w:hAnsi="Calibri" w:cs="Calibri"/>
        </w:rPr>
        <w:t xml:space="preserve"> T</w:t>
      </w:r>
      <w:r w:rsidR="5A89A24C" w:rsidRPr="5A89A24C">
        <w:rPr>
          <w:rFonts w:ascii="Calibri" w:eastAsia="Calibri" w:hAnsi="Calibri" w:cs="Calibri"/>
        </w:rPr>
        <w:t xml:space="preserve">he </w:t>
      </w:r>
      <w:r w:rsidR="006F44F4">
        <w:rPr>
          <w:rFonts w:ascii="Calibri" w:eastAsia="Calibri" w:hAnsi="Calibri" w:cs="Calibri"/>
        </w:rPr>
        <w:t xml:space="preserve">output was </w:t>
      </w:r>
      <w:r w:rsidR="5A89A24C" w:rsidRPr="5A89A24C">
        <w:rPr>
          <w:rFonts w:ascii="Calibri" w:eastAsia="Calibri" w:hAnsi="Calibri" w:cs="Calibri"/>
        </w:rPr>
        <w:t>5 different clusters</w:t>
      </w:r>
      <w:r w:rsidR="008B5A0B">
        <w:rPr>
          <w:rFonts w:ascii="Calibri" w:eastAsia="Calibri" w:hAnsi="Calibri" w:cs="Calibri"/>
        </w:rPr>
        <w:t>,</w:t>
      </w:r>
      <w:r w:rsidR="5A89A24C" w:rsidRPr="5A89A24C">
        <w:rPr>
          <w:rFonts w:ascii="Calibri" w:eastAsia="Calibri" w:hAnsi="Calibri" w:cs="Calibri"/>
        </w:rPr>
        <w:t xml:space="preserve"> </w:t>
      </w:r>
      <w:r w:rsidR="008B5A0B">
        <w:rPr>
          <w:rFonts w:ascii="Calibri" w:eastAsia="Calibri" w:hAnsi="Calibri" w:cs="Calibri"/>
        </w:rPr>
        <w:t>which maximizes the similarity within each group while maximizing the differences between all other group.</w:t>
      </w:r>
      <w:r w:rsidR="053ADFC0" w:rsidRPr="053ADFC0">
        <w:rPr>
          <w:rFonts w:ascii="Calibri" w:eastAsia="Calibri" w:hAnsi="Calibri" w:cs="Calibri"/>
        </w:rPr>
        <w:t xml:space="preserve"> </w:t>
      </w:r>
    </w:p>
    <w:p w14:paraId="1CD14E5C" w14:textId="41DC36B4" w:rsidR="0324B96D" w:rsidRDefault="1651141A" w:rsidP="00006B3B">
      <w:pPr>
        <w:jc w:val="both"/>
      </w:pPr>
      <w:r w:rsidRPr="1651141A">
        <w:rPr>
          <w:rFonts w:ascii="Calibri" w:eastAsia="Calibri" w:hAnsi="Calibri" w:cs="Calibri"/>
        </w:rPr>
        <w:t xml:space="preserve">To gain further insights and have a clearer distinction regarding the groups, they were labelled based on their similar characteristics. The resulting labels focus on the average population size of each cluster, the main industrial activity, and relevant economic variables.  These labels are the </w:t>
      </w:r>
      <w:r>
        <w:t xml:space="preserve">largest-population-sized, industrialized textile provinces, the mid-population-sized manufacturing provinces, the mid-population-sized agricultural and building provinces, the smallest-population-sized agriculture provinces with low unemployment, and the mid-population-sized touristic provinces with high unemployment rates. Specific economic policies recommendations are also proposed, based on the strengths and weaknesses of each group, to target problems shared by a group of provinces. </w:t>
      </w:r>
    </w:p>
    <w:p w14:paraId="0EE1C1B2" w14:textId="34FFF17B" w:rsidR="00EC474F" w:rsidRDefault="1651141A" w:rsidP="00EE36E1">
      <w:pPr>
        <w:pStyle w:val="Heading1"/>
        <w:numPr>
          <w:ilvl w:val="0"/>
          <w:numId w:val="2"/>
        </w:numPr>
      </w:pPr>
      <w:bookmarkStart w:id="2" w:name="_Toc12472798"/>
      <w:r>
        <w:t>Analysis</w:t>
      </w:r>
      <w:bookmarkEnd w:id="2"/>
    </w:p>
    <w:p w14:paraId="6DD2F0C2" w14:textId="33C22821" w:rsidR="00981385" w:rsidRDefault="42973500" w:rsidP="00981385">
      <w:pPr>
        <w:pStyle w:val="Heading2"/>
        <w:numPr>
          <w:ilvl w:val="1"/>
          <w:numId w:val="2"/>
        </w:numPr>
        <w:rPr>
          <w:rStyle w:val="Heading2Char"/>
        </w:rPr>
      </w:pPr>
      <w:bookmarkStart w:id="3" w:name="_Toc12472799"/>
      <w:r w:rsidRPr="00981385">
        <w:rPr>
          <w:rStyle w:val="Heading2Char"/>
        </w:rPr>
        <w:t>Approach</w:t>
      </w:r>
      <w:bookmarkEnd w:id="3"/>
    </w:p>
    <w:p w14:paraId="11C67A92" w14:textId="2167036F" w:rsidR="00232170" w:rsidRDefault="1651141A" w:rsidP="00EC474F">
      <w:pPr>
        <w:jc w:val="both"/>
      </w:pPr>
      <w:r>
        <w:t xml:space="preserve">The approach to this study first began with studying the available information that has been supplied. This includes segmenting the different variables into categories, including demographic variables, economic variables, and services variables.  After this initial study, a correlation analysis of the different features available was conducted to reveal which of the variables are highly correlated, the results of which are presented in Annex 1. Following this several new features were created in to be able to effectively use those variables in the segmentation analysis, to circumvent issues regarding highly correlated variables. These new features were either the ratios of pairs of correlated variables or the averages of variables when more than two features were highly correlated amongst themselves. </w:t>
      </w:r>
    </w:p>
    <w:p w14:paraId="29D0C617" w14:textId="689EB096" w:rsidR="00EC474F" w:rsidRDefault="1651141A" w:rsidP="00EC474F">
      <w:pPr>
        <w:jc w:val="both"/>
      </w:pPr>
      <w:r>
        <w:t xml:space="preserve">After the preparation of the data, the segmentation of the provinces into different groups was conducted using a k-means clustering algorithm run on </w:t>
      </w:r>
      <w:proofErr w:type="spellStart"/>
      <w:r>
        <w:t>Dataiku</w:t>
      </w:r>
      <w:proofErr w:type="spellEnd"/>
      <w:r>
        <w:t xml:space="preserve"> DSS. This clustering technique segments the different provinces based on the similarity across the features selected, therefore selecting the features of interest for segmentation is critical in the clustering process. For each selection of variables to include in the clustering analysis, the number of clusters to be found was varied between 3 and 9 clusters, to ensure that the outcome is significant for the Ministry’s purposes.</w:t>
      </w:r>
    </w:p>
    <w:p w14:paraId="63945310" w14:textId="4BB165C1" w:rsidR="263951B4" w:rsidRDefault="00EC474F" w:rsidP="263951B4">
      <w:pPr>
        <w:pStyle w:val="Heading2"/>
        <w:numPr>
          <w:ilvl w:val="1"/>
          <w:numId w:val="2"/>
        </w:numPr>
      </w:pPr>
      <w:bookmarkStart w:id="4" w:name="_Toc12472800"/>
      <w:r>
        <w:t>Solution</w:t>
      </w:r>
      <w:bookmarkEnd w:id="4"/>
      <w:r>
        <w:t xml:space="preserve"> </w:t>
      </w:r>
    </w:p>
    <w:p w14:paraId="10C5781E" w14:textId="3239D8EB" w:rsidR="00A72977" w:rsidRDefault="00A129C3" w:rsidP="003F1499">
      <w:pPr>
        <w:jc w:val="both"/>
      </w:pPr>
      <w:r>
        <w:t xml:space="preserve">From the </w:t>
      </w:r>
      <w:r w:rsidR="00871DB5">
        <w:t xml:space="preserve">available variables, </w:t>
      </w:r>
      <w:r w:rsidR="00614F88">
        <w:t xml:space="preserve">a combination of </w:t>
      </w:r>
      <w:r w:rsidR="00871DB5">
        <w:t>d</w:t>
      </w:r>
      <w:r w:rsidR="00553A8D">
        <w:t xml:space="preserve">emographic and economic variables </w:t>
      </w:r>
      <w:r w:rsidR="00BC132E">
        <w:t>was</w:t>
      </w:r>
      <w:r w:rsidR="00871DB5">
        <w:t xml:space="preserve"> selected</w:t>
      </w:r>
      <w:r w:rsidR="00553A8D">
        <w:t xml:space="preserve"> </w:t>
      </w:r>
      <w:r w:rsidR="00051BF7">
        <w:t xml:space="preserve">to </w:t>
      </w:r>
      <w:r w:rsidR="00553A8D">
        <w:t>identify the clusters</w:t>
      </w:r>
      <w:r w:rsidR="00614F88">
        <w:t xml:space="preserve">, to ensure that segmentation occurs on both of those </w:t>
      </w:r>
      <w:r w:rsidR="00913AD9">
        <w:t>dimensions</w:t>
      </w:r>
      <w:r w:rsidR="00553A8D">
        <w:t>.</w:t>
      </w:r>
      <w:r w:rsidR="00A606C3">
        <w:t xml:space="preserve"> </w:t>
      </w:r>
      <w:r w:rsidR="00416C58">
        <w:t>Three</w:t>
      </w:r>
      <w:r w:rsidR="00AA2652">
        <w:t xml:space="preserve"> new </w:t>
      </w:r>
      <w:r w:rsidR="00AA2652">
        <w:lastRenderedPageBreak/>
        <w:t>variables</w:t>
      </w:r>
      <w:r w:rsidR="00A606C3">
        <w:t>, the ratio of</w:t>
      </w:r>
      <w:r w:rsidR="00AA2652">
        <w:t xml:space="preserve"> </w:t>
      </w:r>
      <w:r w:rsidR="006C560D">
        <w:t>percentage</w:t>
      </w:r>
      <w:r w:rsidR="00ED7E8A">
        <w:t xml:space="preserve"> manufacturing industry</w:t>
      </w:r>
      <w:r w:rsidR="00A606C3">
        <w:t xml:space="preserve"> to</w:t>
      </w:r>
      <w:r w:rsidR="00C06E2F">
        <w:t xml:space="preserve"> percentage building</w:t>
      </w:r>
      <w:r w:rsidR="00A26A2C">
        <w:t xml:space="preserve"> </w:t>
      </w:r>
      <w:r w:rsidR="00A606C3">
        <w:t>and</w:t>
      </w:r>
      <w:r w:rsidR="00A26A2C">
        <w:t xml:space="preserve"> </w:t>
      </w:r>
      <w:r w:rsidR="00A606C3">
        <w:t xml:space="preserve">the ratio of </w:t>
      </w:r>
      <w:r w:rsidR="009E79AC">
        <w:t xml:space="preserve">percentage other inter-industry </w:t>
      </w:r>
      <w:r w:rsidR="006A03A6">
        <w:t>trade</w:t>
      </w:r>
      <w:r w:rsidR="00A606C3">
        <w:t xml:space="preserve"> to </w:t>
      </w:r>
      <w:r w:rsidR="006A03A6">
        <w:t>percentage other wholesale-trade</w:t>
      </w:r>
      <w:r w:rsidR="00416C58">
        <w:t xml:space="preserve"> and the average of all the economic indices</w:t>
      </w:r>
      <w:r w:rsidR="00913AD9">
        <w:t>,</w:t>
      </w:r>
      <w:r w:rsidR="00AA2652">
        <w:t xml:space="preserve"> </w:t>
      </w:r>
      <w:r w:rsidR="00A606C3">
        <w:t>were</w:t>
      </w:r>
      <w:r w:rsidR="00AA2652">
        <w:t xml:space="preserve"> created </w:t>
      </w:r>
      <w:r w:rsidR="00913AD9">
        <w:t xml:space="preserve">to offset the fact that </w:t>
      </w:r>
      <w:r w:rsidR="00C42005">
        <w:t>their constituent variables</w:t>
      </w:r>
      <w:r w:rsidR="00913AD9">
        <w:t xml:space="preserve"> are highly correlated</w:t>
      </w:r>
      <w:r w:rsidR="00C42005">
        <w:t xml:space="preserve"> amongst themselves</w:t>
      </w:r>
      <w:r w:rsidR="00AA2652">
        <w:t>.</w:t>
      </w:r>
      <w:r w:rsidR="00BC132E">
        <w:t xml:space="preserve"> </w:t>
      </w:r>
      <w:r w:rsidR="006A03A6">
        <w:t xml:space="preserve">The other variables used were the unemployment rate, the </w:t>
      </w:r>
      <w:r w:rsidR="003B714D">
        <w:t xml:space="preserve">percentage agriculture-food, </w:t>
      </w:r>
      <w:r w:rsidR="00A72977">
        <w:t>and population.</w:t>
      </w:r>
      <w:r w:rsidR="003F1499">
        <w:t xml:space="preserve"> </w:t>
      </w:r>
      <w:r w:rsidR="00A72977">
        <w:t>This combination lead to the creation of five clusters</w:t>
      </w:r>
      <w:r w:rsidR="009B627E">
        <w:t xml:space="preserve"> with a silhouette value of 0.3243, that vary in size from 2 to </w:t>
      </w:r>
      <w:r w:rsidR="00450834">
        <w:t>25 provinces in each of the clusters</w:t>
      </w:r>
      <w:r w:rsidR="001E412B">
        <w:t>.</w:t>
      </w:r>
      <w:r w:rsidR="00DC6025">
        <w:t xml:space="preserve"> The importance of each of the variables in </w:t>
      </w:r>
      <w:r w:rsidR="002B2547">
        <w:t>the creation of the clusters can be found in</w:t>
      </w:r>
      <w:r w:rsidR="001F2D11">
        <w:t xml:space="preserve"> Annex </w:t>
      </w:r>
      <w:r w:rsidR="001F2D11" w:rsidRPr="001F2D11">
        <w:t>II</w:t>
      </w:r>
      <w:r w:rsidR="003F16A1" w:rsidRPr="001F2D11">
        <w:t xml:space="preserve">, along with the detailed metrics </w:t>
      </w:r>
      <w:r w:rsidR="001F2D11" w:rsidRPr="001F2D11">
        <w:t>in Annex III</w:t>
      </w:r>
      <w:r w:rsidR="001F2D11">
        <w:t xml:space="preserve"> and the variable heatmap in </w:t>
      </w:r>
      <w:r w:rsidR="00D3591F">
        <w:t>Annex IV</w:t>
      </w:r>
      <w:r w:rsidR="001F2D11" w:rsidRPr="001F2D11">
        <w:t>.</w:t>
      </w:r>
      <w:r w:rsidR="001E412B">
        <w:t xml:space="preserve"> </w:t>
      </w:r>
      <w:r w:rsidR="00EE36E1">
        <w:t xml:space="preserve">The </w:t>
      </w:r>
      <w:r w:rsidR="00856CFE">
        <w:t xml:space="preserve">provinces in each cluster can be found in Annex V and a map representation of that information is available in Annex VI. </w:t>
      </w:r>
    </w:p>
    <w:p w14:paraId="23C224A0" w14:textId="30A3D19E" w:rsidR="006A03A6" w:rsidRPr="006A03A6" w:rsidRDefault="00EC474F" w:rsidP="006A03A6">
      <w:pPr>
        <w:pStyle w:val="Heading2"/>
        <w:numPr>
          <w:ilvl w:val="1"/>
          <w:numId w:val="2"/>
        </w:numPr>
      </w:pPr>
      <w:bookmarkStart w:id="5" w:name="_Toc12472801"/>
      <w:r>
        <w:t>Conclusions</w:t>
      </w:r>
      <w:bookmarkEnd w:id="5"/>
      <w:r w:rsidR="00A32331">
        <w:t xml:space="preserve"> </w:t>
      </w:r>
    </w:p>
    <w:p w14:paraId="61390A8D" w14:textId="31E7D87D" w:rsidR="00E91BEC" w:rsidRPr="00E91BEC" w:rsidRDefault="00EE36E1" w:rsidP="00EE36E1">
      <w:pPr>
        <w:jc w:val="both"/>
      </w:pPr>
      <w:r>
        <w:t>Taking into c</w:t>
      </w:r>
      <w:r w:rsidR="45CE1452">
        <w:t>onsider</w:t>
      </w:r>
      <w:r>
        <w:t>ation the</w:t>
      </w:r>
      <w:r w:rsidR="003A0C1F">
        <w:t xml:space="preserve"> most significant c</w:t>
      </w:r>
      <w:r w:rsidR="00945D3D">
        <w:t>haracteristics</w:t>
      </w:r>
      <w:r w:rsidR="00072747">
        <w:t xml:space="preserve"> of each cluster</w:t>
      </w:r>
      <w:r w:rsidR="45CE1452">
        <w:t>,</w:t>
      </w:r>
      <w:r w:rsidR="5290C7B9">
        <w:t xml:space="preserve"> </w:t>
      </w:r>
      <w:r w:rsidR="00072747">
        <w:t xml:space="preserve">the groups were then </w:t>
      </w:r>
      <w:r w:rsidR="5290C7B9">
        <w:t>label</w:t>
      </w:r>
      <w:r w:rsidR="00072747">
        <w:t>led</w:t>
      </w:r>
      <w:r w:rsidR="5290C7B9">
        <w:t xml:space="preserve"> </w:t>
      </w:r>
      <w:proofErr w:type="gramStart"/>
      <w:r w:rsidR="45CE1452">
        <w:t xml:space="preserve">in order </w:t>
      </w:r>
      <w:r w:rsidR="5290C7B9">
        <w:t>to</w:t>
      </w:r>
      <w:proofErr w:type="gramEnd"/>
      <w:r w:rsidR="5290C7B9">
        <w:t xml:space="preserve"> </w:t>
      </w:r>
      <w:r w:rsidR="00072747">
        <w:t xml:space="preserve">gain </w:t>
      </w:r>
      <w:r w:rsidR="00870D03">
        <w:t>greater</w:t>
      </w:r>
      <w:r w:rsidR="5290C7B9">
        <w:t xml:space="preserve"> insights and</w:t>
      </w:r>
      <w:r w:rsidR="00870D03">
        <w:t xml:space="preserve"> to</w:t>
      </w:r>
      <w:r w:rsidR="5290C7B9">
        <w:t xml:space="preserve"> understand </w:t>
      </w:r>
      <w:r w:rsidR="37ABD1A0">
        <w:t>their composition</w:t>
      </w:r>
      <w:r w:rsidR="00870D03">
        <w:t xml:space="preserve"> more completely:</w:t>
      </w:r>
      <w:r w:rsidR="00072747">
        <w:t xml:space="preserve"> </w:t>
      </w:r>
    </w:p>
    <w:p w14:paraId="5C854F01" w14:textId="20C0CF5E" w:rsidR="00167F55" w:rsidRPr="00167F55" w:rsidRDefault="1651141A" w:rsidP="00EE36E1">
      <w:pPr>
        <w:pStyle w:val="ListParagraph"/>
        <w:numPr>
          <w:ilvl w:val="0"/>
          <w:numId w:val="8"/>
        </w:numPr>
        <w:jc w:val="both"/>
      </w:pPr>
      <w:r w:rsidRPr="1651141A">
        <w:rPr>
          <w:b/>
          <w:bCs/>
        </w:rPr>
        <w:t>Cluster 1- Largest-population-sized, industrialized textile provinces:</w:t>
      </w:r>
      <w:r>
        <w:t xml:space="preserve"> The first group consists of only the provinces of Madrid and Barcelona.  Being the most populated ones and the largest contributors to the economic activity of Spain, they form a logical group. They have a considerable number of foreigners, and their unemployment rate is above the mean of all provinces. In terms of industries, the most important sectors for them are manufacturing and textile production.</w:t>
      </w:r>
    </w:p>
    <w:p w14:paraId="4DF18FAA" w14:textId="5F07F172" w:rsidR="00167F55" w:rsidRPr="00167F55" w:rsidRDefault="3929DFA2" w:rsidP="00EE36E1">
      <w:pPr>
        <w:pStyle w:val="ListParagraph"/>
        <w:numPr>
          <w:ilvl w:val="0"/>
          <w:numId w:val="8"/>
        </w:numPr>
        <w:jc w:val="both"/>
        <w:rPr>
          <w:rFonts w:ascii="Calibri" w:eastAsia="Calibri" w:hAnsi="Calibri" w:cs="Calibri"/>
        </w:rPr>
      </w:pPr>
      <w:r w:rsidRPr="3929DFA2">
        <w:rPr>
          <w:b/>
          <w:bCs/>
        </w:rPr>
        <w:t xml:space="preserve">Cluster 2- </w:t>
      </w:r>
      <w:r w:rsidR="003CE229" w:rsidRPr="003CE229">
        <w:rPr>
          <w:b/>
          <w:bCs/>
        </w:rPr>
        <w:t>Mid</w:t>
      </w:r>
      <w:r w:rsidR="00C41478">
        <w:rPr>
          <w:b/>
          <w:bCs/>
        </w:rPr>
        <w:t>-</w:t>
      </w:r>
      <w:r w:rsidR="00855225">
        <w:rPr>
          <w:b/>
          <w:bCs/>
        </w:rPr>
        <w:t>population-</w:t>
      </w:r>
      <w:r w:rsidR="00C41478">
        <w:rPr>
          <w:b/>
          <w:bCs/>
        </w:rPr>
        <w:t>s</w:t>
      </w:r>
      <w:r w:rsidR="003CE229" w:rsidRPr="003CE229">
        <w:rPr>
          <w:b/>
          <w:bCs/>
        </w:rPr>
        <w:t>ize</w:t>
      </w:r>
      <w:r w:rsidR="00C41478">
        <w:rPr>
          <w:b/>
          <w:bCs/>
        </w:rPr>
        <w:t>d</w:t>
      </w:r>
      <w:r w:rsidR="003CE229" w:rsidRPr="003CE229">
        <w:rPr>
          <w:b/>
          <w:bCs/>
        </w:rPr>
        <w:t xml:space="preserve"> manufacturing provinces:</w:t>
      </w:r>
      <w:r w:rsidR="003CE229">
        <w:t xml:space="preserve"> </w:t>
      </w:r>
      <w:r w:rsidR="001A75E6" w:rsidRPr="00B56A45">
        <w:t xml:space="preserve">The middle size </w:t>
      </w:r>
      <w:r w:rsidR="00BC0AB8" w:rsidRPr="00B56A45">
        <w:t>manufacturing provinces</w:t>
      </w:r>
      <w:r w:rsidR="00924C2A" w:rsidRPr="00B56A45">
        <w:t xml:space="preserve"> </w:t>
      </w:r>
      <w:r w:rsidR="00C50DD9" w:rsidRPr="00B56A45">
        <w:t>are</w:t>
      </w:r>
      <w:r w:rsidR="6AD7904B">
        <w:t>:</w:t>
      </w:r>
      <w:r w:rsidR="00C50DD9" w:rsidRPr="00B56A45">
        <w:t xml:space="preserve"> </w:t>
      </w:r>
      <w:r w:rsidR="00A77325" w:rsidRPr="00B56A45">
        <w:rPr>
          <w:rFonts w:ascii="Calibri" w:eastAsia="Calibri" w:hAnsi="Calibri" w:cs="Calibri"/>
        </w:rPr>
        <w:t>Albacete</w:t>
      </w:r>
      <w:r w:rsidR="6AD7904B" w:rsidRPr="6AD7904B">
        <w:rPr>
          <w:rFonts w:ascii="Calibri" w:eastAsia="Calibri" w:hAnsi="Calibri" w:cs="Calibri"/>
        </w:rPr>
        <w:t>,</w:t>
      </w:r>
      <w:r w:rsidR="00A77325" w:rsidRPr="00B56A45">
        <w:rPr>
          <w:rFonts w:ascii="Calibri" w:eastAsia="Calibri" w:hAnsi="Calibri" w:cs="Calibri"/>
        </w:rPr>
        <w:t xml:space="preserve"> Badajoz</w:t>
      </w:r>
      <w:r w:rsidR="6AD7904B" w:rsidRPr="6AD7904B">
        <w:rPr>
          <w:rFonts w:ascii="Calibri" w:eastAsia="Calibri" w:hAnsi="Calibri" w:cs="Calibri"/>
        </w:rPr>
        <w:t>,</w:t>
      </w:r>
      <w:r w:rsidR="00A77325" w:rsidRPr="00B56A45">
        <w:rPr>
          <w:rFonts w:ascii="Calibri" w:eastAsia="Calibri" w:hAnsi="Calibri" w:cs="Calibri"/>
        </w:rPr>
        <w:t xml:space="preserve"> Cádiz</w:t>
      </w:r>
      <w:r w:rsidR="6AD7904B" w:rsidRPr="6AD7904B">
        <w:rPr>
          <w:rFonts w:ascii="Calibri" w:eastAsia="Calibri" w:hAnsi="Calibri" w:cs="Calibri"/>
        </w:rPr>
        <w:t>,</w:t>
      </w:r>
      <w:r w:rsidR="00A77325" w:rsidRPr="00B56A45">
        <w:rPr>
          <w:rFonts w:ascii="Calibri" w:eastAsia="Calibri" w:hAnsi="Calibri" w:cs="Calibri"/>
        </w:rPr>
        <w:t xml:space="preserve"> </w:t>
      </w:r>
      <w:proofErr w:type="spellStart"/>
      <w:r w:rsidR="00A77325" w:rsidRPr="00B56A45">
        <w:rPr>
          <w:rFonts w:ascii="Calibri" w:eastAsia="Calibri" w:hAnsi="Calibri" w:cs="Calibri"/>
        </w:rPr>
        <w:t>Castellón</w:t>
      </w:r>
      <w:proofErr w:type="spellEnd"/>
      <w:r w:rsidR="6AD7904B" w:rsidRPr="6AD7904B">
        <w:rPr>
          <w:rFonts w:ascii="Calibri" w:eastAsia="Calibri" w:hAnsi="Calibri" w:cs="Calibri"/>
        </w:rPr>
        <w:t>,</w:t>
      </w:r>
      <w:r w:rsidR="00A77325" w:rsidRPr="00B56A45">
        <w:rPr>
          <w:rFonts w:ascii="Calibri" w:eastAsia="Calibri" w:hAnsi="Calibri" w:cs="Calibri"/>
        </w:rPr>
        <w:t xml:space="preserve"> Ciudad Real</w:t>
      </w:r>
      <w:r w:rsidR="58F6EFC4" w:rsidRPr="58F6EFC4">
        <w:rPr>
          <w:rFonts w:ascii="Calibri" w:eastAsia="Calibri" w:hAnsi="Calibri" w:cs="Calibri"/>
        </w:rPr>
        <w:t>,</w:t>
      </w:r>
      <w:r w:rsidR="00A77325" w:rsidRPr="00B56A45">
        <w:rPr>
          <w:rFonts w:ascii="Calibri" w:eastAsia="Calibri" w:hAnsi="Calibri" w:cs="Calibri"/>
        </w:rPr>
        <w:t xml:space="preserve"> Córdoba Granada Huelva </w:t>
      </w:r>
      <w:proofErr w:type="spellStart"/>
      <w:r w:rsidR="00A77325" w:rsidRPr="00B56A45">
        <w:rPr>
          <w:rFonts w:ascii="Calibri" w:eastAsia="Calibri" w:hAnsi="Calibri" w:cs="Calibri"/>
        </w:rPr>
        <w:t>Jaén</w:t>
      </w:r>
      <w:proofErr w:type="spellEnd"/>
      <w:r w:rsidR="00A77325" w:rsidRPr="00B56A45">
        <w:rPr>
          <w:rFonts w:ascii="Calibri" w:eastAsia="Calibri" w:hAnsi="Calibri" w:cs="Calibri"/>
        </w:rPr>
        <w:t xml:space="preserve"> La Rioja Murcia Sevilla and Toledo</w:t>
      </w:r>
      <w:r w:rsidR="00110C88">
        <w:rPr>
          <w:rFonts w:ascii="Calibri" w:eastAsia="Calibri" w:hAnsi="Calibri" w:cs="Calibri"/>
        </w:rPr>
        <w:t>. Their</w:t>
      </w:r>
      <w:r w:rsidR="00B56A45">
        <w:rPr>
          <w:rFonts w:ascii="Calibri" w:eastAsia="Calibri" w:hAnsi="Calibri" w:cs="Calibri"/>
        </w:rPr>
        <w:t xml:space="preserve"> econom</w:t>
      </w:r>
      <w:r w:rsidR="00110C88">
        <w:rPr>
          <w:rFonts w:ascii="Calibri" w:eastAsia="Calibri" w:hAnsi="Calibri" w:cs="Calibri"/>
        </w:rPr>
        <w:t xml:space="preserve">ies </w:t>
      </w:r>
      <w:r w:rsidR="00B56A45">
        <w:rPr>
          <w:rFonts w:ascii="Calibri" w:eastAsia="Calibri" w:hAnsi="Calibri" w:cs="Calibri"/>
        </w:rPr>
        <w:t>also</w:t>
      </w:r>
      <w:r w:rsidR="00110C88">
        <w:rPr>
          <w:rFonts w:ascii="Calibri" w:eastAsia="Calibri" w:hAnsi="Calibri" w:cs="Calibri"/>
        </w:rPr>
        <w:t xml:space="preserve"> have, on average, a higher</w:t>
      </w:r>
      <w:r w:rsidR="00B56A45">
        <w:rPr>
          <w:rFonts w:ascii="Calibri" w:eastAsia="Calibri" w:hAnsi="Calibri" w:cs="Calibri"/>
        </w:rPr>
        <w:t xml:space="preserve"> </w:t>
      </w:r>
      <w:r w:rsidR="00CC073E">
        <w:rPr>
          <w:rFonts w:ascii="Calibri" w:eastAsia="Calibri" w:hAnsi="Calibri" w:cs="Calibri"/>
        </w:rPr>
        <w:t xml:space="preserve">dependency </w:t>
      </w:r>
      <w:r w:rsidR="00B56A45">
        <w:rPr>
          <w:rFonts w:ascii="Calibri" w:eastAsia="Calibri" w:hAnsi="Calibri" w:cs="Calibri"/>
        </w:rPr>
        <w:t xml:space="preserve">on </w:t>
      </w:r>
      <w:r w:rsidR="00B56A45" w:rsidRPr="00B56A45">
        <w:rPr>
          <w:rFonts w:ascii="Calibri" w:eastAsia="Calibri" w:hAnsi="Calibri" w:cs="Calibri"/>
        </w:rPr>
        <w:t>agricultur</w:t>
      </w:r>
      <w:r w:rsidR="00B56A45">
        <w:rPr>
          <w:rFonts w:ascii="Calibri" w:eastAsia="Calibri" w:hAnsi="Calibri" w:cs="Calibri"/>
        </w:rPr>
        <w:t>e.</w:t>
      </w:r>
      <w:r w:rsidR="00CC073E">
        <w:rPr>
          <w:rFonts w:ascii="Calibri" w:eastAsia="Calibri" w:hAnsi="Calibri" w:cs="Calibri"/>
        </w:rPr>
        <w:t xml:space="preserve"> The bui</w:t>
      </w:r>
      <w:r w:rsidR="00B56A45">
        <w:rPr>
          <w:rFonts w:ascii="Calibri" w:eastAsia="Calibri" w:hAnsi="Calibri" w:cs="Calibri"/>
        </w:rPr>
        <w:t>lding sector is no</w:t>
      </w:r>
      <w:r w:rsidR="00FC06AE">
        <w:rPr>
          <w:rFonts w:ascii="Calibri" w:eastAsia="Calibri" w:hAnsi="Calibri" w:cs="Calibri"/>
        </w:rPr>
        <w:t>t as significant as in other provinces</w:t>
      </w:r>
      <w:r w:rsidR="00B56A45">
        <w:rPr>
          <w:rFonts w:ascii="Calibri" w:eastAsia="Calibri" w:hAnsi="Calibri" w:cs="Calibri"/>
        </w:rPr>
        <w:t xml:space="preserve"> and </w:t>
      </w:r>
      <w:r w:rsidR="00FC06AE">
        <w:rPr>
          <w:rFonts w:ascii="Calibri" w:eastAsia="Calibri" w:hAnsi="Calibri" w:cs="Calibri"/>
        </w:rPr>
        <w:t xml:space="preserve">the </w:t>
      </w:r>
      <w:r w:rsidR="00B56A45">
        <w:rPr>
          <w:rFonts w:ascii="Calibri" w:eastAsia="Calibri" w:hAnsi="Calibri" w:cs="Calibri"/>
        </w:rPr>
        <w:t xml:space="preserve">banks per capita </w:t>
      </w:r>
      <w:r w:rsidR="00DA41ED">
        <w:rPr>
          <w:rFonts w:ascii="Calibri" w:eastAsia="Calibri" w:hAnsi="Calibri" w:cs="Calibri"/>
        </w:rPr>
        <w:t>is below the average of other Spain provinces.</w:t>
      </w:r>
    </w:p>
    <w:p w14:paraId="7E8B4793" w14:textId="46BCDF09" w:rsidR="00167F55" w:rsidRPr="00167F55" w:rsidRDefault="3929DFA2" w:rsidP="00EE36E1">
      <w:pPr>
        <w:pStyle w:val="ListParagraph"/>
        <w:numPr>
          <w:ilvl w:val="0"/>
          <w:numId w:val="8"/>
        </w:numPr>
        <w:jc w:val="both"/>
        <w:rPr>
          <w:rFonts w:ascii="Calibri" w:eastAsia="Calibri" w:hAnsi="Calibri" w:cs="Calibri"/>
        </w:rPr>
      </w:pPr>
      <w:r w:rsidRPr="3929DFA2">
        <w:rPr>
          <w:b/>
          <w:bCs/>
        </w:rPr>
        <w:t xml:space="preserve">Cluster 3- </w:t>
      </w:r>
      <w:r w:rsidR="241C7441" w:rsidRPr="241C7441">
        <w:rPr>
          <w:b/>
          <w:bCs/>
        </w:rPr>
        <w:t>Mid-</w:t>
      </w:r>
      <w:r w:rsidR="00855225">
        <w:rPr>
          <w:b/>
          <w:bCs/>
        </w:rPr>
        <w:t>population-</w:t>
      </w:r>
      <w:r w:rsidR="241C7441" w:rsidRPr="241C7441">
        <w:rPr>
          <w:b/>
          <w:bCs/>
        </w:rPr>
        <w:t>sized</w:t>
      </w:r>
      <w:r w:rsidR="53049ABF" w:rsidRPr="53049ABF">
        <w:rPr>
          <w:b/>
          <w:bCs/>
        </w:rPr>
        <w:t xml:space="preserve"> agricultural and building provinces:</w:t>
      </w:r>
      <w:r w:rsidR="53049ABF">
        <w:t xml:space="preserve"> </w:t>
      </w:r>
      <w:r w:rsidR="00FC06AE">
        <w:rPr>
          <w:rFonts w:ascii="Calibri" w:eastAsia="Calibri" w:hAnsi="Calibri" w:cs="Calibri"/>
        </w:rPr>
        <w:t>This group is the largest group found by the algorithm,</w:t>
      </w:r>
      <w:r w:rsidR="00AD521F">
        <w:rPr>
          <w:rFonts w:ascii="Calibri" w:eastAsia="Calibri" w:hAnsi="Calibri" w:cs="Calibri"/>
        </w:rPr>
        <w:t xml:space="preserve"> containing 25 provinces in total</w:t>
      </w:r>
      <w:r w:rsidR="00D707BA">
        <w:rPr>
          <w:rFonts w:ascii="Calibri" w:eastAsia="Calibri" w:hAnsi="Calibri" w:cs="Calibri"/>
        </w:rPr>
        <w:t xml:space="preserve"> which are listed in </w:t>
      </w:r>
      <w:r w:rsidR="00FC06AE">
        <w:rPr>
          <w:rFonts w:ascii="Calibri" w:eastAsia="Calibri" w:hAnsi="Calibri" w:cs="Calibri"/>
        </w:rPr>
        <w:t>Annex V</w:t>
      </w:r>
      <w:r w:rsidR="00AD521F">
        <w:rPr>
          <w:rFonts w:ascii="Calibri" w:eastAsia="Calibri" w:hAnsi="Calibri" w:cs="Calibri"/>
        </w:rPr>
        <w:t xml:space="preserve">. </w:t>
      </w:r>
      <w:r w:rsidR="00D707BA">
        <w:rPr>
          <w:rFonts w:ascii="Calibri" w:eastAsia="Calibri" w:hAnsi="Calibri" w:cs="Calibri"/>
        </w:rPr>
        <w:t xml:space="preserve">These provinces </w:t>
      </w:r>
      <w:r w:rsidR="00D8575E">
        <w:rPr>
          <w:rFonts w:ascii="Calibri" w:eastAsia="Calibri" w:hAnsi="Calibri" w:cs="Calibri"/>
        </w:rPr>
        <w:t>have a higher than average dependency on</w:t>
      </w:r>
      <w:r w:rsidR="00270C67">
        <w:rPr>
          <w:rFonts w:ascii="Calibri" w:eastAsia="Calibri" w:hAnsi="Calibri" w:cs="Calibri"/>
        </w:rPr>
        <w:t xml:space="preserve"> agricultural and building</w:t>
      </w:r>
      <w:r w:rsidR="009E38D4">
        <w:rPr>
          <w:rFonts w:ascii="Calibri" w:eastAsia="Calibri" w:hAnsi="Calibri" w:cs="Calibri"/>
        </w:rPr>
        <w:t xml:space="preserve">, </w:t>
      </w:r>
      <w:r w:rsidR="00D8575E">
        <w:rPr>
          <w:rFonts w:ascii="Calibri" w:eastAsia="Calibri" w:hAnsi="Calibri" w:cs="Calibri"/>
        </w:rPr>
        <w:t xml:space="preserve">whereas they have a lower </w:t>
      </w:r>
      <w:r w:rsidR="003548C0">
        <w:rPr>
          <w:rFonts w:ascii="Calibri" w:eastAsia="Calibri" w:hAnsi="Calibri" w:cs="Calibri"/>
        </w:rPr>
        <w:t xml:space="preserve">than average dependency on </w:t>
      </w:r>
      <w:r w:rsidR="009E38D4">
        <w:rPr>
          <w:rFonts w:ascii="Calibri" w:eastAsia="Calibri" w:hAnsi="Calibri" w:cs="Calibri"/>
        </w:rPr>
        <w:t>manufacturing</w:t>
      </w:r>
      <w:r w:rsidR="00270C67">
        <w:rPr>
          <w:rFonts w:ascii="Calibri" w:eastAsia="Calibri" w:hAnsi="Calibri" w:cs="Calibri"/>
        </w:rPr>
        <w:t xml:space="preserve"> </w:t>
      </w:r>
      <w:r w:rsidR="003F1CE5">
        <w:rPr>
          <w:rFonts w:ascii="Calibri" w:eastAsia="Calibri" w:hAnsi="Calibri" w:cs="Calibri"/>
        </w:rPr>
        <w:t xml:space="preserve">is </w:t>
      </w:r>
      <w:r w:rsidR="003548C0">
        <w:rPr>
          <w:rFonts w:ascii="Calibri" w:eastAsia="Calibri" w:hAnsi="Calibri" w:cs="Calibri"/>
        </w:rPr>
        <w:t>c</w:t>
      </w:r>
      <w:r w:rsidR="006E3591">
        <w:rPr>
          <w:rFonts w:ascii="Calibri" w:eastAsia="Calibri" w:hAnsi="Calibri" w:cs="Calibri"/>
        </w:rPr>
        <w:t>ompar</w:t>
      </w:r>
      <w:r w:rsidR="003548C0">
        <w:rPr>
          <w:rFonts w:ascii="Calibri" w:eastAsia="Calibri" w:hAnsi="Calibri" w:cs="Calibri"/>
        </w:rPr>
        <w:t>ed</w:t>
      </w:r>
      <w:r w:rsidR="006E3591">
        <w:rPr>
          <w:rFonts w:ascii="Calibri" w:eastAsia="Calibri" w:hAnsi="Calibri" w:cs="Calibri"/>
        </w:rPr>
        <w:t xml:space="preserve"> to other provinces</w:t>
      </w:r>
      <w:r w:rsidR="003F1CE5">
        <w:rPr>
          <w:rFonts w:ascii="Calibri" w:eastAsia="Calibri" w:hAnsi="Calibri" w:cs="Calibri"/>
        </w:rPr>
        <w:t>.</w:t>
      </w:r>
    </w:p>
    <w:p w14:paraId="48EDD57A" w14:textId="685F341E" w:rsidR="003B714D" w:rsidRPr="003B714D" w:rsidRDefault="778CF49B" w:rsidP="00EE36E1">
      <w:pPr>
        <w:pStyle w:val="ListParagraph"/>
        <w:numPr>
          <w:ilvl w:val="0"/>
          <w:numId w:val="8"/>
        </w:numPr>
        <w:jc w:val="both"/>
      </w:pPr>
      <w:r w:rsidRPr="778CF49B">
        <w:rPr>
          <w:b/>
          <w:bCs/>
        </w:rPr>
        <w:t xml:space="preserve">Cluster 4- </w:t>
      </w:r>
      <w:r w:rsidR="00740B04" w:rsidRPr="00740B04">
        <w:rPr>
          <w:b/>
          <w:bCs/>
        </w:rPr>
        <w:t>S</w:t>
      </w:r>
      <w:r w:rsidR="00856CFE" w:rsidRPr="00740B04">
        <w:rPr>
          <w:b/>
          <w:bCs/>
        </w:rPr>
        <w:t>mallest-population-sized agriculture provinces with lo</w:t>
      </w:r>
      <w:r w:rsidR="00740B04">
        <w:rPr>
          <w:b/>
          <w:bCs/>
        </w:rPr>
        <w:t>w</w:t>
      </w:r>
      <w:r w:rsidR="00856CFE" w:rsidRPr="00740B04">
        <w:rPr>
          <w:b/>
          <w:bCs/>
        </w:rPr>
        <w:t xml:space="preserve"> unemployment</w:t>
      </w:r>
      <w:r w:rsidR="53049ABF" w:rsidRPr="00740B04">
        <w:rPr>
          <w:b/>
          <w:bCs/>
        </w:rPr>
        <w:t>:</w:t>
      </w:r>
      <w:r w:rsidR="53049ABF">
        <w:t xml:space="preserve"> </w:t>
      </w:r>
      <w:r w:rsidR="003548C0">
        <w:t xml:space="preserve">This group </w:t>
      </w:r>
      <w:r w:rsidR="00213174">
        <w:t>contains</w:t>
      </w:r>
      <w:r w:rsidR="009B32E5">
        <w:t xml:space="preserve"> </w:t>
      </w:r>
      <w:r w:rsidR="008A5B6F">
        <w:t xml:space="preserve">Cuenca, Lugo, Segovia, Soria and </w:t>
      </w:r>
      <w:proofErr w:type="spellStart"/>
      <w:r w:rsidR="008A5B6F">
        <w:t>Teruel</w:t>
      </w:r>
      <w:proofErr w:type="spellEnd"/>
      <w:r w:rsidR="008A5B6F">
        <w:t xml:space="preserve">. </w:t>
      </w:r>
      <w:r w:rsidR="00CB222C">
        <w:t>They</w:t>
      </w:r>
      <w:r w:rsidR="007F00CB">
        <w:t>, on average, have the smallest populations and the lowest unemployment rates</w:t>
      </w:r>
      <w:r w:rsidR="00F85B37">
        <w:t xml:space="preserve">, </w:t>
      </w:r>
      <w:r w:rsidR="00213174">
        <w:t>thus</w:t>
      </w:r>
      <w:r w:rsidR="008D2454">
        <w:t>,</w:t>
      </w:r>
      <w:r w:rsidR="00CB222C">
        <w:t xml:space="preserve"> the smallest contribution </w:t>
      </w:r>
      <w:r w:rsidR="007F3045">
        <w:t xml:space="preserve">to </w:t>
      </w:r>
      <w:r w:rsidR="00F85B37">
        <w:t xml:space="preserve">the </w:t>
      </w:r>
      <w:r w:rsidR="007F3045">
        <w:t>Spa</w:t>
      </w:r>
      <w:r w:rsidR="00F85B37">
        <w:t>nish</w:t>
      </w:r>
      <w:r w:rsidR="007F3045">
        <w:t xml:space="preserve"> economy</w:t>
      </w:r>
      <w:r w:rsidR="00F85B37">
        <w:t xml:space="preserve"> with the lowest indices for all areas</w:t>
      </w:r>
      <w:r w:rsidR="007D1E54">
        <w:t xml:space="preserve">. In addition, they have higher than average </w:t>
      </w:r>
      <w:r w:rsidR="00782BB2">
        <w:t>mining</w:t>
      </w:r>
      <w:r w:rsidR="001F3C14">
        <w:t>, energy and in</w:t>
      </w:r>
      <w:r w:rsidR="00B509CA">
        <w:t>ter-industry trade, both wholesale and others</w:t>
      </w:r>
      <w:r w:rsidR="00907EC0">
        <w:t>, percentages when compare to others</w:t>
      </w:r>
      <w:r w:rsidR="00B509CA">
        <w:t>.</w:t>
      </w:r>
    </w:p>
    <w:p w14:paraId="34A34085" w14:textId="7C45A2CF" w:rsidR="00991DC5" w:rsidRPr="00991DC5" w:rsidRDefault="0A2073C9" w:rsidP="00EE36E1">
      <w:pPr>
        <w:pStyle w:val="ListParagraph"/>
        <w:numPr>
          <w:ilvl w:val="0"/>
          <w:numId w:val="8"/>
        </w:numPr>
        <w:jc w:val="both"/>
        <w:rPr>
          <w:b/>
        </w:rPr>
      </w:pPr>
      <w:r w:rsidRPr="0A2073C9">
        <w:rPr>
          <w:b/>
          <w:bCs/>
        </w:rPr>
        <w:t xml:space="preserve">Cluster 5- </w:t>
      </w:r>
      <w:r w:rsidR="57584131" w:rsidRPr="57584131">
        <w:rPr>
          <w:b/>
          <w:bCs/>
        </w:rPr>
        <w:t>Mid</w:t>
      </w:r>
      <w:r w:rsidR="009C21AC">
        <w:rPr>
          <w:b/>
          <w:bCs/>
        </w:rPr>
        <w:t>-population</w:t>
      </w:r>
      <w:r w:rsidR="57584131" w:rsidRPr="57584131">
        <w:rPr>
          <w:b/>
          <w:bCs/>
        </w:rPr>
        <w:t>-sized</w:t>
      </w:r>
      <w:r w:rsidR="3CF5C85D" w:rsidRPr="3CF5C85D">
        <w:rPr>
          <w:b/>
          <w:bCs/>
        </w:rPr>
        <w:t xml:space="preserve"> touristic provinces</w:t>
      </w:r>
      <w:r w:rsidR="009C21AC">
        <w:rPr>
          <w:b/>
          <w:bCs/>
        </w:rPr>
        <w:t>,</w:t>
      </w:r>
      <w:r w:rsidR="3CF5C85D" w:rsidRPr="3CF5C85D">
        <w:rPr>
          <w:b/>
          <w:bCs/>
        </w:rPr>
        <w:t xml:space="preserve"> with </w:t>
      </w:r>
      <w:r w:rsidR="00740B04">
        <w:rPr>
          <w:b/>
          <w:bCs/>
        </w:rPr>
        <w:t>high</w:t>
      </w:r>
      <w:r w:rsidR="3CF5C85D" w:rsidRPr="3CF5C85D">
        <w:rPr>
          <w:b/>
          <w:bCs/>
        </w:rPr>
        <w:t xml:space="preserve"> unemployment rate</w:t>
      </w:r>
      <w:r w:rsidR="00740B04">
        <w:rPr>
          <w:b/>
          <w:bCs/>
        </w:rPr>
        <w:t>s</w:t>
      </w:r>
      <w:r w:rsidR="3CF5C85D" w:rsidRPr="3CF5C85D">
        <w:rPr>
          <w:b/>
          <w:bCs/>
        </w:rPr>
        <w:t>:</w:t>
      </w:r>
      <w:r w:rsidR="3CF5C85D">
        <w:t xml:space="preserve"> </w:t>
      </w:r>
      <w:r w:rsidR="00907EC0">
        <w:t xml:space="preserve">This group contains </w:t>
      </w:r>
      <w:r w:rsidR="00B509CA">
        <w:t xml:space="preserve">7 </w:t>
      </w:r>
      <w:r w:rsidR="00B509CA" w:rsidRPr="00B509CA">
        <w:t>touristic provinces</w:t>
      </w:r>
      <w:r w:rsidR="00C55ED4">
        <w:t xml:space="preserve"> with mid-sized populations,</w:t>
      </w:r>
      <w:r w:rsidR="00B509CA">
        <w:t xml:space="preserve"> </w:t>
      </w:r>
      <w:r w:rsidR="00C55ED4">
        <w:t xml:space="preserve">while </w:t>
      </w:r>
      <w:r w:rsidR="00B509CA">
        <w:t>hav</w:t>
      </w:r>
      <w:r w:rsidR="00C55ED4">
        <w:t xml:space="preserve">ing </w:t>
      </w:r>
      <w:r w:rsidR="00B509CA" w:rsidRPr="00B509CA">
        <w:t>the highest unemployment rate</w:t>
      </w:r>
      <w:r w:rsidR="00C55ED4">
        <w:t>s</w:t>
      </w:r>
      <w:r w:rsidR="00AA5057">
        <w:t xml:space="preserve"> and higher than average foreign population rates</w:t>
      </w:r>
      <w:r w:rsidR="00B509CA" w:rsidRPr="00B509CA">
        <w:t>.</w:t>
      </w:r>
      <w:r w:rsidR="000569A5">
        <w:t xml:space="preserve"> </w:t>
      </w:r>
      <w:r w:rsidR="00AA5057">
        <w:t>These provinces are more dependent on b</w:t>
      </w:r>
      <w:r w:rsidR="000569A5">
        <w:t xml:space="preserve">uilding and textile industries. </w:t>
      </w:r>
      <w:r w:rsidR="00084245">
        <w:t xml:space="preserve">They also have </w:t>
      </w:r>
      <w:r w:rsidR="00505F6C">
        <w:t>the lowest banks per capita ratio.</w:t>
      </w:r>
    </w:p>
    <w:p w14:paraId="0C8CC514" w14:textId="3CC8FD5D" w:rsidR="000F79CA" w:rsidRPr="00A76092" w:rsidRDefault="00EC474F" w:rsidP="00EE36E1">
      <w:pPr>
        <w:pStyle w:val="Heading1"/>
        <w:numPr>
          <w:ilvl w:val="0"/>
          <w:numId w:val="2"/>
        </w:numPr>
        <w:jc w:val="both"/>
      </w:pPr>
      <w:bookmarkStart w:id="6" w:name="_Toc12472802"/>
      <w:r w:rsidRPr="00A76092">
        <w:t>Recommendations</w:t>
      </w:r>
      <w:bookmarkEnd w:id="6"/>
      <w:r w:rsidR="003E7257" w:rsidRPr="00A76092">
        <w:rPr>
          <w:bCs/>
        </w:rPr>
        <w:t xml:space="preserve"> </w:t>
      </w:r>
    </w:p>
    <w:p w14:paraId="13CE0FA9" w14:textId="4A61D4DB" w:rsidR="006D6FE6" w:rsidRDefault="1651141A" w:rsidP="00EE36E1">
      <w:pPr>
        <w:jc w:val="both"/>
      </w:pPr>
      <w:r>
        <w:t>Since the clusters differ in their economic performance, demographic trends and existing infrastructure, the most effective economic policies will have to consider the strengths and target the weaknesses of the groups.  Thus, it is essential to work in conjunction with regional authorities to ensure successful implementation of the policy. The full breakdown of the figures on which these recommendations are based on is available in Annex VII.</w:t>
      </w:r>
    </w:p>
    <w:p w14:paraId="4D13E520" w14:textId="6DE45086" w:rsidR="005A0E03" w:rsidRPr="00740B04" w:rsidRDefault="00740B04" w:rsidP="00740B04">
      <w:pPr>
        <w:pStyle w:val="ListParagraph"/>
        <w:numPr>
          <w:ilvl w:val="1"/>
          <w:numId w:val="2"/>
        </w:numPr>
        <w:jc w:val="both"/>
      </w:pPr>
      <w:r w:rsidRPr="00740B04">
        <w:lastRenderedPageBreak/>
        <w:t>Largest-Population-Sized, Industrialized Textile Provinces</w:t>
      </w:r>
    </w:p>
    <w:p w14:paraId="18FAAA00" w14:textId="70E1C2AE" w:rsidR="304F02FC" w:rsidRPr="004A2287" w:rsidRDefault="1651141A" w:rsidP="00C10832">
      <w:pPr>
        <w:jc w:val="both"/>
      </w:pPr>
      <w:r>
        <w:t xml:space="preserve">This group is not dependent on one </w:t>
      </w:r>
      <w:proofErr w:type="gramStart"/>
      <w:r>
        <w:t>particular industry</w:t>
      </w:r>
      <w:proofErr w:type="gramEnd"/>
      <w:r>
        <w:t>, its specialization is equally distributed between manufacturing and textiles, which says that this cluster is more resilient to economic turbulence. However, this group has a relatively high population growth and a medium unemployment rate. In the medium term, this trend may result in a rapid increase in the unemployment rate unless new jobs are created. This is not the most urgent issue, nevertheless it must be addressed before a crisis happens. This can be achieved through indirect measures like retraining programs, decreasing unemployment benefits, etc.</w:t>
      </w:r>
    </w:p>
    <w:p w14:paraId="5D6D277B" w14:textId="5C36F20D" w:rsidR="00740B04" w:rsidRPr="00740B04" w:rsidRDefault="00740B04" w:rsidP="00DD5403">
      <w:pPr>
        <w:pStyle w:val="Heading2"/>
        <w:numPr>
          <w:ilvl w:val="1"/>
          <w:numId w:val="2"/>
        </w:numPr>
        <w:jc w:val="both"/>
      </w:pPr>
      <w:bookmarkStart w:id="7" w:name="_Toc12472803"/>
      <w:r w:rsidRPr="00740B04">
        <w:t>Mid-</w:t>
      </w:r>
      <w:r w:rsidR="00FB74D6">
        <w:t>P</w:t>
      </w:r>
      <w:r w:rsidRPr="00740B04">
        <w:t>opulation-</w:t>
      </w:r>
      <w:r w:rsidR="00FB74D6">
        <w:t>S</w:t>
      </w:r>
      <w:r w:rsidRPr="00740B04">
        <w:t xml:space="preserve">ized </w:t>
      </w:r>
      <w:r w:rsidR="00FB74D6">
        <w:t>M</w:t>
      </w:r>
      <w:r w:rsidRPr="00740B04">
        <w:t xml:space="preserve">anufacturing </w:t>
      </w:r>
      <w:r w:rsidR="00FB74D6">
        <w:t>P</w:t>
      </w:r>
      <w:r w:rsidRPr="00740B04">
        <w:t>rovinces</w:t>
      </w:r>
      <w:bookmarkEnd w:id="7"/>
      <w:r w:rsidRPr="00740B04">
        <w:t xml:space="preserve"> </w:t>
      </w:r>
    </w:p>
    <w:p w14:paraId="3EDC2E9D" w14:textId="1DFAD669" w:rsidR="304F02FC" w:rsidRPr="00740B04" w:rsidRDefault="1651141A" w:rsidP="004377EC">
      <w:pPr>
        <w:jc w:val="both"/>
      </w:pPr>
      <w:r>
        <w:t xml:space="preserve">Policies regarding this group should target unemployment and banking sector. The industries present in this group seem to be rather diverse. This cluster represents the mean of the country by many indicators; thus, it does not require immediate actions in terms of stimulating economic growth. Unemployment </w:t>
      </w:r>
      <w:proofErr w:type="gramStart"/>
      <w:r>
        <w:t>has to</w:t>
      </w:r>
      <w:proofErr w:type="gramEnd"/>
      <w:r>
        <w:t xml:space="preserve"> be targeted via </w:t>
      </w:r>
      <w:r w:rsidR="52089E84">
        <w:t>creation of</w:t>
      </w:r>
      <w:r>
        <w:t xml:space="preserve"> new jobs since the population growth is relatively high, and this problem may be exacerbated in the future if it’s not tackled.</w:t>
      </w:r>
    </w:p>
    <w:p w14:paraId="49A096F2" w14:textId="3423997C" w:rsidR="6AD7904B" w:rsidRPr="00740B04" w:rsidRDefault="00740B04" w:rsidP="00EE36E1">
      <w:pPr>
        <w:pStyle w:val="Heading2"/>
        <w:numPr>
          <w:ilvl w:val="1"/>
          <w:numId w:val="2"/>
        </w:numPr>
        <w:jc w:val="both"/>
      </w:pPr>
      <w:bookmarkStart w:id="8" w:name="_Toc12472804"/>
      <w:r w:rsidRPr="00740B04">
        <w:t>Mid-</w:t>
      </w:r>
      <w:r w:rsidR="00FB74D6">
        <w:t>P</w:t>
      </w:r>
      <w:r w:rsidRPr="00740B04">
        <w:t>opulation-</w:t>
      </w:r>
      <w:r w:rsidR="00FB74D6">
        <w:t>S</w:t>
      </w:r>
      <w:r w:rsidRPr="00740B04">
        <w:t xml:space="preserve">ized </w:t>
      </w:r>
      <w:r w:rsidR="00FB74D6">
        <w:t>A</w:t>
      </w:r>
      <w:r w:rsidRPr="00740B04">
        <w:t xml:space="preserve">gricultural and </w:t>
      </w:r>
      <w:r w:rsidR="00FB74D6">
        <w:t>B</w:t>
      </w:r>
      <w:r w:rsidRPr="00740B04">
        <w:t xml:space="preserve">uilding </w:t>
      </w:r>
      <w:r w:rsidR="00FB74D6">
        <w:t>P</w:t>
      </w:r>
      <w:r w:rsidRPr="00740B04">
        <w:t>rovinces</w:t>
      </w:r>
      <w:bookmarkEnd w:id="8"/>
    </w:p>
    <w:p w14:paraId="598D2198" w14:textId="4668DCD3" w:rsidR="45E79D39" w:rsidRDefault="1651141A" w:rsidP="00EE36E1">
      <w:pPr>
        <w:jc w:val="both"/>
      </w:pPr>
      <w:r>
        <w:t>This group includes half of Spain’s provinces, however, the relative contribution to the economy of each province is, on average, the second to last, which means that each province within the cluster isn’t developed enough. The ministry should consider a general stimulating economic policy that will have an impact across all industries. For example, transfers, increase in government procurement, decrease in taxes for building, agriculture, or manufacturing, given that those industries have the highest volumes.</w:t>
      </w:r>
    </w:p>
    <w:p w14:paraId="7EE49D3B" w14:textId="0C1D3E19" w:rsidR="00415E21" w:rsidRPr="00A65A09" w:rsidRDefault="4CFF3FBF" w:rsidP="00EE36E1">
      <w:pPr>
        <w:pStyle w:val="Heading2"/>
        <w:numPr>
          <w:ilvl w:val="1"/>
          <w:numId w:val="2"/>
        </w:numPr>
        <w:jc w:val="both"/>
      </w:pPr>
      <w:bookmarkStart w:id="9" w:name="_Toc12472805"/>
      <w:r w:rsidRPr="4CFF3FBF">
        <w:t>Smallest size and not growing agriculture provinces with the lowest unemployment rate</w:t>
      </w:r>
      <w:bookmarkEnd w:id="9"/>
    </w:p>
    <w:p w14:paraId="5823DD45" w14:textId="31F68C4A" w:rsidR="0098361B" w:rsidRPr="00A65A09" w:rsidRDefault="1651141A" w:rsidP="00041B26">
      <w:pPr>
        <w:jc w:val="both"/>
      </w:pPr>
      <w:r>
        <w:t xml:space="preserve">The fourth group has, on average, the smallest population size, and a negative population growth rate. This group is very similar to cluster 2, so in the future it may assimilate with it. The main difference is that this group is more specialized in banking, however, the other parameters are very similar, with the lower unemployment rate in cluster 4 potentially explained by the low population growth and size. This means that whatever policy is applied to this group will probably have similar effect on cluster 2. Another possible option is to attempt to stimulate the tourism industry or to try to increase the foreign population, so that it can become the main source of </w:t>
      </w:r>
      <w:proofErr w:type="spellStart"/>
      <w:r>
        <w:t>labour</w:t>
      </w:r>
      <w:proofErr w:type="spellEnd"/>
      <w:r>
        <w:t xml:space="preserve"> in the province in the future.</w:t>
      </w:r>
    </w:p>
    <w:p w14:paraId="617F4A25" w14:textId="02940800" w:rsidR="009F62ED" w:rsidRPr="00ED2CB6" w:rsidRDefault="00740B04" w:rsidP="00ED2CB6">
      <w:pPr>
        <w:pStyle w:val="Heading2"/>
        <w:numPr>
          <w:ilvl w:val="1"/>
          <w:numId w:val="2"/>
        </w:numPr>
        <w:jc w:val="both"/>
      </w:pPr>
      <w:bookmarkStart w:id="10" w:name="_Toc12472806"/>
      <w:r w:rsidRPr="00ED2CB6">
        <w:t>Mid-population-sized touristic provinces, with high unemployment rates</w:t>
      </w:r>
      <w:bookmarkEnd w:id="10"/>
    </w:p>
    <w:p w14:paraId="193B3512" w14:textId="2D96A97B" w:rsidR="005F54F4" w:rsidRPr="00A65A09" w:rsidRDefault="0D0FBDC1" w:rsidP="004377EC">
      <w:pPr>
        <w:jc w:val="both"/>
      </w:pPr>
      <w:r>
        <w:t xml:space="preserve">The main issue within this cluster is the </w:t>
      </w:r>
      <w:r w:rsidR="00451153">
        <w:t xml:space="preserve">rapid </w:t>
      </w:r>
      <w:r>
        <w:t xml:space="preserve">population </w:t>
      </w:r>
      <w:r w:rsidR="42EA4EEC">
        <w:t xml:space="preserve">growth and </w:t>
      </w:r>
      <w:r w:rsidR="00451153">
        <w:t xml:space="preserve">very high </w:t>
      </w:r>
      <w:r w:rsidR="60E9A193">
        <w:t>unemployment</w:t>
      </w:r>
      <w:r w:rsidR="00451153">
        <w:t>.</w:t>
      </w:r>
      <w:r w:rsidR="058F2ED4">
        <w:t xml:space="preserve"> </w:t>
      </w:r>
      <w:r w:rsidR="009F62ED">
        <w:t xml:space="preserve">The government’s </w:t>
      </w:r>
      <w:proofErr w:type="gramStart"/>
      <w:r w:rsidR="009F62ED">
        <w:t>main focus</w:t>
      </w:r>
      <w:proofErr w:type="gramEnd"/>
      <w:r w:rsidR="009F62ED">
        <w:t xml:space="preserve"> </w:t>
      </w:r>
      <w:r w:rsidR="00293225">
        <w:t xml:space="preserve">of economic policy should be tackling </w:t>
      </w:r>
      <w:r w:rsidR="00502B9A">
        <w:t>unemployment</w:t>
      </w:r>
      <w:r w:rsidR="00BB31B8">
        <w:t xml:space="preserve"> in the short run</w:t>
      </w:r>
      <w:r w:rsidR="004377EC">
        <w:t xml:space="preserve">. </w:t>
      </w:r>
      <w:r w:rsidR="52089E84">
        <w:t>A</w:t>
      </w:r>
      <w:r w:rsidR="00274127">
        <w:t xml:space="preserve"> potential solution could be</w:t>
      </w:r>
      <w:r w:rsidR="005F54F4">
        <w:t xml:space="preserve"> decreasing unemployment benefits to create </w:t>
      </w:r>
      <w:r w:rsidR="00274127">
        <w:t xml:space="preserve">an </w:t>
      </w:r>
      <w:r w:rsidR="005F54F4">
        <w:t>incentive for people to look for a job faster and not rely heavily on unemployment benefits</w:t>
      </w:r>
      <w:r w:rsidR="00983FA7">
        <w:t xml:space="preserve">. </w:t>
      </w:r>
      <w:r w:rsidR="00274127">
        <w:t xml:space="preserve">This </w:t>
      </w:r>
      <w:r w:rsidR="00983FA7">
        <w:t>could also</w:t>
      </w:r>
      <w:r w:rsidR="00274127">
        <w:t xml:space="preserve"> be achieved through</w:t>
      </w:r>
      <w:r w:rsidR="005F54F4">
        <w:t xml:space="preserve"> provid</w:t>
      </w:r>
      <w:r w:rsidR="008D392E">
        <w:t>ing</w:t>
      </w:r>
      <w:r w:rsidR="005F54F4">
        <w:t xml:space="preserve"> companies with </w:t>
      </w:r>
      <w:r w:rsidR="00983FA7">
        <w:t>subsidies</w:t>
      </w:r>
      <w:r w:rsidR="008D392E">
        <w:t>, either</w:t>
      </w:r>
      <w:r w:rsidR="00983FA7">
        <w:t xml:space="preserve"> </w:t>
      </w:r>
      <w:r w:rsidR="004A3BA5">
        <w:t xml:space="preserve">directly or </w:t>
      </w:r>
      <w:r w:rsidR="00983FA7">
        <w:t>via alleviating corporate taxes</w:t>
      </w:r>
      <w:r w:rsidR="00304275">
        <w:t>.</w:t>
      </w:r>
      <w:r w:rsidR="00304275">
        <w:t xml:space="preserve"> </w:t>
      </w:r>
      <w:r w:rsidR="00117857">
        <w:t xml:space="preserve">These measures can </w:t>
      </w:r>
      <w:r w:rsidR="01820596">
        <w:t>mitigate</w:t>
      </w:r>
      <w:r w:rsidR="00117857">
        <w:t xml:space="preserve"> the problem of unemployment in the short run. </w:t>
      </w:r>
      <w:r w:rsidR="004A3BA5">
        <w:t xml:space="preserve">However, the main </w:t>
      </w:r>
      <w:r w:rsidR="005128E7">
        <w:t xml:space="preserve">direction of unemployment policy should be </w:t>
      </w:r>
      <w:r w:rsidR="01820596">
        <w:t xml:space="preserve">direct </w:t>
      </w:r>
      <w:r w:rsidR="005128E7">
        <w:t>creation of new jobs</w:t>
      </w:r>
      <w:r w:rsidR="00CC5009">
        <w:t>,</w:t>
      </w:r>
      <w:r w:rsidR="000668EF">
        <w:t xml:space="preserve"> since in the future </w:t>
      </w:r>
      <w:r w:rsidR="00E75ACC">
        <w:t xml:space="preserve">rapid population growth will create </w:t>
      </w:r>
      <w:r w:rsidR="008D392E">
        <w:t xml:space="preserve">an </w:t>
      </w:r>
      <w:r w:rsidR="000B6496">
        <w:t xml:space="preserve">excessive </w:t>
      </w:r>
      <w:proofErr w:type="spellStart"/>
      <w:r w:rsidR="00820511">
        <w:t>labour</w:t>
      </w:r>
      <w:proofErr w:type="spellEnd"/>
      <w:r w:rsidR="00820511">
        <w:t xml:space="preserve"> supply</w:t>
      </w:r>
      <w:r w:rsidR="000B6496" w:rsidRPr="000B6496">
        <w:t xml:space="preserve"> </w:t>
      </w:r>
      <w:r w:rsidR="00FB53D5">
        <w:t>that will only aggravate the problem</w:t>
      </w:r>
      <w:r w:rsidR="00CC5009">
        <w:t xml:space="preserve"> if left unattended</w:t>
      </w:r>
      <w:r w:rsidR="01820596">
        <w:t>.</w:t>
      </w:r>
    </w:p>
    <w:p w14:paraId="337BDBF9" w14:textId="5DCE904F" w:rsidR="00537B6D" w:rsidRPr="001651B1" w:rsidRDefault="01820596" w:rsidP="00EE36E1">
      <w:pPr>
        <w:jc w:val="both"/>
      </w:pPr>
      <w:r>
        <w:t>This cluster has a lowest concentration of banks, which may indicate that financial markets are less developed in this group. Stimulating financial industry could also help invigorate other industries</w:t>
      </w:r>
      <w:r w:rsidR="009E1241">
        <w:t xml:space="preserve"> and </w:t>
      </w:r>
      <w:r w:rsidR="006A2F2D">
        <w:t xml:space="preserve">escape </w:t>
      </w:r>
      <w:r w:rsidR="00FB53D5">
        <w:t xml:space="preserve">the </w:t>
      </w:r>
      <w:r w:rsidR="006A2F2D">
        <w:t>high dependence on the tourism.</w:t>
      </w:r>
      <w:r w:rsidR="00EC474F">
        <w:rPr>
          <w:b/>
          <w:bCs/>
        </w:rPr>
        <w:br w:type="page"/>
      </w:r>
    </w:p>
    <w:p w14:paraId="214F5C4D" w14:textId="2B198BDA" w:rsidR="00981385" w:rsidRPr="00C3658A" w:rsidRDefault="00EC474F" w:rsidP="00981385">
      <w:pPr>
        <w:pStyle w:val="Heading1"/>
        <w:numPr>
          <w:ilvl w:val="0"/>
          <w:numId w:val="2"/>
        </w:numPr>
      </w:pPr>
      <w:bookmarkStart w:id="11" w:name="_Toc12472807"/>
      <w:r w:rsidRPr="00C3658A">
        <w:lastRenderedPageBreak/>
        <w:t>Technical Annex</w:t>
      </w:r>
      <w:r w:rsidR="00486499" w:rsidRPr="00C3658A">
        <w:t>es</w:t>
      </w:r>
      <w:bookmarkEnd w:id="11"/>
      <w:r w:rsidR="00486499" w:rsidRPr="00C3658A">
        <w:t xml:space="preserve"> </w:t>
      </w:r>
    </w:p>
    <w:p w14:paraId="11D8FD74" w14:textId="51AF1100" w:rsidR="009E5C5B" w:rsidRPr="00C3658A" w:rsidRDefault="189833FE" w:rsidP="189833FE">
      <w:pPr>
        <w:pStyle w:val="Heading2"/>
        <w:numPr>
          <w:ilvl w:val="1"/>
          <w:numId w:val="2"/>
        </w:numPr>
        <w:rPr>
          <w:b/>
          <w:bCs/>
        </w:rPr>
      </w:pPr>
      <w:bookmarkStart w:id="12" w:name="_Toc12472808"/>
      <w:r w:rsidRPr="189833FE">
        <w:rPr>
          <w:b/>
          <w:bCs/>
        </w:rPr>
        <w:t>Annex I – Correlation Analysis</w:t>
      </w:r>
      <w:bookmarkEnd w:id="12"/>
    </w:p>
    <w:p w14:paraId="4D70668A" w14:textId="51AF1100" w:rsidR="00277287" w:rsidRDefault="00277287"/>
    <w:p w14:paraId="44E927C5" w14:textId="51AF1100" w:rsidR="006206AE" w:rsidRDefault="189833FE">
      <w:r>
        <w:t>Provinces features correlation discovery process, to identify different attributes sharing the same information</w:t>
      </w:r>
    </w:p>
    <w:p w14:paraId="5220ACD4" w14:textId="51AF1100" w:rsidR="00277287" w:rsidRDefault="00277287"/>
    <w:p w14:paraId="6100B9EB" w14:textId="4FCEB893" w:rsidR="00511728" w:rsidRDefault="2357E477">
      <w:r>
        <w:rPr>
          <w:noProof/>
        </w:rPr>
        <w:drawing>
          <wp:inline distT="0" distB="0" distL="0" distR="0" wp14:anchorId="03F798DB" wp14:editId="5E8DECA1">
            <wp:extent cx="5603358" cy="5008001"/>
            <wp:effectExtent l="19050" t="19050" r="16510" b="21590"/>
            <wp:docPr id="2117492986" name="Picture 1299164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164271"/>
                    <pic:cNvPicPr/>
                  </pic:nvPicPr>
                  <pic:blipFill>
                    <a:blip r:embed="rId15">
                      <a:extLst>
                        <a:ext uri="{28A0092B-C50C-407E-A947-70E740481C1C}">
                          <a14:useLocalDpi xmlns:a14="http://schemas.microsoft.com/office/drawing/2010/main" val="0"/>
                        </a:ext>
                      </a:extLst>
                    </a:blip>
                    <a:stretch>
                      <a:fillRect/>
                    </a:stretch>
                  </pic:blipFill>
                  <pic:spPr>
                    <a:xfrm>
                      <a:off x="0" y="0"/>
                      <a:ext cx="5613070" cy="5016681"/>
                    </a:xfrm>
                    <a:prstGeom prst="rect">
                      <a:avLst/>
                    </a:prstGeom>
                    <a:ln>
                      <a:solidFill>
                        <a:schemeClr val="bg1">
                          <a:lumMod val="75000"/>
                        </a:schemeClr>
                      </a:solidFill>
                    </a:ln>
                  </pic:spPr>
                </pic:pic>
              </a:graphicData>
            </a:graphic>
          </wp:inline>
        </w:drawing>
      </w:r>
    </w:p>
    <w:p w14:paraId="5513C130" w14:textId="62453828" w:rsidR="00790C04" w:rsidRPr="00790C04" w:rsidRDefault="00790C04" w:rsidP="00790C04"/>
    <w:p w14:paraId="1394010E" w14:textId="77777777" w:rsidR="00416627" w:rsidRDefault="00416627"/>
    <w:p w14:paraId="26D93662" w14:textId="77777777" w:rsidR="00416627" w:rsidRDefault="00416627"/>
    <w:p w14:paraId="045BBCDE" w14:textId="51AF1100" w:rsidR="00416627" w:rsidRDefault="00416627"/>
    <w:p w14:paraId="3A3A3191" w14:textId="77777777" w:rsidR="00416627" w:rsidRDefault="00416627"/>
    <w:p w14:paraId="29C7C9A6" w14:textId="48F2A238" w:rsidR="0324B96D" w:rsidRPr="00C3658A" w:rsidRDefault="009E5C5B" w:rsidP="008D545C">
      <w:pPr>
        <w:pStyle w:val="Heading2"/>
        <w:numPr>
          <w:ilvl w:val="1"/>
          <w:numId w:val="2"/>
        </w:numPr>
        <w:rPr>
          <w:b/>
        </w:rPr>
      </w:pPr>
      <w:bookmarkStart w:id="13" w:name="_Toc12472809"/>
      <w:r w:rsidRPr="00C3658A">
        <w:rPr>
          <w:b/>
          <w:bCs/>
        </w:rPr>
        <w:lastRenderedPageBreak/>
        <w:t xml:space="preserve">Annex </w:t>
      </w:r>
      <w:r w:rsidR="0324B96D" w:rsidRPr="00C3658A">
        <w:rPr>
          <w:b/>
          <w:bCs/>
        </w:rPr>
        <w:t>II</w:t>
      </w:r>
      <w:r w:rsidR="00B101B1">
        <w:rPr>
          <w:b/>
          <w:bCs/>
        </w:rPr>
        <w:t xml:space="preserve"> – Variable Significance for Clustering Model</w:t>
      </w:r>
      <w:bookmarkEnd w:id="13"/>
    </w:p>
    <w:p w14:paraId="254EA766" w14:textId="5589966A" w:rsidR="00E26AFB" w:rsidRDefault="00442E79" w:rsidP="00E26AFB">
      <w:r>
        <w:t xml:space="preserve">Understanding the most relevant variables when </w:t>
      </w:r>
      <w:r w:rsidR="00756C2B">
        <w:t>conforming the groups with similar provinces</w:t>
      </w:r>
    </w:p>
    <w:p w14:paraId="79D725A5" w14:textId="3B526F3B" w:rsidR="00C92428" w:rsidRDefault="00793203" w:rsidP="00C40A4F">
      <w:r>
        <w:rPr>
          <w:noProof/>
        </w:rPr>
        <w:drawing>
          <wp:inline distT="0" distB="0" distL="0" distR="0" wp14:anchorId="6481F0DD" wp14:editId="6AA270F4">
            <wp:extent cx="5943600" cy="1604010"/>
            <wp:effectExtent l="0" t="0" r="0" b="15240"/>
            <wp:docPr id="1" name="Chart 1">
              <a:extLst xmlns:a="http://schemas.openxmlformats.org/drawingml/2006/main">
                <a:ext uri="{FF2B5EF4-FFF2-40B4-BE49-F238E27FC236}">
                  <a16:creationId xmlns:a16="http://schemas.microsoft.com/office/drawing/2014/main" id="{5D6EF29F-D318-4F34-BE6A-79F850075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ADD519" w14:textId="02C67180" w:rsidR="00D3591F" w:rsidRDefault="00D3591F" w:rsidP="00C40A4F"/>
    <w:p w14:paraId="0AC60D89" w14:textId="02C67180" w:rsidR="00E50E5C" w:rsidRDefault="009E5C5B" w:rsidP="008D545C">
      <w:pPr>
        <w:pStyle w:val="Heading2"/>
        <w:numPr>
          <w:ilvl w:val="1"/>
          <w:numId w:val="2"/>
        </w:numPr>
        <w:rPr>
          <w:b/>
          <w:bCs/>
        </w:rPr>
      </w:pPr>
      <w:bookmarkStart w:id="14" w:name="_Toc12472810"/>
      <w:r w:rsidRPr="00C3658A">
        <w:rPr>
          <w:b/>
          <w:bCs/>
        </w:rPr>
        <w:t>Annex III</w:t>
      </w:r>
      <w:r w:rsidR="00B101B1">
        <w:rPr>
          <w:b/>
          <w:bCs/>
        </w:rPr>
        <w:t xml:space="preserve"> – Detailed Metrics</w:t>
      </w:r>
      <w:bookmarkEnd w:id="14"/>
    </w:p>
    <w:p w14:paraId="6135BC70" w14:textId="02C67180" w:rsidR="00D3591F" w:rsidRPr="00D3591F" w:rsidRDefault="00D3591F" w:rsidP="00D3591F"/>
    <w:tbl>
      <w:tblPr>
        <w:tblStyle w:val="GridTable4-Accent3"/>
        <w:tblW w:w="0" w:type="auto"/>
        <w:jc w:val="center"/>
        <w:tblLayout w:type="fixed"/>
        <w:tblLook w:val="0620" w:firstRow="1" w:lastRow="0" w:firstColumn="0" w:lastColumn="0" w:noHBand="1" w:noVBand="1"/>
      </w:tblPr>
      <w:tblGrid>
        <w:gridCol w:w="2371"/>
        <w:gridCol w:w="2371"/>
      </w:tblGrid>
      <w:tr w:rsidR="130DC7CB" w14:paraId="725ECECF" w14:textId="77777777" w:rsidTr="1651141A">
        <w:trPr>
          <w:cnfStyle w:val="100000000000" w:firstRow="1" w:lastRow="0" w:firstColumn="0" w:lastColumn="0" w:oddVBand="0" w:evenVBand="0" w:oddHBand="0" w:evenHBand="0" w:firstRowFirstColumn="0" w:firstRowLastColumn="0" w:lastRowFirstColumn="0" w:lastRowLastColumn="0"/>
          <w:trHeight w:val="331"/>
          <w:jc w:val="center"/>
        </w:trPr>
        <w:tc>
          <w:tcPr>
            <w:tcW w:w="2371" w:type="dxa"/>
          </w:tcPr>
          <w:p w14:paraId="53113392" w14:textId="170A43B1" w:rsidR="130DC7CB" w:rsidRDefault="1651141A" w:rsidP="7AB69E5A">
            <w:pPr>
              <w:jc w:val="center"/>
            </w:pPr>
            <w:r>
              <w:t>Measure</w:t>
            </w:r>
          </w:p>
        </w:tc>
        <w:tc>
          <w:tcPr>
            <w:tcW w:w="2371" w:type="dxa"/>
          </w:tcPr>
          <w:p w14:paraId="7776F47A" w14:textId="5DC09EB8" w:rsidR="130DC7CB" w:rsidRDefault="1651141A" w:rsidP="7AB69E5A">
            <w:pPr>
              <w:jc w:val="center"/>
            </w:pPr>
            <w:r>
              <w:t>Value</w:t>
            </w:r>
          </w:p>
        </w:tc>
      </w:tr>
      <w:tr w:rsidR="130DC7CB" w14:paraId="05F8A2D9" w14:textId="77777777" w:rsidTr="1651141A">
        <w:trPr>
          <w:trHeight w:val="322"/>
          <w:jc w:val="center"/>
        </w:trPr>
        <w:tc>
          <w:tcPr>
            <w:tcW w:w="2371" w:type="dxa"/>
          </w:tcPr>
          <w:p w14:paraId="32366103" w14:textId="38BC6C4B" w:rsidR="130DC7CB" w:rsidRDefault="1651141A" w:rsidP="7AB69E5A">
            <w:pPr>
              <w:jc w:val="center"/>
            </w:pPr>
            <w:r>
              <w:t>Silhouette</w:t>
            </w:r>
          </w:p>
        </w:tc>
        <w:tc>
          <w:tcPr>
            <w:tcW w:w="2371" w:type="dxa"/>
          </w:tcPr>
          <w:p w14:paraId="18073997" w14:textId="66112230" w:rsidR="130DC7CB" w:rsidRDefault="1651141A" w:rsidP="7AB69E5A">
            <w:pPr>
              <w:jc w:val="center"/>
            </w:pPr>
            <w:r>
              <w:t>0.3243</w:t>
            </w:r>
          </w:p>
        </w:tc>
      </w:tr>
      <w:tr w:rsidR="130DC7CB" w14:paraId="1FE890D1" w14:textId="77777777" w:rsidTr="1651141A">
        <w:trPr>
          <w:trHeight w:val="331"/>
          <w:jc w:val="center"/>
        </w:trPr>
        <w:tc>
          <w:tcPr>
            <w:tcW w:w="2371" w:type="dxa"/>
          </w:tcPr>
          <w:p w14:paraId="72D504B1" w14:textId="1701938D" w:rsidR="130DC7CB" w:rsidRDefault="1651141A" w:rsidP="7AB69E5A">
            <w:pPr>
              <w:jc w:val="center"/>
            </w:pPr>
            <w:r>
              <w:t>Inertia</w:t>
            </w:r>
          </w:p>
        </w:tc>
        <w:tc>
          <w:tcPr>
            <w:tcW w:w="2371" w:type="dxa"/>
          </w:tcPr>
          <w:p w14:paraId="13834FF3" w14:textId="7D0F514B" w:rsidR="130DC7CB" w:rsidRDefault="1651141A" w:rsidP="7AB69E5A">
            <w:pPr>
              <w:jc w:val="center"/>
            </w:pPr>
            <w:r>
              <w:t>91.93</w:t>
            </w:r>
          </w:p>
        </w:tc>
      </w:tr>
    </w:tbl>
    <w:p w14:paraId="0E4D1193" w14:textId="02C67180" w:rsidR="00B101B1" w:rsidRDefault="00B101B1" w:rsidP="00B101B1">
      <w:pPr>
        <w:pStyle w:val="Heading2"/>
      </w:pPr>
    </w:p>
    <w:p w14:paraId="59CA494D" w14:textId="02C67180" w:rsidR="00D3591F" w:rsidRPr="00D3591F" w:rsidRDefault="00D3591F" w:rsidP="00D3591F"/>
    <w:p w14:paraId="5D1D0EE6" w14:textId="09C83680" w:rsidR="00323FCF" w:rsidRPr="00DA7EC5" w:rsidRDefault="009343AC" w:rsidP="009343AC">
      <w:pPr>
        <w:pStyle w:val="Heading2"/>
        <w:numPr>
          <w:ilvl w:val="1"/>
          <w:numId w:val="2"/>
        </w:numPr>
        <w:rPr>
          <w:b/>
        </w:rPr>
      </w:pPr>
      <w:bookmarkStart w:id="15" w:name="_Toc12472811"/>
      <w:r w:rsidRPr="00DA7EC5">
        <w:rPr>
          <w:b/>
        </w:rPr>
        <w:t>Annex IV</w:t>
      </w:r>
      <w:r w:rsidR="00B101B1" w:rsidRPr="00DA7EC5">
        <w:rPr>
          <w:b/>
        </w:rPr>
        <w:t xml:space="preserve"> – Cluster Heat</w:t>
      </w:r>
      <w:r w:rsidR="001F2D11">
        <w:rPr>
          <w:b/>
        </w:rPr>
        <w:t>m</w:t>
      </w:r>
      <w:r w:rsidR="00B101B1" w:rsidRPr="00DA7EC5">
        <w:rPr>
          <w:b/>
        </w:rPr>
        <w:t>ap</w:t>
      </w:r>
      <w:bookmarkEnd w:id="15"/>
    </w:p>
    <w:p w14:paraId="6EA8F891" w14:textId="51A9C39F" w:rsidR="009343AC" w:rsidRDefault="00704D62" w:rsidP="00704D62">
      <w:pPr>
        <w:jc w:val="center"/>
      </w:pPr>
      <w:r>
        <w:rPr>
          <w:noProof/>
        </w:rPr>
        <w:drawing>
          <wp:inline distT="0" distB="0" distL="0" distR="0" wp14:anchorId="78C27DC7" wp14:editId="662A2795">
            <wp:extent cx="3341267" cy="3010709"/>
            <wp:effectExtent l="0" t="0" r="0" b="0"/>
            <wp:docPr id="1511499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341267" cy="3010709"/>
                    </a:xfrm>
                    <a:prstGeom prst="rect">
                      <a:avLst/>
                    </a:prstGeom>
                  </pic:spPr>
                </pic:pic>
              </a:graphicData>
            </a:graphic>
          </wp:inline>
        </w:drawing>
      </w:r>
    </w:p>
    <w:p w14:paraId="01E62CF8" w14:textId="02C67180" w:rsidR="009343AC" w:rsidRDefault="009343AC" w:rsidP="00C40A4F"/>
    <w:p w14:paraId="7C5673D9" w14:textId="02C67180" w:rsidR="00D3591F" w:rsidRDefault="00D3591F" w:rsidP="00C40A4F"/>
    <w:p w14:paraId="5AF474B2" w14:textId="51AF1100" w:rsidR="00C72B90" w:rsidRPr="00C3658A" w:rsidRDefault="189833FE" w:rsidP="189833FE">
      <w:pPr>
        <w:pStyle w:val="Heading2"/>
        <w:numPr>
          <w:ilvl w:val="1"/>
          <w:numId w:val="2"/>
        </w:numPr>
        <w:rPr>
          <w:b/>
          <w:bCs/>
        </w:rPr>
      </w:pPr>
      <w:bookmarkStart w:id="16" w:name="_Toc12472812"/>
      <w:r w:rsidRPr="189833FE">
        <w:rPr>
          <w:b/>
          <w:bCs/>
        </w:rPr>
        <w:lastRenderedPageBreak/>
        <w:t>Annex V – Cluster-Provinces Classification</w:t>
      </w:r>
      <w:bookmarkEnd w:id="16"/>
    </w:p>
    <w:p w14:paraId="6DB05EBE" w14:textId="51AF1100" w:rsidR="00277287" w:rsidRDefault="00277287" w:rsidP="00C40A4F"/>
    <w:p w14:paraId="39B5E165" w14:textId="51AF1100" w:rsidR="00FD1AAB" w:rsidRDefault="189833FE" w:rsidP="00C40A4F">
      <w:r>
        <w:t>Tabular representation of the results</w:t>
      </w:r>
    </w:p>
    <w:p w14:paraId="14B4EB95" w14:textId="51AF1100" w:rsidR="00277287" w:rsidRPr="00756C2B" w:rsidRDefault="00277287" w:rsidP="00C40A4F"/>
    <w:p w14:paraId="784E532D" w14:textId="67F2BE03" w:rsidR="00BA0B41" w:rsidRDefault="000D31B6" w:rsidP="00C40A4F">
      <w:r w:rsidRPr="000D31B6">
        <w:rPr>
          <w:noProof/>
        </w:rPr>
        <w:drawing>
          <wp:inline distT="0" distB="0" distL="0" distR="0" wp14:anchorId="7A3D9643" wp14:editId="14A9860E">
            <wp:extent cx="5943600" cy="3807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07460"/>
                    </a:xfrm>
                    <a:prstGeom prst="rect">
                      <a:avLst/>
                    </a:prstGeom>
                    <a:noFill/>
                    <a:ln>
                      <a:noFill/>
                    </a:ln>
                  </pic:spPr>
                </pic:pic>
              </a:graphicData>
            </a:graphic>
          </wp:inline>
        </w:drawing>
      </w:r>
    </w:p>
    <w:p w14:paraId="21A1580F" w14:textId="77777777" w:rsidR="00FC3343" w:rsidRDefault="00FC3343" w:rsidP="00C40A4F"/>
    <w:p w14:paraId="573E601A" w14:textId="77777777" w:rsidR="00FC3343" w:rsidRDefault="00FC3343" w:rsidP="00C40A4F"/>
    <w:p w14:paraId="080A524C" w14:textId="77777777" w:rsidR="00FC3343" w:rsidRDefault="00FC3343" w:rsidP="00C40A4F"/>
    <w:p w14:paraId="02B73D9B" w14:textId="77777777" w:rsidR="00FC3343" w:rsidRDefault="00FC3343" w:rsidP="00C40A4F"/>
    <w:p w14:paraId="09F5C7BE" w14:textId="77777777" w:rsidR="00FC3343" w:rsidRDefault="00FC3343" w:rsidP="00C40A4F"/>
    <w:p w14:paraId="4C450B7A" w14:textId="77777777" w:rsidR="00FC3343" w:rsidRDefault="00FC3343" w:rsidP="00C40A4F"/>
    <w:p w14:paraId="2352A7D6" w14:textId="77777777" w:rsidR="00FC3343" w:rsidRDefault="00FC3343" w:rsidP="00C40A4F"/>
    <w:p w14:paraId="05423C50" w14:textId="77777777" w:rsidR="00FC3343" w:rsidRDefault="00FC3343" w:rsidP="00C40A4F"/>
    <w:p w14:paraId="4FC7C5AB" w14:textId="77777777" w:rsidR="00FC3343" w:rsidRDefault="00FC3343" w:rsidP="00C40A4F"/>
    <w:p w14:paraId="32FD2B59" w14:textId="77777777" w:rsidR="00FC3343" w:rsidRDefault="00FC3343" w:rsidP="00C40A4F"/>
    <w:p w14:paraId="1D1E1321" w14:textId="77777777" w:rsidR="00FC3343" w:rsidRDefault="00FC3343" w:rsidP="00C40A4F"/>
    <w:p w14:paraId="1AD11CEF" w14:textId="77777777" w:rsidR="00FC3343" w:rsidRDefault="00FC3343" w:rsidP="00C40A4F"/>
    <w:p w14:paraId="09E43F67" w14:textId="75E7F343" w:rsidR="00C72B90" w:rsidRPr="00C3658A" w:rsidRDefault="009E5C5B" w:rsidP="008D545C">
      <w:pPr>
        <w:pStyle w:val="Heading2"/>
        <w:numPr>
          <w:ilvl w:val="1"/>
          <w:numId w:val="2"/>
        </w:numPr>
        <w:rPr>
          <w:b/>
        </w:rPr>
      </w:pPr>
      <w:bookmarkStart w:id="17" w:name="_Toc12472813"/>
      <w:r w:rsidRPr="00C3658A">
        <w:rPr>
          <w:b/>
          <w:bCs/>
        </w:rPr>
        <w:t>Annex</w:t>
      </w:r>
      <w:r w:rsidR="00C72B90" w:rsidRPr="00C3658A">
        <w:rPr>
          <w:b/>
          <w:bCs/>
        </w:rPr>
        <w:t xml:space="preserve"> V</w:t>
      </w:r>
      <w:r w:rsidR="00C3658A">
        <w:rPr>
          <w:b/>
          <w:bCs/>
        </w:rPr>
        <w:t>I</w:t>
      </w:r>
      <w:r w:rsidR="00DA7EC5">
        <w:rPr>
          <w:b/>
          <w:bCs/>
        </w:rPr>
        <w:t xml:space="preserve"> – Map of the Clusters</w:t>
      </w:r>
      <w:bookmarkEnd w:id="17"/>
    </w:p>
    <w:p w14:paraId="70024CFE" w14:textId="77777777" w:rsidR="00FC3343" w:rsidRDefault="00FC3343" w:rsidP="00772B79"/>
    <w:p w14:paraId="70E354FB" w14:textId="2350A8E2" w:rsidR="00FC3343" w:rsidRDefault="007849FE" w:rsidP="00772B79">
      <w:r>
        <w:t>Visual representation of the results</w:t>
      </w:r>
    </w:p>
    <w:p w14:paraId="686B9C46" w14:textId="77777777" w:rsidR="00FC3343" w:rsidRDefault="00FC3343" w:rsidP="00772B79"/>
    <w:p w14:paraId="3B1C9F22" w14:textId="0A8A2613" w:rsidR="00772B79" w:rsidRDefault="007849FE" w:rsidP="00772B79">
      <w:pPr>
        <w:sectPr w:rsidR="00772B79" w:rsidSect="00A9544C">
          <w:pgSz w:w="12240" w:h="15840"/>
          <w:pgMar w:top="1440" w:right="1440" w:bottom="1440" w:left="1440" w:header="720" w:footer="720" w:gutter="0"/>
          <w:pgNumType w:start="1"/>
          <w:cols w:space="720"/>
          <w:titlePg/>
          <w:docGrid w:linePitch="360"/>
        </w:sectPr>
      </w:pPr>
      <w:r>
        <w:rPr>
          <w:noProof/>
        </w:rPr>
        <w:drawing>
          <wp:inline distT="0" distB="0" distL="0" distR="0" wp14:anchorId="35D54831" wp14:editId="523F3D51">
            <wp:extent cx="5600082" cy="3788971"/>
            <wp:effectExtent l="19050" t="19050" r="19685" b="21590"/>
            <wp:docPr id="829571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600082" cy="3788971"/>
                    </a:xfrm>
                    <a:prstGeom prst="rect">
                      <a:avLst/>
                    </a:prstGeom>
                    <a:ln>
                      <a:solidFill>
                        <a:schemeClr val="bg1">
                          <a:lumMod val="75000"/>
                        </a:schemeClr>
                      </a:solidFill>
                    </a:ln>
                  </pic:spPr>
                </pic:pic>
              </a:graphicData>
            </a:graphic>
          </wp:inline>
        </w:drawing>
      </w:r>
    </w:p>
    <w:p w14:paraId="64ADE446" w14:textId="5192E70F" w:rsidR="00772B79" w:rsidRPr="006F591F" w:rsidRDefault="00772B79" w:rsidP="00772B79">
      <w:pPr>
        <w:pStyle w:val="Heading2"/>
        <w:numPr>
          <w:ilvl w:val="1"/>
          <w:numId w:val="2"/>
        </w:numPr>
        <w:rPr>
          <w:b/>
          <w:bCs/>
        </w:rPr>
      </w:pPr>
      <w:bookmarkStart w:id="18" w:name="_Toc12472814"/>
      <w:r w:rsidRPr="006F591F">
        <w:rPr>
          <w:b/>
          <w:bCs/>
        </w:rPr>
        <w:lastRenderedPageBreak/>
        <w:t xml:space="preserve">Annex VII </w:t>
      </w:r>
      <w:r w:rsidR="006F591F" w:rsidRPr="006F591F">
        <w:rPr>
          <w:b/>
          <w:bCs/>
        </w:rPr>
        <w:t>–</w:t>
      </w:r>
      <w:r w:rsidRPr="006F591F">
        <w:rPr>
          <w:b/>
          <w:bCs/>
        </w:rPr>
        <w:t xml:space="preserve"> </w:t>
      </w:r>
      <w:r w:rsidR="006F591F" w:rsidRPr="006F591F">
        <w:rPr>
          <w:b/>
          <w:bCs/>
        </w:rPr>
        <w:t xml:space="preserve">Cluster </w:t>
      </w:r>
      <w:r w:rsidR="000B504E">
        <w:rPr>
          <w:b/>
          <w:bCs/>
        </w:rPr>
        <w:t xml:space="preserve">Feature </w:t>
      </w:r>
      <w:r w:rsidR="006F591F" w:rsidRPr="006F591F">
        <w:rPr>
          <w:b/>
          <w:bCs/>
        </w:rPr>
        <w:t>Averages</w:t>
      </w:r>
      <w:bookmarkEnd w:id="18"/>
    </w:p>
    <w:p w14:paraId="2C893836" w14:textId="77777777" w:rsidR="006F591F" w:rsidRDefault="006F591F" w:rsidP="00772B79"/>
    <w:p w14:paraId="6820F471" w14:textId="1C1D5464" w:rsidR="009C7995" w:rsidRDefault="00FC3343" w:rsidP="00772B79">
      <w:r>
        <w:t>Average of all features for each of the clusters.</w:t>
      </w:r>
    </w:p>
    <w:p w14:paraId="03217397" w14:textId="77777777" w:rsidR="009C7995" w:rsidRDefault="009C7995" w:rsidP="00772B79"/>
    <w:p w14:paraId="49B95B98" w14:textId="3C0F2848" w:rsidR="00772B79" w:rsidRDefault="00772B79" w:rsidP="00772B79">
      <w:r w:rsidRPr="00772B79">
        <w:rPr>
          <w:noProof/>
        </w:rPr>
        <w:drawing>
          <wp:inline distT="0" distB="0" distL="0" distR="0" wp14:anchorId="17D6D834" wp14:editId="47BA886E">
            <wp:extent cx="7998960" cy="75129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93986" cy="788393"/>
                    </a:xfrm>
                    <a:prstGeom prst="rect">
                      <a:avLst/>
                    </a:prstGeom>
                    <a:noFill/>
                    <a:ln>
                      <a:noFill/>
                    </a:ln>
                  </pic:spPr>
                </pic:pic>
              </a:graphicData>
            </a:graphic>
          </wp:inline>
        </w:drawing>
      </w:r>
    </w:p>
    <w:p w14:paraId="370353C7" w14:textId="77777777" w:rsidR="009C7995" w:rsidRDefault="009C7995" w:rsidP="00772B79"/>
    <w:p w14:paraId="52171312" w14:textId="77777777" w:rsidR="009C7995" w:rsidRDefault="009C7995" w:rsidP="00772B79"/>
    <w:p w14:paraId="3BA50896" w14:textId="77777777" w:rsidR="009C7995" w:rsidRDefault="009C7995" w:rsidP="00772B79"/>
    <w:p w14:paraId="04DB7761" w14:textId="1F778743" w:rsidR="009C7995" w:rsidRDefault="00661D1E" w:rsidP="00772B79">
      <w:r w:rsidRPr="00661D1E">
        <w:rPr>
          <w:noProof/>
        </w:rPr>
        <w:drawing>
          <wp:inline distT="0" distB="0" distL="0" distR="0" wp14:anchorId="0F79F27F" wp14:editId="5FE8CC1B">
            <wp:extent cx="8229600" cy="7866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29600" cy="786689"/>
                    </a:xfrm>
                    <a:prstGeom prst="rect">
                      <a:avLst/>
                    </a:prstGeom>
                    <a:noFill/>
                    <a:ln>
                      <a:noFill/>
                    </a:ln>
                  </pic:spPr>
                </pic:pic>
              </a:graphicData>
            </a:graphic>
          </wp:inline>
        </w:drawing>
      </w:r>
    </w:p>
    <w:p w14:paraId="09AC280E" w14:textId="77777777" w:rsidR="00BF0CED" w:rsidRDefault="00BF0CED" w:rsidP="00772B79"/>
    <w:p w14:paraId="03737096" w14:textId="49ED80B0" w:rsidR="00BF0CED" w:rsidRPr="00C40A4F" w:rsidRDefault="00BF0CED" w:rsidP="00772B79"/>
    <w:sectPr w:rsidR="00BF0CED" w:rsidRPr="00C40A4F" w:rsidSect="00772B7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2EBF5" w14:textId="77777777" w:rsidR="00186D72" w:rsidRDefault="00186D72" w:rsidP="00EC474F">
      <w:pPr>
        <w:spacing w:after="0" w:line="240" w:lineRule="auto"/>
      </w:pPr>
      <w:r>
        <w:separator/>
      </w:r>
    </w:p>
  </w:endnote>
  <w:endnote w:type="continuationSeparator" w:id="0">
    <w:p w14:paraId="40BE4B91" w14:textId="77777777" w:rsidR="00186D72" w:rsidRDefault="00186D72" w:rsidP="00EC474F">
      <w:pPr>
        <w:spacing w:after="0" w:line="240" w:lineRule="auto"/>
      </w:pPr>
      <w:r>
        <w:continuationSeparator/>
      </w:r>
    </w:p>
  </w:endnote>
  <w:endnote w:type="continuationNotice" w:id="1">
    <w:p w14:paraId="5EF7B191" w14:textId="77777777" w:rsidR="00186D72" w:rsidRDefault="00186D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675161"/>
      <w:docPartObj>
        <w:docPartGallery w:val="Page Numbers (Bottom of Page)"/>
        <w:docPartUnique/>
      </w:docPartObj>
    </w:sdtPr>
    <w:sdtEndPr>
      <w:rPr>
        <w:noProof/>
      </w:rPr>
    </w:sdtEndPr>
    <w:sdtContent>
      <w:p w14:paraId="516A5F94" w14:textId="01CB3440" w:rsidR="00320680" w:rsidRDefault="003206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02927" w14:textId="77777777" w:rsidR="00EC474F" w:rsidRDefault="00EC4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5291" w14:textId="6E0707D7" w:rsidR="00320680" w:rsidRDefault="00320680">
    <w:pPr>
      <w:pStyle w:val="Footer"/>
      <w:jc w:val="center"/>
    </w:pPr>
  </w:p>
  <w:p w14:paraId="7EFC3557" w14:textId="77777777" w:rsidR="00A9544C" w:rsidRDefault="00A954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584566"/>
      <w:docPartObj>
        <w:docPartGallery w:val="Page Numbers (Bottom of Page)"/>
        <w:docPartUnique/>
      </w:docPartObj>
    </w:sdtPr>
    <w:sdtEndPr>
      <w:rPr>
        <w:noProof/>
      </w:rPr>
    </w:sdtEndPr>
    <w:sdtContent>
      <w:p w14:paraId="42223616" w14:textId="77777777" w:rsidR="00127395" w:rsidRDefault="001273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1BAC4" w14:textId="77777777" w:rsidR="00127395" w:rsidRDefault="00127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013BD" w14:textId="77777777" w:rsidR="00186D72" w:rsidRDefault="00186D72" w:rsidP="00EC474F">
      <w:pPr>
        <w:spacing w:after="0" w:line="240" w:lineRule="auto"/>
      </w:pPr>
      <w:r>
        <w:separator/>
      </w:r>
    </w:p>
  </w:footnote>
  <w:footnote w:type="continuationSeparator" w:id="0">
    <w:p w14:paraId="2CE50A5A" w14:textId="77777777" w:rsidR="00186D72" w:rsidRDefault="00186D72" w:rsidP="00EC474F">
      <w:pPr>
        <w:spacing w:after="0" w:line="240" w:lineRule="auto"/>
      </w:pPr>
      <w:r>
        <w:continuationSeparator/>
      </w:r>
    </w:p>
  </w:footnote>
  <w:footnote w:type="continuationNotice" w:id="1">
    <w:p w14:paraId="261E65F3" w14:textId="77777777" w:rsidR="00186D72" w:rsidRDefault="00186D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3A2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218D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350A2"/>
    <w:multiLevelType w:val="hybridMultilevel"/>
    <w:tmpl w:val="53821134"/>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3" w15:restartNumberingAfterBreak="0">
    <w:nsid w:val="3EEA6258"/>
    <w:multiLevelType w:val="hybridMultilevel"/>
    <w:tmpl w:val="379E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725F0"/>
    <w:multiLevelType w:val="hybridMultilevel"/>
    <w:tmpl w:val="67EC21BE"/>
    <w:lvl w:ilvl="0" w:tplc="D18EE92A">
      <w:start w:val="1"/>
      <w:numFmt w:val="bullet"/>
      <w:lvlText w:val=""/>
      <w:lvlJc w:val="left"/>
      <w:pPr>
        <w:ind w:left="720" w:hanging="360"/>
      </w:pPr>
      <w:rPr>
        <w:rFonts w:ascii="Symbol" w:hAnsi="Symbol" w:hint="default"/>
      </w:rPr>
    </w:lvl>
    <w:lvl w:ilvl="1" w:tplc="881AB57A">
      <w:start w:val="1"/>
      <w:numFmt w:val="bullet"/>
      <w:lvlText w:val="o"/>
      <w:lvlJc w:val="left"/>
      <w:pPr>
        <w:ind w:left="1440" w:hanging="360"/>
      </w:pPr>
      <w:rPr>
        <w:rFonts w:ascii="Courier New" w:hAnsi="Courier New" w:hint="default"/>
      </w:rPr>
    </w:lvl>
    <w:lvl w:ilvl="2" w:tplc="90EE78EA">
      <w:start w:val="1"/>
      <w:numFmt w:val="bullet"/>
      <w:lvlText w:val=""/>
      <w:lvlJc w:val="left"/>
      <w:pPr>
        <w:ind w:left="2160" w:hanging="360"/>
      </w:pPr>
      <w:rPr>
        <w:rFonts w:ascii="Wingdings" w:hAnsi="Wingdings" w:hint="default"/>
      </w:rPr>
    </w:lvl>
    <w:lvl w:ilvl="3" w:tplc="42ECC19A">
      <w:start w:val="1"/>
      <w:numFmt w:val="bullet"/>
      <w:lvlText w:val=""/>
      <w:lvlJc w:val="left"/>
      <w:pPr>
        <w:ind w:left="2880" w:hanging="360"/>
      </w:pPr>
      <w:rPr>
        <w:rFonts w:ascii="Symbol" w:hAnsi="Symbol" w:hint="default"/>
      </w:rPr>
    </w:lvl>
    <w:lvl w:ilvl="4" w:tplc="DAAA33B6">
      <w:start w:val="1"/>
      <w:numFmt w:val="bullet"/>
      <w:lvlText w:val="o"/>
      <w:lvlJc w:val="left"/>
      <w:pPr>
        <w:ind w:left="3600" w:hanging="360"/>
      </w:pPr>
      <w:rPr>
        <w:rFonts w:ascii="Courier New" w:hAnsi="Courier New" w:hint="default"/>
      </w:rPr>
    </w:lvl>
    <w:lvl w:ilvl="5" w:tplc="47A29A20">
      <w:start w:val="1"/>
      <w:numFmt w:val="bullet"/>
      <w:lvlText w:val=""/>
      <w:lvlJc w:val="left"/>
      <w:pPr>
        <w:ind w:left="4320" w:hanging="360"/>
      </w:pPr>
      <w:rPr>
        <w:rFonts w:ascii="Wingdings" w:hAnsi="Wingdings" w:hint="default"/>
      </w:rPr>
    </w:lvl>
    <w:lvl w:ilvl="6" w:tplc="3E661B5A">
      <w:start w:val="1"/>
      <w:numFmt w:val="bullet"/>
      <w:lvlText w:val=""/>
      <w:lvlJc w:val="left"/>
      <w:pPr>
        <w:ind w:left="5040" w:hanging="360"/>
      </w:pPr>
      <w:rPr>
        <w:rFonts w:ascii="Symbol" w:hAnsi="Symbol" w:hint="default"/>
      </w:rPr>
    </w:lvl>
    <w:lvl w:ilvl="7" w:tplc="AC025D9C">
      <w:start w:val="1"/>
      <w:numFmt w:val="bullet"/>
      <w:lvlText w:val="o"/>
      <w:lvlJc w:val="left"/>
      <w:pPr>
        <w:ind w:left="5760" w:hanging="360"/>
      </w:pPr>
      <w:rPr>
        <w:rFonts w:ascii="Courier New" w:hAnsi="Courier New" w:hint="default"/>
      </w:rPr>
    </w:lvl>
    <w:lvl w:ilvl="8" w:tplc="BA226154">
      <w:start w:val="1"/>
      <w:numFmt w:val="bullet"/>
      <w:lvlText w:val=""/>
      <w:lvlJc w:val="left"/>
      <w:pPr>
        <w:ind w:left="6480" w:hanging="360"/>
      </w:pPr>
      <w:rPr>
        <w:rFonts w:ascii="Wingdings" w:hAnsi="Wingdings" w:hint="default"/>
      </w:rPr>
    </w:lvl>
  </w:abstractNum>
  <w:abstractNum w:abstractNumId="5" w15:restartNumberingAfterBreak="0">
    <w:nsid w:val="64776BB0"/>
    <w:multiLevelType w:val="multilevel"/>
    <w:tmpl w:val="10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A46D63"/>
    <w:multiLevelType w:val="hybridMultilevel"/>
    <w:tmpl w:val="379E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F431E"/>
    <w:multiLevelType w:val="hybridMultilevel"/>
    <w:tmpl w:val="166C9FB4"/>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595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B6353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7"/>
  </w:num>
  <w:num w:numId="5">
    <w:abstractNumId w:val="2"/>
  </w:num>
  <w:num w:numId="6">
    <w:abstractNumId w:val="3"/>
  </w:num>
  <w:num w:numId="7">
    <w:abstractNumId w:val="6"/>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6E7F2A"/>
    <w:rsid w:val="000002D1"/>
    <w:rsid w:val="00002C01"/>
    <w:rsid w:val="00003E37"/>
    <w:rsid w:val="000042C5"/>
    <w:rsid w:val="00006164"/>
    <w:rsid w:val="00006818"/>
    <w:rsid w:val="00006B3B"/>
    <w:rsid w:val="000074B8"/>
    <w:rsid w:val="00010294"/>
    <w:rsid w:val="000102BD"/>
    <w:rsid w:val="000107D9"/>
    <w:rsid w:val="00012434"/>
    <w:rsid w:val="00012782"/>
    <w:rsid w:val="00015D5B"/>
    <w:rsid w:val="0001673D"/>
    <w:rsid w:val="000207B1"/>
    <w:rsid w:val="00020B01"/>
    <w:rsid w:val="0002166A"/>
    <w:rsid w:val="00022C73"/>
    <w:rsid w:val="00030006"/>
    <w:rsid w:val="00030161"/>
    <w:rsid w:val="00030D85"/>
    <w:rsid w:val="00031647"/>
    <w:rsid w:val="00032918"/>
    <w:rsid w:val="00032D99"/>
    <w:rsid w:val="00033F23"/>
    <w:rsid w:val="0003519A"/>
    <w:rsid w:val="000351D4"/>
    <w:rsid w:val="00036E59"/>
    <w:rsid w:val="00036E7E"/>
    <w:rsid w:val="00037EE5"/>
    <w:rsid w:val="00037EF0"/>
    <w:rsid w:val="00041500"/>
    <w:rsid w:val="00041B26"/>
    <w:rsid w:val="000433FB"/>
    <w:rsid w:val="00043BA1"/>
    <w:rsid w:val="00044516"/>
    <w:rsid w:val="00044A65"/>
    <w:rsid w:val="0004506A"/>
    <w:rsid w:val="000505C2"/>
    <w:rsid w:val="00050DFC"/>
    <w:rsid w:val="00051BF7"/>
    <w:rsid w:val="00052855"/>
    <w:rsid w:val="00054857"/>
    <w:rsid w:val="000549D0"/>
    <w:rsid w:val="000551D9"/>
    <w:rsid w:val="0005538F"/>
    <w:rsid w:val="000557DC"/>
    <w:rsid w:val="00055E06"/>
    <w:rsid w:val="000569A5"/>
    <w:rsid w:val="00056A56"/>
    <w:rsid w:val="00057EEB"/>
    <w:rsid w:val="000613EC"/>
    <w:rsid w:val="000632E6"/>
    <w:rsid w:val="00065DF4"/>
    <w:rsid w:val="000668EF"/>
    <w:rsid w:val="00071885"/>
    <w:rsid w:val="00071A87"/>
    <w:rsid w:val="00072747"/>
    <w:rsid w:val="00072BDC"/>
    <w:rsid w:val="00072F11"/>
    <w:rsid w:val="0007353E"/>
    <w:rsid w:val="0007565F"/>
    <w:rsid w:val="00080AAA"/>
    <w:rsid w:val="00080D26"/>
    <w:rsid w:val="00083884"/>
    <w:rsid w:val="00084245"/>
    <w:rsid w:val="00085CB5"/>
    <w:rsid w:val="00086D25"/>
    <w:rsid w:val="00092F9E"/>
    <w:rsid w:val="000936B0"/>
    <w:rsid w:val="00093DAA"/>
    <w:rsid w:val="000A0655"/>
    <w:rsid w:val="000A10FB"/>
    <w:rsid w:val="000A46E6"/>
    <w:rsid w:val="000A6513"/>
    <w:rsid w:val="000A71CD"/>
    <w:rsid w:val="000B0271"/>
    <w:rsid w:val="000B08F9"/>
    <w:rsid w:val="000B1243"/>
    <w:rsid w:val="000B1B8D"/>
    <w:rsid w:val="000B1FDC"/>
    <w:rsid w:val="000B23C2"/>
    <w:rsid w:val="000B504E"/>
    <w:rsid w:val="000B62C2"/>
    <w:rsid w:val="000B6496"/>
    <w:rsid w:val="000B7A16"/>
    <w:rsid w:val="000C305E"/>
    <w:rsid w:val="000C3839"/>
    <w:rsid w:val="000C5E10"/>
    <w:rsid w:val="000C6C86"/>
    <w:rsid w:val="000D0B31"/>
    <w:rsid w:val="000D1377"/>
    <w:rsid w:val="000D31B6"/>
    <w:rsid w:val="000D525A"/>
    <w:rsid w:val="000D5914"/>
    <w:rsid w:val="000D5BDA"/>
    <w:rsid w:val="000E552D"/>
    <w:rsid w:val="000F3C66"/>
    <w:rsid w:val="000F7088"/>
    <w:rsid w:val="000F7372"/>
    <w:rsid w:val="000F79CA"/>
    <w:rsid w:val="000F7D6B"/>
    <w:rsid w:val="000F7F97"/>
    <w:rsid w:val="0010040D"/>
    <w:rsid w:val="00100AF3"/>
    <w:rsid w:val="00101F95"/>
    <w:rsid w:val="001031D5"/>
    <w:rsid w:val="001034C3"/>
    <w:rsid w:val="00104555"/>
    <w:rsid w:val="00106352"/>
    <w:rsid w:val="00107408"/>
    <w:rsid w:val="001109F0"/>
    <w:rsid w:val="00110C88"/>
    <w:rsid w:val="00110DB8"/>
    <w:rsid w:val="0011110F"/>
    <w:rsid w:val="001125F1"/>
    <w:rsid w:val="00112624"/>
    <w:rsid w:val="00114546"/>
    <w:rsid w:val="00114619"/>
    <w:rsid w:val="0011535A"/>
    <w:rsid w:val="00115649"/>
    <w:rsid w:val="00115B40"/>
    <w:rsid w:val="00115D5E"/>
    <w:rsid w:val="00116152"/>
    <w:rsid w:val="00116AAC"/>
    <w:rsid w:val="001174B3"/>
    <w:rsid w:val="00117857"/>
    <w:rsid w:val="001218A2"/>
    <w:rsid w:val="00121BFF"/>
    <w:rsid w:val="00124BFB"/>
    <w:rsid w:val="0012653A"/>
    <w:rsid w:val="00127395"/>
    <w:rsid w:val="001274CD"/>
    <w:rsid w:val="00130B0A"/>
    <w:rsid w:val="0013150D"/>
    <w:rsid w:val="00134391"/>
    <w:rsid w:val="00141213"/>
    <w:rsid w:val="001417E6"/>
    <w:rsid w:val="00147155"/>
    <w:rsid w:val="001471E4"/>
    <w:rsid w:val="0014739F"/>
    <w:rsid w:val="00147898"/>
    <w:rsid w:val="001478D5"/>
    <w:rsid w:val="00150D37"/>
    <w:rsid w:val="0015193F"/>
    <w:rsid w:val="00151B7E"/>
    <w:rsid w:val="00152615"/>
    <w:rsid w:val="0015301A"/>
    <w:rsid w:val="00162368"/>
    <w:rsid w:val="001625FD"/>
    <w:rsid w:val="00162B43"/>
    <w:rsid w:val="00162CAA"/>
    <w:rsid w:val="0016347A"/>
    <w:rsid w:val="001651B1"/>
    <w:rsid w:val="00165FA8"/>
    <w:rsid w:val="001664C8"/>
    <w:rsid w:val="00166CD3"/>
    <w:rsid w:val="00167F55"/>
    <w:rsid w:val="00172017"/>
    <w:rsid w:val="00172F92"/>
    <w:rsid w:val="00173943"/>
    <w:rsid w:val="0017462C"/>
    <w:rsid w:val="00175C7A"/>
    <w:rsid w:val="001766A8"/>
    <w:rsid w:val="00176C47"/>
    <w:rsid w:val="00177899"/>
    <w:rsid w:val="00180994"/>
    <w:rsid w:val="00180EAB"/>
    <w:rsid w:val="001817FF"/>
    <w:rsid w:val="00182033"/>
    <w:rsid w:val="001821DC"/>
    <w:rsid w:val="001825C5"/>
    <w:rsid w:val="0018365F"/>
    <w:rsid w:val="00183E9E"/>
    <w:rsid w:val="00184DBF"/>
    <w:rsid w:val="00185EA2"/>
    <w:rsid w:val="00186D72"/>
    <w:rsid w:val="001873EB"/>
    <w:rsid w:val="0018791A"/>
    <w:rsid w:val="0018799B"/>
    <w:rsid w:val="00191F26"/>
    <w:rsid w:val="00192C2C"/>
    <w:rsid w:val="00193DA4"/>
    <w:rsid w:val="00194F8C"/>
    <w:rsid w:val="001963AC"/>
    <w:rsid w:val="00196509"/>
    <w:rsid w:val="0019685C"/>
    <w:rsid w:val="00197437"/>
    <w:rsid w:val="001A0B5E"/>
    <w:rsid w:val="001A0CCE"/>
    <w:rsid w:val="001A115B"/>
    <w:rsid w:val="001A35DE"/>
    <w:rsid w:val="001A40F5"/>
    <w:rsid w:val="001A420D"/>
    <w:rsid w:val="001A4915"/>
    <w:rsid w:val="001A5C92"/>
    <w:rsid w:val="001A68E1"/>
    <w:rsid w:val="001A75E6"/>
    <w:rsid w:val="001B18C6"/>
    <w:rsid w:val="001B59CF"/>
    <w:rsid w:val="001B5A9D"/>
    <w:rsid w:val="001B63DE"/>
    <w:rsid w:val="001B6C38"/>
    <w:rsid w:val="001C0542"/>
    <w:rsid w:val="001C0771"/>
    <w:rsid w:val="001C0D84"/>
    <w:rsid w:val="001C1588"/>
    <w:rsid w:val="001C1DE3"/>
    <w:rsid w:val="001C3AAF"/>
    <w:rsid w:val="001C40B8"/>
    <w:rsid w:val="001C4418"/>
    <w:rsid w:val="001C474B"/>
    <w:rsid w:val="001C4E6D"/>
    <w:rsid w:val="001C558D"/>
    <w:rsid w:val="001C78F8"/>
    <w:rsid w:val="001C7CB4"/>
    <w:rsid w:val="001D073B"/>
    <w:rsid w:val="001D2128"/>
    <w:rsid w:val="001D47FF"/>
    <w:rsid w:val="001D481F"/>
    <w:rsid w:val="001D4DC5"/>
    <w:rsid w:val="001D4EB2"/>
    <w:rsid w:val="001D594A"/>
    <w:rsid w:val="001D6FDA"/>
    <w:rsid w:val="001D7D60"/>
    <w:rsid w:val="001E412B"/>
    <w:rsid w:val="001E610C"/>
    <w:rsid w:val="001E748A"/>
    <w:rsid w:val="001E757C"/>
    <w:rsid w:val="001E7693"/>
    <w:rsid w:val="001E78DF"/>
    <w:rsid w:val="001E7E63"/>
    <w:rsid w:val="001F0F21"/>
    <w:rsid w:val="001F0F22"/>
    <w:rsid w:val="001F1220"/>
    <w:rsid w:val="001F1CBF"/>
    <w:rsid w:val="001F2104"/>
    <w:rsid w:val="001F27A9"/>
    <w:rsid w:val="001F2D11"/>
    <w:rsid w:val="001F3B0B"/>
    <w:rsid w:val="001F3C14"/>
    <w:rsid w:val="001F3C7F"/>
    <w:rsid w:val="001F3F1B"/>
    <w:rsid w:val="001F490F"/>
    <w:rsid w:val="001F5C80"/>
    <w:rsid w:val="001F7C64"/>
    <w:rsid w:val="00202113"/>
    <w:rsid w:val="002022A1"/>
    <w:rsid w:val="00204025"/>
    <w:rsid w:val="00204112"/>
    <w:rsid w:val="00204265"/>
    <w:rsid w:val="00204A4E"/>
    <w:rsid w:val="002054A7"/>
    <w:rsid w:val="00205E94"/>
    <w:rsid w:val="00206161"/>
    <w:rsid w:val="0020631E"/>
    <w:rsid w:val="00207BB6"/>
    <w:rsid w:val="00210596"/>
    <w:rsid w:val="002105AC"/>
    <w:rsid w:val="002105AF"/>
    <w:rsid w:val="00211A88"/>
    <w:rsid w:val="00211F89"/>
    <w:rsid w:val="00212E4B"/>
    <w:rsid w:val="00213174"/>
    <w:rsid w:val="00214DFC"/>
    <w:rsid w:val="0022047E"/>
    <w:rsid w:val="002223DA"/>
    <w:rsid w:val="00222DAA"/>
    <w:rsid w:val="00223249"/>
    <w:rsid w:val="00223D37"/>
    <w:rsid w:val="00224509"/>
    <w:rsid w:val="002256A9"/>
    <w:rsid w:val="00227C1D"/>
    <w:rsid w:val="00231604"/>
    <w:rsid w:val="00231CFC"/>
    <w:rsid w:val="00232170"/>
    <w:rsid w:val="0023365A"/>
    <w:rsid w:val="00234713"/>
    <w:rsid w:val="00236B8F"/>
    <w:rsid w:val="00237A53"/>
    <w:rsid w:val="002435ED"/>
    <w:rsid w:val="002468EA"/>
    <w:rsid w:val="00246FAB"/>
    <w:rsid w:val="0024703A"/>
    <w:rsid w:val="00247499"/>
    <w:rsid w:val="00251249"/>
    <w:rsid w:val="0025212F"/>
    <w:rsid w:val="00256B91"/>
    <w:rsid w:val="00257094"/>
    <w:rsid w:val="00257294"/>
    <w:rsid w:val="00260669"/>
    <w:rsid w:val="00260F01"/>
    <w:rsid w:val="002619B4"/>
    <w:rsid w:val="00262179"/>
    <w:rsid w:val="00264B81"/>
    <w:rsid w:val="0026605D"/>
    <w:rsid w:val="00266E73"/>
    <w:rsid w:val="00270C67"/>
    <w:rsid w:val="00274127"/>
    <w:rsid w:val="0027422B"/>
    <w:rsid w:val="00277287"/>
    <w:rsid w:val="002773CA"/>
    <w:rsid w:val="002800A7"/>
    <w:rsid w:val="00280A25"/>
    <w:rsid w:val="00280DE4"/>
    <w:rsid w:val="00283181"/>
    <w:rsid w:val="00286F2A"/>
    <w:rsid w:val="00287335"/>
    <w:rsid w:val="0029010C"/>
    <w:rsid w:val="002923A6"/>
    <w:rsid w:val="00293225"/>
    <w:rsid w:val="002940C4"/>
    <w:rsid w:val="00294670"/>
    <w:rsid w:val="0029630D"/>
    <w:rsid w:val="0029662F"/>
    <w:rsid w:val="002967BB"/>
    <w:rsid w:val="00296E70"/>
    <w:rsid w:val="002A05E8"/>
    <w:rsid w:val="002A104F"/>
    <w:rsid w:val="002A3C9E"/>
    <w:rsid w:val="002A458F"/>
    <w:rsid w:val="002A4763"/>
    <w:rsid w:val="002A4FDA"/>
    <w:rsid w:val="002A5C79"/>
    <w:rsid w:val="002A6164"/>
    <w:rsid w:val="002A7408"/>
    <w:rsid w:val="002B0C63"/>
    <w:rsid w:val="002B11B9"/>
    <w:rsid w:val="002B1617"/>
    <w:rsid w:val="002B180D"/>
    <w:rsid w:val="002B1BF5"/>
    <w:rsid w:val="002B2547"/>
    <w:rsid w:val="002B3FAB"/>
    <w:rsid w:val="002B4A8A"/>
    <w:rsid w:val="002B570E"/>
    <w:rsid w:val="002B5D28"/>
    <w:rsid w:val="002B6B81"/>
    <w:rsid w:val="002B6CAC"/>
    <w:rsid w:val="002B6FB5"/>
    <w:rsid w:val="002B7035"/>
    <w:rsid w:val="002B7124"/>
    <w:rsid w:val="002C0F26"/>
    <w:rsid w:val="002C16FB"/>
    <w:rsid w:val="002C65A6"/>
    <w:rsid w:val="002C6608"/>
    <w:rsid w:val="002C6988"/>
    <w:rsid w:val="002D1BAC"/>
    <w:rsid w:val="002D29CD"/>
    <w:rsid w:val="002D2B49"/>
    <w:rsid w:val="002D3530"/>
    <w:rsid w:val="002D35D9"/>
    <w:rsid w:val="002D3858"/>
    <w:rsid w:val="002D70B2"/>
    <w:rsid w:val="002D70CA"/>
    <w:rsid w:val="002E00CD"/>
    <w:rsid w:val="002E1992"/>
    <w:rsid w:val="002E322E"/>
    <w:rsid w:val="002E4796"/>
    <w:rsid w:val="002E5A28"/>
    <w:rsid w:val="002E5E45"/>
    <w:rsid w:val="002F2344"/>
    <w:rsid w:val="002F2860"/>
    <w:rsid w:val="002F2EFD"/>
    <w:rsid w:val="002F454A"/>
    <w:rsid w:val="002F69DB"/>
    <w:rsid w:val="002F6EF6"/>
    <w:rsid w:val="002F7EC7"/>
    <w:rsid w:val="00300A94"/>
    <w:rsid w:val="00301E86"/>
    <w:rsid w:val="00303D55"/>
    <w:rsid w:val="00304204"/>
    <w:rsid w:val="00304275"/>
    <w:rsid w:val="0030455B"/>
    <w:rsid w:val="00305ADF"/>
    <w:rsid w:val="00306CE7"/>
    <w:rsid w:val="00307DDE"/>
    <w:rsid w:val="00307EFF"/>
    <w:rsid w:val="00311643"/>
    <w:rsid w:val="00312608"/>
    <w:rsid w:val="00312AE1"/>
    <w:rsid w:val="003137CC"/>
    <w:rsid w:val="00316A4A"/>
    <w:rsid w:val="00317AF1"/>
    <w:rsid w:val="0032046E"/>
    <w:rsid w:val="00320680"/>
    <w:rsid w:val="00320A47"/>
    <w:rsid w:val="00322113"/>
    <w:rsid w:val="00322346"/>
    <w:rsid w:val="00322E03"/>
    <w:rsid w:val="003238B6"/>
    <w:rsid w:val="00323B73"/>
    <w:rsid w:val="00323D98"/>
    <w:rsid w:val="00323FCF"/>
    <w:rsid w:val="00324404"/>
    <w:rsid w:val="003267C4"/>
    <w:rsid w:val="0032689B"/>
    <w:rsid w:val="00327179"/>
    <w:rsid w:val="00327B5C"/>
    <w:rsid w:val="00327D4D"/>
    <w:rsid w:val="00327D69"/>
    <w:rsid w:val="00332174"/>
    <w:rsid w:val="003327CB"/>
    <w:rsid w:val="0033300E"/>
    <w:rsid w:val="0033342C"/>
    <w:rsid w:val="003339BE"/>
    <w:rsid w:val="00335776"/>
    <w:rsid w:val="00335EC2"/>
    <w:rsid w:val="003373FC"/>
    <w:rsid w:val="00343134"/>
    <w:rsid w:val="003439CA"/>
    <w:rsid w:val="00343AC0"/>
    <w:rsid w:val="00343ED3"/>
    <w:rsid w:val="003440F3"/>
    <w:rsid w:val="00346371"/>
    <w:rsid w:val="0034642E"/>
    <w:rsid w:val="003466BA"/>
    <w:rsid w:val="00346D47"/>
    <w:rsid w:val="00347F35"/>
    <w:rsid w:val="00350508"/>
    <w:rsid w:val="00351FB8"/>
    <w:rsid w:val="00353B32"/>
    <w:rsid w:val="003542F9"/>
    <w:rsid w:val="0035451A"/>
    <w:rsid w:val="003548C0"/>
    <w:rsid w:val="00354925"/>
    <w:rsid w:val="003557A9"/>
    <w:rsid w:val="00356DC7"/>
    <w:rsid w:val="00361B4F"/>
    <w:rsid w:val="0036433C"/>
    <w:rsid w:val="0036439B"/>
    <w:rsid w:val="003643AF"/>
    <w:rsid w:val="00365225"/>
    <w:rsid w:val="00365467"/>
    <w:rsid w:val="003665BE"/>
    <w:rsid w:val="00366F7E"/>
    <w:rsid w:val="00372651"/>
    <w:rsid w:val="003734C9"/>
    <w:rsid w:val="00374C72"/>
    <w:rsid w:val="00375467"/>
    <w:rsid w:val="00376D35"/>
    <w:rsid w:val="00376DCF"/>
    <w:rsid w:val="003839BF"/>
    <w:rsid w:val="00383D04"/>
    <w:rsid w:val="00385BC1"/>
    <w:rsid w:val="00386AB1"/>
    <w:rsid w:val="003870A7"/>
    <w:rsid w:val="00387498"/>
    <w:rsid w:val="00391153"/>
    <w:rsid w:val="00391708"/>
    <w:rsid w:val="00391749"/>
    <w:rsid w:val="0039376F"/>
    <w:rsid w:val="00393B73"/>
    <w:rsid w:val="00394E24"/>
    <w:rsid w:val="003953D9"/>
    <w:rsid w:val="003960D6"/>
    <w:rsid w:val="003A0C1F"/>
    <w:rsid w:val="003A24B7"/>
    <w:rsid w:val="003A37DC"/>
    <w:rsid w:val="003A4A90"/>
    <w:rsid w:val="003A4C2E"/>
    <w:rsid w:val="003A6DE4"/>
    <w:rsid w:val="003A77D0"/>
    <w:rsid w:val="003A79D1"/>
    <w:rsid w:val="003B0268"/>
    <w:rsid w:val="003B11F1"/>
    <w:rsid w:val="003B1AF8"/>
    <w:rsid w:val="003B3B3F"/>
    <w:rsid w:val="003B6A99"/>
    <w:rsid w:val="003B714D"/>
    <w:rsid w:val="003B7455"/>
    <w:rsid w:val="003B7556"/>
    <w:rsid w:val="003C039F"/>
    <w:rsid w:val="003C398B"/>
    <w:rsid w:val="003C4AF2"/>
    <w:rsid w:val="003C6844"/>
    <w:rsid w:val="003C7B20"/>
    <w:rsid w:val="003C7D0D"/>
    <w:rsid w:val="003CE229"/>
    <w:rsid w:val="003D0358"/>
    <w:rsid w:val="003D048E"/>
    <w:rsid w:val="003D1685"/>
    <w:rsid w:val="003D3126"/>
    <w:rsid w:val="003D3F74"/>
    <w:rsid w:val="003D65C9"/>
    <w:rsid w:val="003D6792"/>
    <w:rsid w:val="003D7CD3"/>
    <w:rsid w:val="003E2376"/>
    <w:rsid w:val="003E26B3"/>
    <w:rsid w:val="003E2966"/>
    <w:rsid w:val="003E316B"/>
    <w:rsid w:val="003E4A6F"/>
    <w:rsid w:val="003E4FE8"/>
    <w:rsid w:val="003E5A11"/>
    <w:rsid w:val="003E5D4F"/>
    <w:rsid w:val="003E5DB4"/>
    <w:rsid w:val="003E639F"/>
    <w:rsid w:val="003E7257"/>
    <w:rsid w:val="003E7B39"/>
    <w:rsid w:val="003F090F"/>
    <w:rsid w:val="003F1499"/>
    <w:rsid w:val="003F16A1"/>
    <w:rsid w:val="003F19F1"/>
    <w:rsid w:val="003F1CE5"/>
    <w:rsid w:val="003F2E5E"/>
    <w:rsid w:val="003F48E2"/>
    <w:rsid w:val="003F5CFD"/>
    <w:rsid w:val="003F60E0"/>
    <w:rsid w:val="003F7CA0"/>
    <w:rsid w:val="00401A72"/>
    <w:rsid w:val="00402005"/>
    <w:rsid w:val="00402343"/>
    <w:rsid w:val="004041FC"/>
    <w:rsid w:val="00407EB6"/>
    <w:rsid w:val="004124CF"/>
    <w:rsid w:val="004124DD"/>
    <w:rsid w:val="00414737"/>
    <w:rsid w:val="00415E21"/>
    <w:rsid w:val="00416627"/>
    <w:rsid w:val="00416C58"/>
    <w:rsid w:val="00420178"/>
    <w:rsid w:val="00420F7C"/>
    <w:rsid w:val="00421392"/>
    <w:rsid w:val="00422383"/>
    <w:rsid w:val="004238EB"/>
    <w:rsid w:val="00423C67"/>
    <w:rsid w:val="00425E5A"/>
    <w:rsid w:val="0042740C"/>
    <w:rsid w:val="004316C6"/>
    <w:rsid w:val="0043180D"/>
    <w:rsid w:val="00432F39"/>
    <w:rsid w:val="00433E56"/>
    <w:rsid w:val="00434249"/>
    <w:rsid w:val="00434F16"/>
    <w:rsid w:val="00436CE6"/>
    <w:rsid w:val="00437393"/>
    <w:rsid w:val="004377EC"/>
    <w:rsid w:val="00437A96"/>
    <w:rsid w:val="004401A9"/>
    <w:rsid w:val="004414C1"/>
    <w:rsid w:val="004419B5"/>
    <w:rsid w:val="004428C5"/>
    <w:rsid w:val="00442A8D"/>
    <w:rsid w:val="00442E79"/>
    <w:rsid w:val="0044466D"/>
    <w:rsid w:val="00444D8E"/>
    <w:rsid w:val="004455BC"/>
    <w:rsid w:val="00446267"/>
    <w:rsid w:val="004467F6"/>
    <w:rsid w:val="00450834"/>
    <w:rsid w:val="00451153"/>
    <w:rsid w:val="004519C5"/>
    <w:rsid w:val="004520EA"/>
    <w:rsid w:val="00454761"/>
    <w:rsid w:val="004559C1"/>
    <w:rsid w:val="0045618A"/>
    <w:rsid w:val="00460F48"/>
    <w:rsid w:val="00463C1A"/>
    <w:rsid w:val="00464190"/>
    <w:rsid w:val="0046479A"/>
    <w:rsid w:val="0046524C"/>
    <w:rsid w:val="00465816"/>
    <w:rsid w:val="004674A0"/>
    <w:rsid w:val="00470385"/>
    <w:rsid w:val="00470F21"/>
    <w:rsid w:val="00473255"/>
    <w:rsid w:val="00473B97"/>
    <w:rsid w:val="00473F6A"/>
    <w:rsid w:val="00474082"/>
    <w:rsid w:val="0047420F"/>
    <w:rsid w:val="00475712"/>
    <w:rsid w:val="00476A84"/>
    <w:rsid w:val="0048170E"/>
    <w:rsid w:val="00483322"/>
    <w:rsid w:val="00483B05"/>
    <w:rsid w:val="00486499"/>
    <w:rsid w:val="004866B0"/>
    <w:rsid w:val="004916C2"/>
    <w:rsid w:val="00491F30"/>
    <w:rsid w:val="0049353B"/>
    <w:rsid w:val="00493FB4"/>
    <w:rsid w:val="0049493F"/>
    <w:rsid w:val="00494B45"/>
    <w:rsid w:val="004953B6"/>
    <w:rsid w:val="0049626B"/>
    <w:rsid w:val="004971E3"/>
    <w:rsid w:val="004A0481"/>
    <w:rsid w:val="004A2287"/>
    <w:rsid w:val="004A23BC"/>
    <w:rsid w:val="004A33EB"/>
    <w:rsid w:val="004A3BA5"/>
    <w:rsid w:val="004A3E80"/>
    <w:rsid w:val="004A5208"/>
    <w:rsid w:val="004A7F37"/>
    <w:rsid w:val="004B26FC"/>
    <w:rsid w:val="004B2730"/>
    <w:rsid w:val="004B4771"/>
    <w:rsid w:val="004B55EE"/>
    <w:rsid w:val="004B5955"/>
    <w:rsid w:val="004B72D8"/>
    <w:rsid w:val="004B749D"/>
    <w:rsid w:val="004C2FC2"/>
    <w:rsid w:val="004C3B46"/>
    <w:rsid w:val="004C4B58"/>
    <w:rsid w:val="004C4D5A"/>
    <w:rsid w:val="004D4BA8"/>
    <w:rsid w:val="004D5107"/>
    <w:rsid w:val="004D5ED9"/>
    <w:rsid w:val="004D6CA1"/>
    <w:rsid w:val="004D7271"/>
    <w:rsid w:val="004D7A50"/>
    <w:rsid w:val="004E02C0"/>
    <w:rsid w:val="004E113C"/>
    <w:rsid w:val="004E1AAE"/>
    <w:rsid w:val="004E1DDF"/>
    <w:rsid w:val="004E36B0"/>
    <w:rsid w:val="004E5170"/>
    <w:rsid w:val="004E6DD5"/>
    <w:rsid w:val="004E6EA9"/>
    <w:rsid w:val="004E7A0D"/>
    <w:rsid w:val="004F048A"/>
    <w:rsid w:val="004F27BD"/>
    <w:rsid w:val="004F27CA"/>
    <w:rsid w:val="004F27DD"/>
    <w:rsid w:val="004F2D31"/>
    <w:rsid w:val="004F3DF8"/>
    <w:rsid w:val="004F4061"/>
    <w:rsid w:val="004F4697"/>
    <w:rsid w:val="004F62D4"/>
    <w:rsid w:val="004F67AC"/>
    <w:rsid w:val="004F6F2E"/>
    <w:rsid w:val="00500125"/>
    <w:rsid w:val="005013EA"/>
    <w:rsid w:val="00501F0F"/>
    <w:rsid w:val="0050259F"/>
    <w:rsid w:val="00502B9A"/>
    <w:rsid w:val="005037BE"/>
    <w:rsid w:val="005044F8"/>
    <w:rsid w:val="00504DB0"/>
    <w:rsid w:val="00505F6C"/>
    <w:rsid w:val="00506287"/>
    <w:rsid w:val="005104C5"/>
    <w:rsid w:val="00511728"/>
    <w:rsid w:val="0051204C"/>
    <w:rsid w:val="005128E7"/>
    <w:rsid w:val="00513C12"/>
    <w:rsid w:val="0051753A"/>
    <w:rsid w:val="00520130"/>
    <w:rsid w:val="005201C2"/>
    <w:rsid w:val="005226D1"/>
    <w:rsid w:val="0052327C"/>
    <w:rsid w:val="00525FDF"/>
    <w:rsid w:val="00526156"/>
    <w:rsid w:val="0053071A"/>
    <w:rsid w:val="0053074D"/>
    <w:rsid w:val="00531B18"/>
    <w:rsid w:val="00531B8D"/>
    <w:rsid w:val="00532B30"/>
    <w:rsid w:val="00532C40"/>
    <w:rsid w:val="005348CB"/>
    <w:rsid w:val="00536F3F"/>
    <w:rsid w:val="00537B6D"/>
    <w:rsid w:val="00540299"/>
    <w:rsid w:val="00540A1B"/>
    <w:rsid w:val="00541144"/>
    <w:rsid w:val="00541C6C"/>
    <w:rsid w:val="00544AE7"/>
    <w:rsid w:val="00545393"/>
    <w:rsid w:val="00545A1F"/>
    <w:rsid w:val="00546D91"/>
    <w:rsid w:val="005470DB"/>
    <w:rsid w:val="00550A70"/>
    <w:rsid w:val="00550BFC"/>
    <w:rsid w:val="00550C33"/>
    <w:rsid w:val="00551AB8"/>
    <w:rsid w:val="005525E6"/>
    <w:rsid w:val="00552C8B"/>
    <w:rsid w:val="00553A8D"/>
    <w:rsid w:val="00554F06"/>
    <w:rsid w:val="00557809"/>
    <w:rsid w:val="005579E7"/>
    <w:rsid w:val="00557B50"/>
    <w:rsid w:val="0056047B"/>
    <w:rsid w:val="005610B4"/>
    <w:rsid w:val="00561549"/>
    <w:rsid w:val="00563275"/>
    <w:rsid w:val="005636A3"/>
    <w:rsid w:val="005639C5"/>
    <w:rsid w:val="005643E4"/>
    <w:rsid w:val="0056478D"/>
    <w:rsid w:val="00565BC4"/>
    <w:rsid w:val="00566A7C"/>
    <w:rsid w:val="00566CF9"/>
    <w:rsid w:val="0056766B"/>
    <w:rsid w:val="0057067B"/>
    <w:rsid w:val="005712C3"/>
    <w:rsid w:val="005725F0"/>
    <w:rsid w:val="005734DC"/>
    <w:rsid w:val="005760C0"/>
    <w:rsid w:val="005835F9"/>
    <w:rsid w:val="00585C4D"/>
    <w:rsid w:val="00587945"/>
    <w:rsid w:val="0059189B"/>
    <w:rsid w:val="00591E43"/>
    <w:rsid w:val="005935FF"/>
    <w:rsid w:val="00593CE9"/>
    <w:rsid w:val="00593D87"/>
    <w:rsid w:val="00593E3B"/>
    <w:rsid w:val="00594D81"/>
    <w:rsid w:val="00597109"/>
    <w:rsid w:val="0059746D"/>
    <w:rsid w:val="005A01EC"/>
    <w:rsid w:val="005A0AFA"/>
    <w:rsid w:val="005A0CAC"/>
    <w:rsid w:val="005A0CD0"/>
    <w:rsid w:val="005A0E03"/>
    <w:rsid w:val="005A37B2"/>
    <w:rsid w:val="005A43DD"/>
    <w:rsid w:val="005A5B2F"/>
    <w:rsid w:val="005B0A8C"/>
    <w:rsid w:val="005B16E8"/>
    <w:rsid w:val="005B19E5"/>
    <w:rsid w:val="005B278F"/>
    <w:rsid w:val="005B48DD"/>
    <w:rsid w:val="005B49CD"/>
    <w:rsid w:val="005B4A11"/>
    <w:rsid w:val="005B5703"/>
    <w:rsid w:val="005B5F9C"/>
    <w:rsid w:val="005B69EC"/>
    <w:rsid w:val="005B7A31"/>
    <w:rsid w:val="005C28E5"/>
    <w:rsid w:val="005C3B27"/>
    <w:rsid w:val="005C5161"/>
    <w:rsid w:val="005C59C2"/>
    <w:rsid w:val="005C61EC"/>
    <w:rsid w:val="005C7816"/>
    <w:rsid w:val="005D0852"/>
    <w:rsid w:val="005D0F65"/>
    <w:rsid w:val="005D1C1E"/>
    <w:rsid w:val="005D40C2"/>
    <w:rsid w:val="005D77F9"/>
    <w:rsid w:val="005E041A"/>
    <w:rsid w:val="005E0ABB"/>
    <w:rsid w:val="005E137E"/>
    <w:rsid w:val="005E191B"/>
    <w:rsid w:val="005E2E54"/>
    <w:rsid w:val="005E2F49"/>
    <w:rsid w:val="005E43A6"/>
    <w:rsid w:val="005E44E2"/>
    <w:rsid w:val="005E4522"/>
    <w:rsid w:val="005E4EED"/>
    <w:rsid w:val="005E5185"/>
    <w:rsid w:val="005E5688"/>
    <w:rsid w:val="005E6E07"/>
    <w:rsid w:val="005E71A4"/>
    <w:rsid w:val="005E738A"/>
    <w:rsid w:val="005E79FE"/>
    <w:rsid w:val="005F000A"/>
    <w:rsid w:val="005F0283"/>
    <w:rsid w:val="005F0D27"/>
    <w:rsid w:val="005F1251"/>
    <w:rsid w:val="005F1425"/>
    <w:rsid w:val="005F148E"/>
    <w:rsid w:val="005F470F"/>
    <w:rsid w:val="005F4DE0"/>
    <w:rsid w:val="005F54F4"/>
    <w:rsid w:val="005F5D77"/>
    <w:rsid w:val="005F7790"/>
    <w:rsid w:val="005F79FF"/>
    <w:rsid w:val="0060049C"/>
    <w:rsid w:val="0060175C"/>
    <w:rsid w:val="00602693"/>
    <w:rsid w:val="00604949"/>
    <w:rsid w:val="00604BA8"/>
    <w:rsid w:val="00605EC2"/>
    <w:rsid w:val="00606564"/>
    <w:rsid w:val="00606B1D"/>
    <w:rsid w:val="00607FC4"/>
    <w:rsid w:val="006111BF"/>
    <w:rsid w:val="0061156A"/>
    <w:rsid w:val="0061171C"/>
    <w:rsid w:val="00611C86"/>
    <w:rsid w:val="006130F2"/>
    <w:rsid w:val="0061375D"/>
    <w:rsid w:val="006145B6"/>
    <w:rsid w:val="00614781"/>
    <w:rsid w:val="00614F88"/>
    <w:rsid w:val="00617540"/>
    <w:rsid w:val="0061765D"/>
    <w:rsid w:val="00617668"/>
    <w:rsid w:val="006206AE"/>
    <w:rsid w:val="00620A61"/>
    <w:rsid w:val="006229AF"/>
    <w:rsid w:val="00624207"/>
    <w:rsid w:val="006271F7"/>
    <w:rsid w:val="006307AF"/>
    <w:rsid w:val="0063102C"/>
    <w:rsid w:val="00631897"/>
    <w:rsid w:val="00632E2D"/>
    <w:rsid w:val="00633D43"/>
    <w:rsid w:val="00634C7C"/>
    <w:rsid w:val="00637FA6"/>
    <w:rsid w:val="006405BB"/>
    <w:rsid w:val="00642857"/>
    <w:rsid w:val="006445AA"/>
    <w:rsid w:val="00645516"/>
    <w:rsid w:val="00645D07"/>
    <w:rsid w:val="006471E5"/>
    <w:rsid w:val="00647F10"/>
    <w:rsid w:val="0065077D"/>
    <w:rsid w:val="00653ECF"/>
    <w:rsid w:val="006554F0"/>
    <w:rsid w:val="00660F6F"/>
    <w:rsid w:val="00661D1E"/>
    <w:rsid w:val="0066329E"/>
    <w:rsid w:val="00664E35"/>
    <w:rsid w:val="00664FC3"/>
    <w:rsid w:val="006652D6"/>
    <w:rsid w:val="0066534F"/>
    <w:rsid w:val="00667B56"/>
    <w:rsid w:val="00667C02"/>
    <w:rsid w:val="00672D5E"/>
    <w:rsid w:val="00673F9D"/>
    <w:rsid w:val="00675503"/>
    <w:rsid w:val="00675B0E"/>
    <w:rsid w:val="006760E0"/>
    <w:rsid w:val="006762CA"/>
    <w:rsid w:val="0067648A"/>
    <w:rsid w:val="00676B1D"/>
    <w:rsid w:val="006771F4"/>
    <w:rsid w:val="00680A33"/>
    <w:rsid w:val="006813B5"/>
    <w:rsid w:val="00682C05"/>
    <w:rsid w:val="0068365E"/>
    <w:rsid w:val="00683AD8"/>
    <w:rsid w:val="0068547A"/>
    <w:rsid w:val="00685733"/>
    <w:rsid w:val="00686128"/>
    <w:rsid w:val="0069085F"/>
    <w:rsid w:val="00690A9E"/>
    <w:rsid w:val="00692608"/>
    <w:rsid w:val="00694A30"/>
    <w:rsid w:val="00695CA9"/>
    <w:rsid w:val="00695D55"/>
    <w:rsid w:val="006965C8"/>
    <w:rsid w:val="00696D11"/>
    <w:rsid w:val="00697D41"/>
    <w:rsid w:val="006A03A6"/>
    <w:rsid w:val="006A0891"/>
    <w:rsid w:val="006A2F2D"/>
    <w:rsid w:val="006A3260"/>
    <w:rsid w:val="006A736E"/>
    <w:rsid w:val="006A74C1"/>
    <w:rsid w:val="006A7DAA"/>
    <w:rsid w:val="006A7E60"/>
    <w:rsid w:val="006B1407"/>
    <w:rsid w:val="006B223B"/>
    <w:rsid w:val="006B26E6"/>
    <w:rsid w:val="006B3A0D"/>
    <w:rsid w:val="006B4514"/>
    <w:rsid w:val="006B5546"/>
    <w:rsid w:val="006B5C25"/>
    <w:rsid w:val="006C0106"/>
    <w:rsid w:val="006C2AF2"/>
    <w:rsid w:val="006C37C2"/>
    <w:rsid w:val="006C3AD1"/>
    <w:rsid w:val="006C560D"/>
    <w:rsid w:val="006C6BF3"/>
    <w:rsid w:val="006C7E08"/>
    <w:rsid w:val="006D12C4"/>
    <w:rsid w:val="006D12C6"/>
    <w:rsid w:val="006D179B"/>
    <w:rsid w:val="006D2059"/>
    <w:rsid w:val="006D2293"/>
    <w:rsid w:val="006D25C3"/>
    <w:rsid w:val="006D373F"/>
    <w:rsid w:val="006D4510"/>
    <w:rsid w:val="006D54DE"/>
    <w:rsid w:val="006D5E43"/>
    <w:rsid w:val="006D6377"/>
    <w:rsid w:val="006D6FE6"/>
    <w:rsid w:val="006D79FA"/>
    <w:rsid w:val="006E1B71"/>
    <w:rsid w:val="006E3591"/>
    <w:rsid w:val="006E49C9"/>
    <w:rsid w:val="006E5430"/>
    <w:rsid w:val="006E607D"/>
    <w:rsid w:val="006E63C8"/>
    <w:rsid w:val="006E6ABD"/>
    <w:rsid w:val="006E7283"/>
    <w:rsid w:val="006F0FA5"/>
    <w:rsid w:val="006F1A7E"/>
    <w:rsid w:val="006F2F03"/>
    <w:rsid w:val="006F37DC"/>
    <w:rsid w:val="006F3BA3"/>
    <w:rsid w:val="006F44F4"/>
    <w:rsid w:val="006F56AB"/>
    <w:rsid w:val="006F591F"/>
    <w:rsid w:val="006F5D2A"/>
    <w:rsid w:val="00700E66"/>
    <w:rsid w:val="00700EFC"/>
    <w:rsid w:val="00701029"/>
    <w:rsid w:val="00701190"/>
    <w:rsid w:val="00702763"/>
    <w:rsid w:val="007033AD"/>
    <w:rsid w:val="00704D62"/>
    <w:rsid w:val="007061DE"/>
    <w:rsid w:val="007065E1"/>
    <w:rsid w:val="00707B41"/>
    <w:rsid w:val="00707B89"/>
    <w:rsid w:val="00707D87"/>
    <w:rsid w:val="00711264"/>
    <w:rsid w:val="007129F5"/>
    <w:rsid w:val="00712CE6"/>
    <w:rsid w:val="0071359F"/>
    <w:rsid w:val="007150C4"/>
    <w:rsid w:val="00715B82"/>
    <w:rsid w:val="007164EC"/>
    <w:rsid w:val="00716A90"/>
    <w:rsid w:val="00717BDD"/>
    <w:rsid w:val="00720BED"/>
    <w:rsid w:val="007214C9"/>
    <w:rsid w:val="00722E3E"/>
    <w:rsid w:val="00724263"/>
    <w:rsid w:val="00724CBC"/>
    <w:rsid w:val="007263D2"/>
    <w:rsid w:val="0072712F"/>
    <w:rsid w:val="0073026A"/>
    <w:rsid w:val="00731E27"/>
    <w:rsid w:val="00733E1F"/>
    <w:rsid w:val="0073475B"/>
    <w:rsid w:val="0073572B"/>
    <w:rsid w:val="007409CD"/>
    <w:rsid w:val="00740B04"/>
    <w:rsid w:val="00740F60"/>
    <w:rsid w:val="007424A0"/>
    <w:rsid w:val="00742C0E"/>
    <w:rsid w:val="00743DB4"/>
    <w:rsid w:val="00744148"/>
    <w:rsid w:val="0074446E"/>
    <w:rsid w:val="0074469D"/>
    <w:rsid w:val="007448CC"/>
    <w:rsid w:val="00746ABD"/>
    <w:rsid w:val="007470CA"/>
    <w:rsid w:val="00747EC0"/>
    <w:rsid w:val="0075002E"/>
    <w:rsid w:val="007507BD"/>
    <w:rsid w:val="0075226C"/>
    <w:rsid w:val="00753412"/>
    <w:rsid w:val="00753FAA"/>
    <w:rsid w:val="00754026"/>
    <w:rsid w:val="007549D3"/>
    <w:rsid w:val="0075664A"/>
    <w:rsid w:val="007567AB"/>
    <w:rsid w:val="00756C2B"/>
    <w:rsid w:val="00756D07"/>
    <w:rsid w:val="0075787A"/>
    <w:rsid w:val="00757C86"/>
    <w:rsid w:val="00757D6F"/>
    <w:rsid w:val="0076089A"/>
    <w:rsid w:val="007618D1"/>
    <w:rsid w:val="0076214C"/>
    <w:rsid w:val="00762207"/>
    <w:rsid w:val="007624D0"/>
    <w:rsid w:val="00763184"/>
    <w:rsid w:val="00765D92"/>
    <w:rsid w:val="007663F9"/>
    <w:rsid w:val="0076660B"/>
    <w:rsid w:val="00766CA2"/>
    <w:rsid w:val="00767D8D"/>
    <w:rsid w:val="00767E72"/>
    <w:rsid w:val="007703EE"/>
    <w:rsid w:val="00771307"/>
    <w:rsid w:val="007718FC"/>
    <w:rsid w:val="0077298C"/>
    <w:rsid w:val="00772B79"/>
    <w:rsid w:val="00772F24"/>
    <w:rsid w:val="00773B30"/>
    <w:rsid w:val="00775D58"/>
    <w:rsid w:val="00780F98"/>
    <w:rsid w:val="00782BB2"/>
    <w:rsid w:val="007842FF"/>
    <w:rsid w:val="007849FE"/>
    <w:rsid w:val="007869E5"/>
    <w:rsid w:val="00787723"/>
    <w:rsid w:val="00790C04"/>
    <w:rsid w:val="00790C69"/>
    <w:rsid w:val="007917DB"/>
    <w:rsid w:val="00791DF5"/>
    <w:rsid w:val="00792A50"/>
    <w:rsid w:val="00793203"/>
    <w:rsid w:val="007938CF"/>
    <w:rsid w:val="00794581"/>
    <w:rsid w:val="00794965"/>
    <w:rsid w:val="007963D5"/>
    <w:rsid w:val="0079722F"/>
    <w:rsid w:val="00797D99"/>
    <w:rsid w:val="007A08CE"/>
    <w:rsid w:val="007A1A28"/>
    <w:rsid w:val="007A1A7E"/>
    <w:rsid w:val="007A1D97"/>
    <w:rsid w:val="007A2EE8"/>
    <w:rsid w:val="007A35AC"/>
    <w:rsid w:val="007A3DDA"/>
    <w:rsid w:val="007A5A16"/>
    <w:rsid w:val="007A6A71"/>
    <w:rsid w:val="007B0278"/>
    <w:rsid w:val="007B0ED7"/>
    <w:rsid w:val="007B1360"/>
    <w:rsid w:val="007B3ACC"/>
    <w:rsid w:val="007B55E1"/>
    <w:rsid w:val="007B6C9F"/>
    <w:rsid w:val="007B76CE"/>
    <w:rsid w:val="007B7A0E"/>
    <w:rsid w:val="007C09AD"/>
    <w:rsid w:val="007C0C84"/>
    <w:rsid w:val="007C1950"/>
    <w:rsid w:val="007C2214"/>
    <w:rsid w:val="007C2716"/>
    <w:rsid w:val="007C34B1"/>
    <w:rsid w:val="007C36F7"/>
    <w:rsid w:val="007C4601"/>
    <w:rsid w:val="007C52AA"/>
    <w:rsid w:val="007C6456"/>
    <w:rsid w:val="007C7637"/>
    <w:rsid w:val="007C7B37"/>
    <w:rsid w:val="007D05C3"/>
    <w:rsid w:val="007D0C4C"/>
    <w:rsid w:val="007D1735"/>
    <w:rsid w:val="007D1E54"/>
    <w:rsid w:val="007D2CAB"/>
    <w:rsid w:val="007D6F72"/>
    <w:rsid w:val="007D751C"/>
    <w:rsid w:val="007D754C"/>
    <w:rsid w:val="007E19AD"/>
    <w:rsid w:val="007E1D1F"/>
    <w:rsid w:val="007E248B"/>
    <w:rsid w:val="007E28D9"/>
    <w:rsid w:val="007E2E42"/>
    <w:rsid w:val="007E3193"/>
    <w:rsid w:val="007E359E"/>
    <w:rsid w:val="007E39BB"/>
    <w:rsid w:val="007E6A61"/>
    <w:rsid w:val="007E6E02"/>
    <w:rsid w:val="007E71D5"/>
    <w:rsid w:val="007E7A21"/>
    <w:rsid w:val="007E7A62"/>
    <w:rsid w:val="007F00CB"/>
    <w:rsid w:val="007F1ADE"/>
    <w:rsid w:val="007F27F4"/>
    <w:rsid w:val="007F2B64"/>
    <w:rsid w:val="007F3045"/>
    <w:rsid w:val="007F324B"/>
    <w:rsid w:val="007F3A6F"/>
    <w:rsid w:val="007F6FD1"/>
    <w:rsid w:val="007F7AEC"/>
    <w:rsid w:val="007F7D5E"/>
    <w:rsid w:val="0080085B"/>
    <w:rsid w:val="00802544"/>
    <w:rsid w:val="00804C20"/>
    <w:rsid w:val="00805A73"/>
    <w:rsid w:val="00807BB9"/>
    <w:rsid w:val="008100C6"/>
    <w:rsid w:val="00811A3E"/>
    <w:rsid w:val="0081245A"/>
    <w:rsid w:val="00812746"/>
    <w:rsid w:val="00812DDE"/>
    <w:rsid w:val="0081342C"/>
    <w:rsid w:val="00813978"/>
    <w:rsid w:val="00816ECE"/>
    <w:rsid w:val="00817E62"/>
    <w:rsid w:val="00820451"/>
    <w:rsid w:val="00820511"/>
    <w:rsid w:val="008205BC"/>
    <w:rsid w:val="008212D8"/>
    <w:rsid w:val="0082130E"/>
    <w:rsid w:val="00822CCC"/>
    <w:rsid w:val="008266B6"/>
    <w:rsid w:val="00830537"/>
    <w:rsid w:val="00830970"/>
    <w:rsid w:val="008319BA"/>
    <w:rsid w:val="00831C94"/>
    <w:rsid w:val="00834A97"/>
    <w:rsid w:val="008354CA"/>
    <w:rsid w:val="00836220"/>
    <w:rsid w:val="00837EF4"/>
    <w:rsid w:val="00841C77"/>
    <w:rsid w:val="008432B0"/>
    <w:rsid w:val="00843A1A"/>
    <w:rsid w:val="00843E77"/>
    <w:rsid w:val="00844681"/>
    <w:rsid w:val="00844E73"/>
    <w:rsid w:val="00845B2F"/>
    <w:rsid w:val="00846B2C"/>
    <w:rsid w:val="0085369F"/>
    <w:rsid w:val="00854633"/>
    <w:rsid w:val="00855225"/>
    <w:rsid w:val="008562DF"/>
    <w:rsid w:val="00856CFE"/>
    <w:rsid w:val="00856F21"/>
    <w:rsid w:val="00864CC5"/>
    <w:rsid w:val="00866FE6"/>
    <w:rsid w:val="008673A5"/>
    <w:rsid w:val="00870D03"/>
    <w:rsid w:val="0087197B"/>
    <w:rsid w:val="00871990"/>
    <w:rsid w:val="00871DB5"/>
    <w:rsid w:val="00877AA3"/>
    <w:rsid w:val="00880C70"/>
    <w:rsid w:val="00882501"/>
    <w:rsid w:val="00882838"/>
    <w:rsid w:val="00883A0E"/>
    <w:rsid w:val="00884C2E"/>
    <w:rsid w:val="00885439"/>
    <w:rsid w:val="00885EAA"/>
    <w:rsid w:val="00887221"/>
    <w:rsid w:val="00887A8C"/>
    <w:rsid w:val="008908D5"/>
    <w:rsid w:val="008911C1"/>
    <w:rsid w:val="00892DA5"/>
    <w:rsid w:val="00894F24"/>
    <w:rsid w:val="00894F75"/>
    <w:rsid w:val="00895D13"/>
    <w:rsid w:val="00897585"/>
    <w:rsid w:val="008A0AD4"/>
    <w:rsid w:val="008A2BF0"/>
    <w:rsid w:val="008A3322"/>
    <w:rsid w:val="008A4A74"/>
    <w:rsid w:val="008A4CF2"/>
    <w:rsid w:val="008A50AC"/>
    <w:rsid w:val="008A54A0"/>
    <w:rsid w:val="008A5B6F"/>
    <w:rsid w:val="008A6C86"/>
    <w:rsid w:val="008A6EDD"/>
    <w:rsid w:val="008B3902"/>
    <w:rsid w:val="008B3DA9"/>
    <w:rsid w:val="008B5A0B"/>
    <w:rsid w:val="008B5D23"/>
    <w:rsid w:val="008B5E85"/>
    <w:rsid w:val="008B7C8B"/>
    <w:rsid w:val="008BFE47"/>
    <w:rsid w:val="008C0080"/>
    <w:rsid w:val="008C13D5"/>
    <w:rsid w:val="008C16BD"/>
    <w:rsid w:val="008C1A36"/>
    <w:rsid w:val="008C2902"/>
    <w:rsid w:val="008C34B8"/>
    <w:rsid w:val="008C4C30"/>
    <w:rsid w:val="008C4F2B"/>
    <w:rsid w:val="008C7E51"/>
    <w:rsid w:val="008D0DB0"/>
    <w:rsid w:val="008D0E4D"/>
    <w:rsid w:val="008D1D39"/>
    <w:rsid w:val="008D21D8"/>
    <w:rsid w:val="008D2454"/>
    <w:rsid w:val="008D2C38"/>
    <w:rsid w:val="008D337D"/>
    <w:rsid w:val="008D392E"/>
    <w:rsid w:val="008D5093"/>
    <w:rsid w:val="008D545C"/>
    <w:rsid w:val="008D5F15"/>
    <w:rsid w:val="008D6698"/>
    <w:rsid w:val="008D7124"/>
    <w:rsid w:val="008E0170"/>
    <w:rsid w:val="008E02EC"/>
    <w:rsid w:val="008E3525"/>
    <w:rsid w:val="008E383D"/>
    <w:rsid w:val="008E3CCA"/>
    <w:rsid w:val="008E57CC"/>
    <w:rsid w:val="008E5B20"/>
    <w:rsid w:val="008E6B0D"/>
    <w:rsid w:val="008E6F33"/>
    <w:rsid w:val="008E76AA"/>
    <w:rsid w:val="008F0E9F"/>
    <w:rsid w:val="008F130E"/>
    <w:rsid w:val="008F1F01"/>
    <w:rsid w:val="008F2F8F"/>
    <w:rsid w:val="008F3007"/>
    <w:rsid w:val="008F3603"/>
    <w:rsid w:val="008F3DFA"/>
    <w:rsid w:val="008F6FDB"/>
    <w:rsid w:val="008F7F7E"/>
    <w:rsid w:val="0090020E"/>
    <w:rsid w:val="009008D5"/>
    <w:rsid w:val="00901B1C"/>
    <w:rsid w:val="00901E12"/>
    <w:rsid w:val="00901E1C"/>
    <w:rsid w:val="00902283"/>
    <w:rsid w:val="00902566"/>
    <w:rsid w:val="0090348C"/>
    <w:rsid w:val="00903519"/>
    <w:rsid w:val="00906E42"/>
    <w:rsid w:val="00907455"/>
    <w:rsid w:val="00907953"/>
    <w:rsid w:val="00907EC0"/>
    <w:rsid w:val="00907FDE"/>
    <w:rsid w:val="0091002F"/>
    <w:rsid w:val="00910403"/>
    <w:rsid w:val="00911603"/>
    <w:rsid w:val="00913AD9"/>
    <w:rsid w:val="0091417B"/>
    <w:rsid w:val="00915D54"/>
    <w:rsid w:val="00917DBE"/>
    <w:rsid w:val="00921213"/>
    <w:rsid w:val="009221AF"/>
    <w:rsid w:val="00922AA2"/>
    <w:rsid w:val="00922AE5"/>
    <w:rsid w:val="00923278"/>
    <w:rsid w:val="00924AA3"/>
    <w:rsid w:val="00924C2A"/>
    <w:rsid w:val="00926A06"/>
    <w:rsid w:val="00927CC2"/>
    <w:rsid w:val="009301D4"/>
    <w:rsid w:val="0093154F"/>
    <w:rsid w:val="009315D3"/>
    <w:rsid w:val="00933A5F"/>
    <w:rsid w:val="00933EBF"/>
    <w:rsid w:val="00933FE3"/>
    <w:rsid w:val="009343AC"/>
    <w:rsid w:val="00935A2D"/>
    <w:rsid w:val="00936817"/>
    <w:rsid w:val="00937F6A"/>
    <w:rsid w:val="009408EB"/>
    <w:rsid w:val="009411CD"/>
    <w:rsid w:val="0094410F"/>
    <w:rsid w:val="00944AAD"/>
    <w:rsid w:val="00945CE2"/>
    <w:rsid w:val="00945D3D"/>
    <w:rsid w:val="0094720F"/>
    <w:rsid w:val="009505ED"/>
    <w:rsid w:val="00952788"/>
    <w:rsid w:val="00952F45"/>
    <w:rsid w:val="009531A7"/>
    <w:rsid w:val="009531CB"/>
    <w:rsid w:val="00953DAA"/>
    <w:rsid w:val="00954615"/>
    <w:rsid w:val="00954F40"/>
    <w:rsid w:val="009550CA"/>
    <w:rsid w:val="009552DD"/>
    <w:rsid w:val="00955F9A"/>
    <w:rsid w:val="00956178"/>
    <w:rsid w:val="0095640C"/>
    <w:rsid w:val="00960A8A"/>
    <w:rsid w:val="00961CC3"/>
    <w:rsid w:val="009622FB"/>
    <w:rsid w:val="00964789"/>
    <w:rsid w:val="00965924"/>
    <w:rsid w:val="009665D9"/>
    <w:rsid w:val="00972CD7"/>
    <w:rsid w:val="00973B62"/>
    <w:rsid w:val="0097543E"/>
    <w:rsid w:val="00975F2F"/>
    <w:rsid w:val="00976F44"/>
    <w:rsid w:val="0097732A"/>
    <w:rsid w:val="00980677"/>
    <w:rsid w:val="00981385"/>
    <w:rsid w:val="00981CFD"/>
    <w:rsid w:val="00981F33"/>
    <w:rsid w:val="0098361B"/>
    <w:rsid w:val="00983C35"/>
    <w:rsid w:val="00983FA7"/>
    <w:rsid w:val="00985163"/>
    <w:rsid w:val="009854EF"/>
    <w:rsid w:val="00985AA9"/>
    <w:rsid w:val="00985EB8"/>
    <w:rsid w:val="009863B6"/>
    <w:rsid w:val="00987EF4"/>
    <w:rsid w:val="00991DC5"/>
    <w:rsid w:val="00991F76"/>
    <w:rsid w:val="009920F4"/>
    <w:rsid w:val="00992F1C"/>
    <w:rsid w:val="00994279"/>
    <w:rsid w:val="00995327"/>
    <w:rsid w:val="009955A2"/>
    <w:rsid w:val="00995AD7"/>
    <w:rsid w:val="00996B8A"/>
    <w:rsid w:val="0099759E"/>
    <w:rsid w:val="00997A15"/>
    <w:rsid w:val="009A05D8"/>
    <w:rsid w:val="009A19C2"/>
    <w:rsid w:val="009A1C9E"/>
    <w:rsid w:val="009A31A8"/>
    <w:rsid w:val="009A63C2"/>
    <w:rsid w:val="009B1D26"/>
    <w:rsid w:val="009B1EFE"/>
    <w:rsid w:val="009B23A5"/>
    <w:rsid w:val="009B2A1C"/>
    <w:rsid w:val="009B2C0B"/>
    <w:rsid w:val="009B32E5"/>
    <w:rsid w:val="009B53A3"/>
    <w:rsid w:val="009B627E"/>
    <w:rsid w:val="009B81C7"/>
    <w:rsid w:val="009C1DD3"/>
    <w:rsid w:val="009C1F42"/>
    <w:rsid w:val="009C21AC"/>
    <w:rsid w:val="009C21BE"/>
    <w:rsid w:val="009C232C"/>
    <w:rsid w:val="009C2A23"/>
    <w:rsid w:val="009C373B"/>
    <w:rsid w:val="009C408C"/>
    <w:rsid w:val="009C4600"/>
    <w:rsid w:val="009C57EB"/>
    <w:rsid w:val="009C7995"/>
    <w:rsid w:val="009D0314"/>
    <w:rsid w:val="009D2234"/>
    <w:rsid w:val="009D53D7"/>
    <w:rsid w:val="009D5DE5"/>
    <w:rsid w:val="009D67B4"/>
    <w:rsid w:val="009D6C93"/>
    <w:rsid w:val="009D70C5"/>
    <w:rsid w:val="009D78FD"/>
    <w:rsid w:val="009E00CE"/>
    <w:rsid w:val="009E0F6C"/>
    <w:rsid w:val="009E1241"/>
    <w:rsid w:val="009E2119"/>
    <w:rsid w:val="009E38D4"/>
    <w:rsid w:val="009E3D5C"/>
    <w:rsid w:val="009E492A"/>
    <w:rsid w:val="009E4BE8"/>
    <w:rsid w:val="009E501E"/>
    <w:rsid w:val="009E5C04"/>
    <w:rsid w:val="009E5C5B"/>
    <w:rsid w:val="009E79AC"/>
    <w:rsid w:val="009F00AD"/>
    <w:rsid w:val="009F09AC"/>
    <w:rsid w:val="009F1281"/>
    <w:rsid w:val="009F3FBE"/>
    <w:rsid w:val="009F4196"/>
    <w:rsid w:val="009F4594"/>
    <w:rsid w:val="009F4839"/>
    <w:rsid w:val="009F49D6"/>
    <w:rsid w:val="009F59A2"/>
    <w:rsid w:val="009F62ED"/>
    <w:rsid w:val="009F6C32"/>
    <w:rsid w:val="009F6C56"/>
    <w:rsid w:val="009F784A"/>
    <w:rsid w:val="009F7D53"/>
    <w:rsid w:val="00A01304"/>
    <w:rsid w:val="00A028E4"/>
    <w:rsid w:val="00A03A85"/>
    <w:rsid w:val="00A04A28"/>
    <w:rsid w:val="00A04B62"/>
    <w:rsid w:val="00A063AF"/>
    <w:rsid w:val="00A0751F"/>
    <w:rsid w:val="00A07811"/>
    <w:rsid w:val="00A107BF"/>
    <w:rsid w:val="00A10E11"/>
    <w:rsid w:val="00A123CC"/>
    <w:rsid w:val="00A129C3"/>
    <w:rsid w:val="00A12ED5"/>
    <w:rsid w:val="00A142CA"/>
    <w:rsid w:val="00A14AED"/>
    <w:rsid w:val="00A15078"/>
    <w:rsid w:val="00A153D4"/>
    <w:rsid w:val="00A15436"/>
    <w:rsid w:val="00A155C4"/>
    <w:rsid w:val="00A15DE3"/>
    <w:rsid w:val="00A163C5"/>
    <w:rsid w:val="00A17513"/>
    <w:rsid w:val="00A1798B"/>
    <w:rsid w:val="00A21F7F"/>
    <w:rsid w:val="00A2227B"/>
    <w:rsid w:val="00A233CC"/>
    <w:rsid w:val="00A26A2C"/>
    <w:rsid w:val="00A27888"/>
    <w:rsid w:val="00A312CE"/>
    <w:rsid w:val="00A32331"/>
    <w:rsid w:val="00A329E0"/>
    <w:rsid w:val="00A33222"/>
    <w:rsid w:val="00A3358A"/>
    <w:rsid w:val="00A34F97"/>
    <w:rsid w:val="00A367AD"/>
    <w:rsid w:val="00A3737C"/>
    <w:rsid w:val="00A37A03"/>
    <w:rsid w:val="00A40F24"/>
    <w:rsid w:val="00A4127E"/>
    <w:rsid w:val="00A44961"/>
    <w:rsid w:val="00A46CF4"/>
    <w:rsid w:val="00A50458"/>
    <w:rsid w:val="00A51158"/>
    <w:rsid w:val="00A526EA"/>
    <w:rsid w:val="00A53842"/>
    <w:rsid w:val="00A54D90"/>
    <w:rsid w:val="00A559DB"/>
    <w:rsid w:val="00A564DC"/>
    <w:rsid w:val="00A575D0"/>
    <w:rsid w:val="00A57F23"/>
    <w:rsid w:val="00A606C3"/>
    <w:rsid w:val="00A607B5"/>
    <w:rsid w:val="00A60A67"/>
    <w:rsid w:val="00A622E0"/>
    <w:rsid w:val="00A62B5A"/>
    <w:rsid w:val="00A62D37"/>
    <w:rsid w:val="00A64096"/>
    <w:rsid w:val="00A64EF0"/>
    <w:rsid w:val="00A65286"/>
    <w:rsid w:val="00A65A09"/>
    <w:rsid w:val="00A675A8"/>
    <w:rsid w:val="00A705C4"/>
    <w:rsid w:val="00A71032"/>
    <w:rsid w:val="00A72977"/>
    <w:rsid w:val="00A74B9C"/>
    <w:rsid w:val="00A74C9F"/>
    <w:rsid w:val="00A7562C"/>
    <w:rsid w:val="00A76092"/>
    <w:rsid w:val="00A76952"/>
    <w:rsid w:val="00A77325"/>
    <w:rsid w:val="00A7770E"/>
    <w:rsid w:val="00A80F11"/>
    <w:rsid w:val="00A80FA2"/>
    <w:rsid w:val="00A814B1"/>
    <w:rsid w:val="00A820D9"/>
    <w:rsid w:val="00A9106C"/>
    <w:rsid w:val="00A922AF"/>
    <w:rsid w:val="00A92640"/>
    <w:rsid w:val="00A929C5"/>
    <w:rsid w:val="00A93041"/>
    <w:rsid w:val="00A934EE"/>
    <w:rsid w:val="00A9544C"/>
    <w:rsid w:val="00A957F9"/>
    <w:rsid w:val="00A95928"/>
    <w:rsid w:val="00AA1CBD"/>
    <w:rsid w:val="00AA2652"/>
    <w:rsid w:val="00AA2F55"/>
    <w:rsid w:val="00AA3092"/>
    <w:rsid w:val="00AA5057"/>
    <w:rsid w:val="00AA57A9"/>
    <w:rsid w:val="00AA5DAF"/>
    <w:rsid w:val="00AA6D00"/>
    <w:rsid w:val="00AA7C78"/>
    <w:rsid w:val="00AB25CE"/>
    <w:rsid w:val="00AB3AD0"/>
    <w:rsid w:val="00AB6520"/>
    <w:rsid w:val="00AB6ADB"/>
    <w:rsid w:val="00AC00DF"/>
    <w:rsid w:val="00AC0CB7"/>
    <w:rsid w:val="00AC136B"/>
    <w:rsid w:val="00AC1736"/>
    <w:rsid w:val="00AC3BF9"/>
    <w:rsid w:val="00AC4DB9"/>
    <w:rsid w:val="00AC53F5"/>
    <w:rsid w:val="00AC655B"/>
    <w:rsid w:val="00AC7584"/>
    <w:rsid w:val="00AC7C7D"/>
    <w:rsid w:val="00AD1041"/>
    <w:rsid w:val="00AD1A10"/>
    <w:rsid w:val="00AD1E7A"/>
    <w:rsid w:val="00AD4C61"/>
    <w:rsid w:val="00AD4D4F"/>
    <w:rsid w:val="00AD514B"/>
    <w:rsid w:val="00AD521F"/>
    <w:rsid w:val="00AD55CD"/>
    <w:rsid w:val="00AD5BCC"/>
    <w:rsid w:val="00AD6801"/>
    <w:rsid w:val="00AD69AD"/>
    <w:rsid w:val="00AD7FBF"/>
    <w:rsid w:val="00AE3636"/>
    <w:rsid w:val="00AE4492"/>
    <w:rsid w:val="00AE492C"/>
    <w:rsid w:val="00AE4C5A"/>
    <w:rsid w:val="00AE71A3"/>
    <w:rsid w:val="00AF0FA7"/>
    <w:rsid w:val="00AF290D"/>
    <w:rsid w:val="00AF2B46"/>
    <w:rsid w:val="00AF2FF3"/>
    <w:rsid w:val="00AF3065"/>
    <w:rsid w:val="00AF4925"/>
    <w:rsid w:val="00AF4AD0"/>
    <w:rsid w:val="00AF538D"/>
    <w:rsid w:val="00AF62A1"/>
    <w:rsid w:val="00AF73CD"/>
    <w:rsid w:val="00B00133"/>
    <w:rsid w:val="00B00AD1"/>
    <w:rsid w:val="00B0115C"/>
    <w:rsid w:val="00B028A4"/>
    <w:rsid w:val="00B03541"/>
    <w:rsid w:val="00B04A87"/>
    <w:rsid w:val="00B050D4"/>
    <w:rsid w:val="00B051C9"/>
    <w:rsid w:val="00B05DA2"/>
    <w:rsid w:val="00B06DFD"/>
    <w:rsid w:val="00B101B1"/>
    <w:rsid w:val="00B10279"/>
    <w:rsid w:val="00B112CE"/>
    <w:rsid w:val="00B132CB"/>
    <w:rsid w:val="00B135D0"/>
    <w:rsid w:val="00B148A4"/>
    <w:rsid w:val="00B1647F"/>
    <w:rsid w:val="00B21252"/>
    <w:rsid w:val="00B21E92"/>
    <w:rsid w:val="00B22A33"/>
    <w:rsid w:val="00B230FA"/>
    <w:rsid w:val="00B250A3"/>
    <w:rsid w:val="00B25B76"/>
    <w:rsid w:val="00B264A5"/>
    <w:rsid w:val="00B27B42"/>
    <w:rsid w:val="00B27EF8"/>
    <w:rsid w:val="00B306D8"/>
    <w:rsid w:val="00B30759"/>
    <w:rsid w:val="00B30CC6"/>
    <w:rsid w:val="00B31862"/>
    <w:rsid w:val="00B333B2"/>
    <w:rsid w:val="00B3378D"/>
    <w:rsid w:val="00B36A41"/>
    <w:rsid w:val="00B36F14"/>
    <w:rsid w:val="00B36FD5"/>
    <w:rsid w:val="00B370EE"/>
    <w:rsid w:val="00B42342"/>
    <w:rsid w:val="00B42957"/>
    <w:rsid w:val="00B42E56"/>
    <w:rsid w:val="00B441BF"/>
    <w:rsid w:val="00B502AD"/>
    <w:rsid w:val="00B509CA"/>
    <w:rsid w:val="00B51D2F"/>
    <w:rsid w:val="00B51D31"/>
    <w:rsid w:val="00B51D90"/>
    <w:rsid w:val="00B51FF9"/>
    <w:rsid w:val="00B523F4"/>
    <w:rsid w:val="00B523FD"/>
    <w:rsid w:val="00B526C6"/>
    <w:rsid w:val="00B543B8"/>
    <w:rsid w:val="00B5581D"/>
    <w:rsid w:val="00B56A45"/>
    <w:rsid w:val="00B56E89"/>
    <w:rsid w:val="00B57203"/>
    <w:rsid w:val="00B572A8"/>
    <w:rsid w:val="00B62CF2"/>
    <w:rsid w:val="00B65C3F"/>
    <w:rsid w:val="00B66F55"/>
    <w:rsid w:val="00B70340"/>
    <w:rsid w:val="00B7051E"/>
    <w:rsid w:val="00B72E95"/>
    <w:rsid w:val="00B74E91"/>
    <w:rsid w:val="00B76AC8"/>
    <w:rsid w:val="00B773C3"/>
    <w:rsid w:val="00B8361E"/>
    <w:rsid w:val="00B84D52"/>
    <w:rsid w:val="00B8558B"/>
    <w:rsid w:val="00B86F01"/>
    <w:rsid w:val="00B87C77"/>
    <w:rsid w:val="00B90410"/>
    <w:rsid w:val="00B91F3C"/>
    <w:rsid w:val="00B92C55"/>
    <w:rsid w:val="00B934B9"/>
    <w:rsid w:val="00B935B0"/>
    <w:rsid w:val="00B93610"/>
    <w:rsid w:val="00BA02C7"/>
    <w:rsid w:val="00BA0B41"/>
    <w:rsid w:val="00BA12DA"/>
    <w:rsid w:val="00BA1447"/>
    <w:rsid w:val="00BA27FA"/>
    <w:rsid w:val="00BA3D18"/>
    <w:rsid w:val="00BA4109"/>
    <w:rsid w:val="00BA47CA"/>
    <w:rsid w:val="00BA77D4"/>
    <w:rsid w:val="00BB1FC4"/>
    <w:rsid w:val="00BB2B1B"/>
    <w:rsid w:val="00BB31B8"/>
    <w:rsid w:val="00BB45CD"/>
    <w:rsid w:val="00BC05A7"/>
    <w:rsid w:val="00BC0AB8"/>
    <w:rsid w:val="00BC132E"/>
    <w:rsid w:val="00BC222C"/>
    <w:rsid w:val="00BC2979"/>
    <w:rsid w:val="00BC2B60"/>
    <w:rsid w:val="00BC3F10"/>
    <w:rsid w:val="00BC49CB"/>
    <w:rsid w:val="00BC62D0"/>
    <w:rsid w:val="00BC6FF1"/>
    <w:rsid w:val="00BC715F"/>
    <w:rsid w:val="00BC7F05"/>
    <w:rsid w:val="00BD0898"/>
    <w:rsid w:val="00BD315A"/>
    <w:rsid w:val="00BD346B"/>
    <w:rsid w:val="00BD34B3"/>
    <w:rsid w:val="00BD52E1"/>
    <w:rsid w:val="00BD5DC3"/>
    <w:rsid w:val="00BD656E"/>
    <w:rsid w:val="00BD79A2"/>
    <w:rsid w:val="00BD7E8C"/>
    <w:rsid w:val="00BE0A68"/>
    <w:rsid w:val="00BE2F3D"/>
    <w:rsid w:val="00BE5EC2"/>
    <w:rsid w:val="00BE79E8"/>
    <w:rsid w:val="00BF02AF"/>
    <w:rsid w:val="00BF0CED"/>
    <w:rsid w:val="00BF253E"/>
    <w:rsid w:val="00BF28DD"/>
    <w:rsid w:val="00BF366E"/>
    <w:rsid w:val="00BF41A7"/>
    <w:rsid w:val="00BF5B4F"/>
    <w:rsid w:val="00BF6016"/>
    <w:rsid w:val="00BF6A59"/>
    <w:rsid w:val="00C00367"/>
    <w:rsid w:val="00C01DE5"/>
    <w:rsid w:val="00C0386A"/>
    <w:rsid w:val="00C042BE"/>
    <w:rsid w:val="00C04C7E"/>
    <w:rsid w:val="00C057D3"/>
    <w:rsid w:val="00C05CA2"/>
    <w:rsid w:val="00C06E2F"/>
    <w:rsid w:val="00C074B5"/>
    <w:rsid w:val="00C107A8"/>
    <w:rsid w:val="00C10832"/>
    <w:rsid w:val="00C1251A"/>
    <w:rsid w:val="00C126E8"/>
    <w:rsid w:val="00C13441"/>
    <w:rsid w:val="00C135A7"/>
    <w:rsid w:val="00C149D8"/>
    <w:rsid w:val="00C1545E"/>
    <w:rsid w:val="00C15507"/>
    <w:rsid w:val="00C168DF"/>
    <w:rsid w:val="00C174B0"/>
    <w:rsid w:val="00C17C70"/>
    <w:rsid w:val="00C20D52"/>
    <w:rsid w:val="00C2455E"/>
    <w:rsid w:val="00C25094"/>
    <w:rsid w:val="00C25BCF"/>
    <w:rsid w:val="00C2648C"/>
    <w:rsid w:val="00C31B6A"/>
    <w:rsid w:val="00C31F9E"/>
    <w:rsid w:val="00C32AB4"/>
    <w:rsid w:val="00C3345E"/>
    <w:rsid w:val="00C3389D"/>
    <w:rsid w:val="00C33B41"/>
    <w:rsid w:val="00C35481"/>
    <w:rsid w:val="00C359CC"/>
    <w:rsid w:val="00C3600F"/>
    <w:rsid w:val="00C36047"/>
    <w:rsid w:val="00C3658A"/>
    <w:rsid w:val="00C36702"/>
    <w:rsid w:val="00C36BA5"/>
    <w:rsid w:val="00C37058"/>
    <w:rsid w:val="00C37207"/>
    <w:rsid w:val="00C40A4F"/>
    <w:rsid w:val="00C40C3E"/>
    <w:rsid w:val="00C40FC4"/>
    <w:rsid w:val="00C41095"/>
    <w:rsid w:val="00C41478"/>
    <w:rsid w:val="00C41CAC"/>
    <w:rsid w:val="00C42005"/>
    <w:rsid w:val="00C43694"/>
    <w:rsid w:val="00C43E26"/>
    <w:rsid w:val="00C466CC"/>
    <w:rsid w:val="00C46CB5"/>
    <w:rsid w:val="00C5092B"/>
    <w:rsid w:val="00C50DD9"/>
    <w:rsid w:val="00C51188"/>
    <w:rsid w:val="00C516A0"/>
    <w:rsid w:val="00C52564"/>
    <w:rsid w:val="00C5385A"/>
    <w:rsid w:val="00C54ABB"/>
    <w:rsid w:val="00C54E4D"/>
    <w:rsid w:val="00C55C8C"/>
    <w:rsid w:val="00C55ED4"/>
    <w:rsid w:val="00C56325"/>
    <w:rsid w:val="00C573BF"/>
    <w:rsid w:val="00C57B32"/>
    <w:rsid w:val="00C601BD"/>
    <w:rsid w:val="00C6035C"/>
    <w:rsid w:val="00C66DBD"/>
    <w:rsid w:val="00C70572"/>
    <w:rsid w:val="00C70AB3"/>
    <w:rsid w:val="00C71D4E"/>
    <w:rsid w:val="00C72AF0"/>
    <w:rsid w:val="00C72B90"/>
    <w:rsid w:val="00C73F8F"/>
    <w:rsid w:val="00C7449B"/>
    <w:rsid w:val="00C76EF4"/>
    <w:rsid w:val="00C7713B"/>
    <w:rsid w:val="00C779C9"/>
    <w:rsid w:val="00C8005A"/>
    <w:rsid w:val="00C805A9"/>
    <w:rsid w:val="00C81A7D"/>
    <w:rsid w:val="00C81F21"/>
    <w:rsid w:val="00C82D32"/>
    <w:rsid w:val="00C8536E"/>
    <w:rsid w:val="00C87607"/>
    <w:rsid w:val="00C87D6E"/>
    <w:rsid w:val="00C87E02"/>
    <w:rsid w:val="00C87E8C"/>
    <w:rsid w:val="00C91A4B"/>
    <w:rsid w:val="00C92428"/>
    <w:rsid w:val="00C932CB"/>
    <w:rsid w:val="00C93674"/>
    <w:rsid w:val="00C940F6"/>
    <w:rsid w:val="00C94915"/>
    <w:rsid w:val="00C94C00"/>
    <w:rsid w:val="00C95377"/>
    <w:rsid w:val="00C9570F"/>
    <w:rsid w:val="00C9637D"/>
    <w:rsid w:val="00C97E80"/>
    <w:rsid w:val="00C97F5A"/>
    <w:rsid w:val="00CA27A9"/>
    <w:rsid w:val="00CA397A"/>
    <w:rsid w:val="00CA3A9B"/>
    <w:rsid w:val="00CA47E8"/>
    <w:rsid w:val="00CA4F00"/>
    <w:rsid w:val="00CA5290"/>
    <w:rsid w:val="00CA5766"/>
    <w:rsid w:val="00CA5916"/>
    <w:rsid w:val="00CA5FA9"/>
    <w:rsid w:val="00CA7B1C"/>
    <w:rsid w:val="00CA7CB4"/>
    <w:rsid w:val="00CB222C"/>
    <w:rsid w:val="00CB78C3"/>
    <w:rsid w:val="00CB7EA1"/>
    <w:rsid w:val="00CC073E"/>
    <w:rsid w:val="00CC2C05"/>
    <w:rsid w:val="00CC2DE5"/>
    <w:rsid w:val="00CC47CB"/>
    <w:rsid w:val="00CC5009"/>
    <w:rsid w:val="00CD175C"/>
    <w:rsid w:val="00CD1FD5"/>
    <w:rsid w:val="00CD42F2"/>
    <w:rsid w:val="00CD4433"/>
    <w:rsid w:val="00CD4DEF"/>
    <w:rsid w:val="00CD5776"/>
    <w:rsid w:val="00CD5FE1"/>
    <w:rsid w:val="00CD608C"/>
    <w:rsid w:val="00CD73A6"/>
    <w:rsid w:val="00CE08FF"/>
    <w:rsid w:val="00CE0A06"/>
    <w:rsid w:val="00CE1D54"/>
    <w:rsid w:val="00CE26A0"/>
    <w:rsid w:val="00CE26A5"/>
    <w:rsid w:val="00CE2726"/>
    <w:rsid w:val="00CE3491"/>
    <w:rsid w:val="00CE4A3B"/>
    <w:rsid w:val="00CE5D51"/>
    <w:rsid w:val="00CE6208"/>
    <w:rsid w:val="00CE6679"/>
    <w:rsid w:val="00CE670D"/>
    <w:rsid w:val="00CE75EB"/>
    <w:rsid w:val="00CE7DB7"/>
    <w:rsid w:val="00CF26D4"/>
    <w:rsid w:val="00CF2A7C"/>
    <w:rsid w:val="00CF3529"/>
    <w:rsid w:val="00CF3B75"/>
    <w:rsid w:val="00CF3D72"/>
    <w:rsid w:val="00CF4531"/>
    <w:rsid w:val="00CF52F7"/>
    <w:rsid w:val="00CF5538"/>
    <w:rsid w:val="00CF6842"/>
    <w:rsid w:val="00D0029F"/>
    <w:rsid w:val="00D0443F"/>
    <w:rsid w:val="00D053EB"/>
    <w:rsid w:val="00D05E42"/>
    <w:rsid w:val="00D05F17"/>
    <w:rsid w:val="00D06658"/>
    <w:rsid w:val="00D07A86"/>
    <w:rsid w:val="00D1178F"/>
    <w:rsid w:val="00D1304D"/>
    <w:rsid w:val="00D131BC"/>
    <w:rsid w:val="00D15F98"/>
    <w:rsid w:val="00D16794"/>
    <w:rsid w:val="00D17D44"/>
    <w:rsid w:val="00D201B2"/>
    <w:rsid w:val="00D21753"/>
    <w:rsid w:val="00D21FA5"/>
    <w:rsid w:val="00D22AF1"/>
    <w:rsid w:val="00D22D92"/>
    <w:rsid w:val="00D24493"/>
    <w:rsid w:val="00D259FB"/>
    <w:rsid w:val="00D25EE0"/>
    <w:rsid w:val="00D26E2F"/>
    <w:rsid w:val="00D27239"/>
    <w:rsid w:val="00D27646"/>
    <w:rsid w:val="00D305E1"/>
    <w:rsid w:val="00D31B5A"/>
    <w:rsid w:val="00D32AF0"/>
    <w:rsid w:val="00D35098"/>
    <w:rsid w:val="00D353EF"/>
    <w:rsid w:val="00D3591F"/>
    <w:rsid w:val="00D35C53"/>
    <w:rsid w:val="00D36545"/>
    <w:rsid w:val="00D4098E"/>
    <w:rsid w:val="00D409D4"/>
    <w:rsid w:val="00D40ADA"/>
    <w:rsid w:val="00D411D8"/>
    <w:rsid w:val="00D42A77"/>
    <w:rsid w:val="00D44528"/>
    <w:rsid w:val="00D456CE"/>
    <w:rsid w:val="00D458DD"/>
    <w:rsid w:val="00D463DE"/>
    <w:rsid w:val="00D51470"/>
    <w:rsid w:val="00D5321F"/>
    <w:rsid w:val="00D533E3"/>
    <w:rsid w:val="00D53479"/>
    <w:rsid w:val="00D53BD8"/>
    <w:rsid w:val="00D53C07"/>
    <w:rsid w:val="00D55E15"/>
    <w:rsid w:val="00D6012E"/>
    <w:rsid w:val="00D60D01"/>
    <w:rsid w:val="00D60EAE"/>
    <w:rsid w:val="00D628C3"/>
    <w:rsid w:val="00D62E89"/>
    <w:rsid w:val="00D62FE1"/>
    <w:rsid w:val="00D637DF"/>
    <w:rsid w:val="00D66A2A"/>
    <w:rsid w:val="00D67EA1"/>
    <w:rsid w:val="00D707BA"/>
    <w:rsid w:val="00D70925"/>
    <w:rsid w:val="00D7322D"/>
    <w:rsid w:val="00D733F3"/>
    <w:rsid w:val="00D774FB"/>
    <w:rsid w:val="00D7752A"/>
    <w:rsid w:val="00D77EF2"/>
    <w:rsid w:val="00D81FBF"/>
    <w:rsid w:val="00D83A67"/>
    <w:rsid w:val="00D8575E"/>
    <w:rsid w:val="00D86632"/>
    <w:rsid w:val="00D87F17"/>
    <w:rsid w:val="00D90769"/>
    <w:rsid w:val="00D91178"/>
    <w:rsid w:val="00D92FC3"/>
    <w:rsid w:val="00D93C5B"/>
    <w:rsid w:val="00D94707"/>
    <w:rsid w:val="00D97EB8"/>
    <w:rsid w:val="00DA08BF"/>
    <w:rsid w:val="00DA1469"/>
    <w:rsid w:val="00DA188C"/>
    <w:rsid w:val="00DA2571"/>
    <w:rsid w:val="00DA41ED"/>
    <w:rsid w:val="00DA474B"/>
    <w:rsid w:val="00DA6C10"/>
    <w:rsid w:val="00DA7EC5"/>
    <w:rsid w:val="00DB0028"/>
    <w:rsid w:val="00DB03C9"/>
    <w:rsid w:val="00DB10EA"/>
    <w:rsid w:val="00DB1794"/>
    <w:rsid w:val="00DB201B"/>
    <w:rsid w:val="00DB250B"/>
    <w:rsid w:val="00DB5F3B"/>
    <w:rsid w:val="00DB7C6C"/>
    <w:rsid w:val="00DC0DE3"/>
    <w:rsid w:val="00DC1134"/>
    <w:rsid w:val="00DC233F"/>
    <w:rsid w:val="00DC506B"/>
    <w:rsid w:val="00DC6025"/>
    <w:rsid w:val="00DC657B"/>
    <w:rsid w:val="00DD0B00"/>
    <w:rsid w:val="00DD1A61"/>
    <w:rsid w:val="00DD32C5"/>
    <w:rsid w:val="00DD3FD0"/>
    <w:rsid w:val="00DD4A98"/>
    <w:rsid w:val="00DD6397"/>
    <w:rsid w:val="00DD771E"/>
    <w:rsid w:val="00DD7869"/>
    <w:rsid w:val="00DE155D"/>
    <w:rsid w:val="00DE1B49"/>
    <w:rsid w:val="00DE2175"/>
    <w:rsid w:val="00DE2AE9"/>
    <w:rsid w:val="00DE3D86"/>
    <w:rsid w:val="00DE43C2"/>
    <w:rsid w:val="00DE45E7"/>
    <w:rsid w:val="00DE4721"/>
    <w:rsid w:val="00DE4F1C"/>
    <w:rsid w:val="00DE6202"/>
    <w:rsid w:val="00DE622A"/>
    <w:rsid w:val="00DE6597"/>
    <w:rsid w:val="00DE6C65"/>
    <w:rsid w:val="00DF0937"/>
    <w:rsid w:val="00DF1914"/>
    <w:rsid w:val="00DF5156"/>
    <w:rsid w:val="00E01036"/>
    <w:rsid w:val="00E011DB"/>
    <w:rsid w:val="00E026D3"/>
    <w:rsid w:val="00E03DB5"/>
    <w:rsid w:val="00E0583E"/>
    <w:rsid w:val="00E10B4F"/>
    <w:rsid w:val="00E10F78"/>
    <w:rsid w:val="00E112D3"/>
    <w:rsid w:val="00E12E14"/>
    <w:rsid w:val="00E13CCF"/>
    <w:rsid w:val="00E1475B"/>
    <w:rsid w:val="00E14FF1"/>
    <w:rsid w:val="00E154BC"/>
    <w:rsid w:val="00E15563"/>
    <w:rsid w:val="00E179C8"/>
    <w:rsid w:val="00E17CCE"/>
    <w:rsid w:val="00E21080"/>
    <w:rsid w:val="00E2183D"/>
    <w:rsid w:val="00E21CC2"/>
    <w:rsid w:val="00E2294D"/>
    <w:rsid w:val="00E2417F"/>
    <w:rsid w:val="00E247EC"/>
    <w:rsid w:val="00E261F1"/>
    <w:rsid w:val="00E26AFB"/>
    <w:rsid w:val="00E30E37"/>
    <w:rsid w:val="00E32ED2"/>
    <w:rsid w:val="00E337F9"/>
    <w:rsid w:val="00E33CE1"/>
    <w:rsid w:val="00E36D8D"/>
    <w:rsid w:val="00E40440"/>
    <w:rsid w:val="00E414D7"/>
    <w:rsid w:val="00E424B4"/>
    <w:rsid w:val="00E45A03"/>
    <w:rsid w:val="00E50E5C"/>
    <w:rsid w:val="00E529CD"/>
    <w:rsid w:val="00E536F2"/>
    <w:rsid w:val="00E540C0"/>
    <w:rsid w:val="00E54902"/>
    <w:rsid w:val="00E56104"/>
    <w:rsid w:val="00E56229"/>
    <w:rsid w:val="00E562FF"/>
    <w:rsid w:val="00E567D5"/>
    <w:rsid w:val="00E56A64"/>
    <w:rsid w:val="00E571EC"/>
    <w:rsid w:val="00E57C62"/>
    <w:rsid w:val="00E61C92"/>
    <w:rsid w:val="00E61CDD"/>
    <w:rsid w:val="00E624C7"/>
    <w:rsid w:val="00E6577E"/>
    <w:rsid w:val="00E65979"/>
    <w:rsid w:val="00E66859"/>
    <w:rsid w:val="00E66A8F"/>
    <w:rsid w:val="00E66C8E"/>
    <w:rsid w:val="00E674F7"/>
    <w:rsid w:val="00E67862"/>
    <w:rsid w:val="00E74C2A"/>
    <w:rsid w:val="00E74DBF"/>
    <w:rsid w:val="00E75ACC"/>
    <w:rsid w:val="00E76080"/>
    <w:rsid w:val="00E760ED"/>
    <w:rsid w:val="00E7798D"/>
    <w:rsid w:val="00E80131"/>
    <w:rsid w:val="00E8133F"/>
    <w:rsid w:val="00E8308D"/>
    <w:rsid w:val="00E83217"/>
    <w:rsid w:val="00E83452"/>
    <w:rsid w:val="00E84A7C"/>
    <w:rsid w:val="00E84FA2"/>
    <w:rsid w:val="00E862F6"/>
    <w:rsid w:val="00E865BE"/>
    <w:rsid w:val="00E90171"/>
    <w:rsid w:val="00E91586"/>
    <w:rsid w:val="00E91BEC"/>
    <w:rsid w:val="00E92807"/>
    <w:rsid w:val="00E92FA7"/>
    <w:rsid w:val="00E94798"/>
    <w:rsid w:val="00E94D49"/>
    <w:rsid w:val="00E950BA"/>
    <w:rsid w:val="00E951E1"/>
    <w:rsid w:val="00E96C0A"/>
    <w:rsid w:val="00EA0DDB"/>
    <w:rsid w:val="00EA15DB"/>
    <w:rsid w:val="00EA245B"/>
    <w:rsid w:val="00EA2EB9"/>
    <w:rsid w:val="00EA40A5"/>
    <w:rsid w:val="00EA42FD"/>
    <w:rsid w:val="00EA45ED"/>
    <w:rsid w:val="00EA4CFE"/>
    <w:rsid w:val="00EB1BCE"/>
    <w:rsid w:val="00EB1D3E"/>
    <w:rsid w:val="00EB3481"/>
    <w:rsid w:val="00EB36C4"/>
    <w:rsid w:val="00EB418B"/>
    <w:rsid w:val="00EB43F3"/>
    <w:rsid w:val="00EB4B2B"/>
    <w:rsid w:val="00EB4D17"/>
    <w:rsid w:val="00EB752A"/>
    <w:rsid w:val="00EB7C39"/>
    <w:rsid w:val="00EC0485"/>
    <w:rsid w:val="00EC15B4"/>
    <w:rsid w:val="00EC25B2"/>
    <w:rsid w:val="00EC25C7"/>
    <w:rsid w:val="00EC29BA"/>
    <w:rsid w:val="00EC474F"/>
    <w:rsid w:val="00ED004C"/>
    <w:rsid w:val="00ED0E97"/>
    <w:rsid w:val="00ED2CB6"/>
    <w:rsid w:val="00ED2F7F"/>
    <w:rsid w:val="00ED37BD"/>
    <w:rsid w:val="00ED39BC"/>
    <w:rsid w:val="00ED3A63"/>
    <w:rsid w:val="00ED5AF1"/>
    <w:rsid w:val="00ED5BFF"/>
    <w:rsid w:val="00ED7E8A"/>
    <w:rsid w:val="00EE022A"/>
    <w:rsid w:val="00EE36E1"/>
    <w:rsid w:val="00EE3708"/>
    <w:rsid w:val="00EE481B"/>
    <w:rsid w:val="00EE6C94"/>
    <w:rsid w:val="00EF0430"/>
    <w:rsid w:val="00EF0D22"/>
    <w:rsid w:val="00EF2405"/>
    <w:rsid w:val="00EF2470"/>
    <w:rsid w:val="00EF3570"/>
    <w:rsid w:val="00EF42EB"/>
    <w:rsid w:val="00EF46FC"/>
    <w:rsid w:val="00EF470A"/>
    <w:rsid w:val="00EF4775"/>
    <w:rsid w:val="00EF7A81"/>
    <w:rsid w:val="00F02946"/>
    <w:rsid w:val="00F03E69"/>
    <w:rsid w:val="00F04975"/>
    <w:rsid w:val="00F04AA6"/>
    <w:rsid w:val="00F0617C"/>
    <w:rsid w:val="00F0678D"/>
    <w:rsid w:val="00F0687B"/>
    <w:rsid w:val="00F0706D"/>
    <w:rsid w:val="00F1016F"/>
    <w:rsid w:val="00F1022B"/>
    <w:rsid w:val="00F10597"/>
    <w:rsid w:val="00F10ADC"/>
    <w:rsid w:val="00F129D4"/>
    <w:rsid w:val="00F12D25"/>
    <w:rsid w:val="00F12EE7"/>
    <w:rsid w:val="00F13BC4"/>
    <w:rsid w:val="00F13C99"/>
    <w:rsid w:val="00F14D7C"/>
    <w:rsid w:val="00F14F79"/>
    <w:rsid w:val="00F15727"/>
    <w:rsid w:val="00F16B86"/>
    <w:rsid w:val="00F16C83"/>
    <w:rsid w:val="00F1744F"/>
    <w:rsid w:val="00F218B5"/>
    <w:rsid w:val="00F21C06"/>
    <w:rsid w:val="00F22DC6"/>
    <w:rsid w:val="00F23504"/>
    <w:rsid w:val="00F23959"/>
    <w:rsid w:val="00F23EE4"/>
    <w:rsid w:val="00F24786"/>
    <w:rsid w:val="00F248F5"/>
    <w:rsid w:val="00F255D8"/>
    <w:rsid w:val="00F2745B"/>
    <w:rsid w:val="00F27C05"/>
    <w:rsid w:val="00F27C6A"/>
    <w:rsid w:val="00F303BC"/>
    <w:rsid w:val="00F3066C"/>
    <w:rsid w:val="00F30BCF"/>
    <w:rsid w:val="00F32B1F"/>
    <w:rsid w:val="00F3442F"/>
    <w:rsid w:val="00F346A0"/>
    <w:rsid w:val="00F3612A"/>
    <w:rsid w:val="00F3685D"/>
    <w:rsid w:val="00F36BAE"/>
    <w:rsid w:val="00F37A03"/>
    <w:rsid w:val="00F402F2"/>
    <w:rsid w:val="00F4034F"/>
    <w:rsid w:val="00F406B8"/>
    <w:rsid w:val="00F40DE5"/>
    <w:rsid w:val="00F40E08"/>
    <w:rsid w:val="00F41C44"/>
    <w:rsid w:val="00F426AF"/>
    <w:rsid w:val="00F4299E"/>
    <w:rsid w:val="00F4338C"/>
    <w:rsid w:val="00F44AE4"/>
    <w:rsid w:val="00F44ECC"/>
    <w:rsid w:val="00F44ED4"/>
    <w:rsid w:val="00F452DD"/>
    <w:rsid w:val="00F456A4"/>
    <w:rsid w:val="00F456D8"/>
    <w:rsid w:val="00F45955"/>
    <w:rsid w:val="00F477E5"/>
    <w:rsid w:val="00F47BE9"/>
    <w:rsid w:val="00F47C15"/>
    <w:rsid w:val="00F5087D"/>
    <w:rsid w:val="00F50F57"/>
    <w:rsid w:val="00F520CE"/>
    <w:rsid w:val="00F530C2"/>
    <w:rsid w:val="00F55913"/>
    <w:rsid w:val="00F55F25"/>
    <w:rsid w:val="00F569B8"/>
    <w:rsid w:val="00F56B20"/>
    <w:rsid w:val="00F57000"/>
    <w:rsid w:val="00F60A40"/>
    <w:rsid w:val="00F60DE2"/>
    <w:rsid w:val="00F61860"/>
    <w:rsid w:val="00F61952"/>
    <w:rsid w:val="00F61988"/>
    <w:rsid w:val="00F626C9"/>
    <w:rsid w:val="00F63C55"/>
    <w:rsid w:val="00F63CED"/>
    <w:rsid w:val="00F644BC"/>
    <w:rsid w:val="00F64B8F"/>
    <w:rsid w:val="00F64D13"/>
    <w:rsid w:val="00F64FDF"/>
    <w:rsid w:val="00F65553"/>
    <w:rsid w:val="00F673F6"/>
    <w:rsid w:val="00F71576"/>
    <w:rsid w:val="00F71953"/>
    <w:rsid w:val="00F722FD"/>
    <w:rsid w:val="00F739AB"/>
    <w:rsid w:val="00F73E90"/>
    <w:rsid w:val="00F7575E"/>
    <w:rsid w:val="00F76115"/>
    <w:rsid w:val="00F76CBB"/>
    <w:rsid w:val="00F76DDC"/>
    <w:rsid w:val="00F76E06"/>
    <w:rsid w:val="00F77530"/>
    <w:rsid w:val="00F83466"/>
    <w:rsid w:val="00F84AB3"/>
    <w:rsid w:val="00F85B37"/>
    <w:rsid w:val="00F86810"/>
    <w:rsid w:val="00F86C52"/>
    <w:rsid w:val="00F872C1"/>
    <w:rsid w:val="00F9104E"/>
    <w:rsid w:val="00F9164E"/>
    <w:rsid w:val="00F92181"/>
    <w:rsid w:val="00F94A30"/>
    <w:rsid w:val="00F94DE7"/>
    <w:rsid w:val="00FA1975"/>
    <w:rsid w:val="00FA4621"/>
    <w:rsid w:val="00FA5F95"/>
    <w:rsid w:val="00FB0EC6"/>
    <w:rsid w:val="00FB191D"/>
    <w:rsid w:val="00FB1BA5"/>
    <w:rsid w:val="00FB229F"/>
    <w:rsid w:val="00FB2FCD"/>
    <w:rsid w:val="00FB33C9"/>
    <w:rsid w:val="00FB41FA"/>
    <w:rsid w:val="00FB53D5"/>
    <w:rsid w:val="00FB74D6"/>
    <w:rsid w:val="00FC03B0"/>
    <w:rsid w:val="00FC06AE"/>
    <w:rsid w:val="00FC0FC2"/>
    <w:rsid w:val="00FC3343"/>
    <w:rsid w:val="00FC3CA4"/>
    <w:rsid w:val="00FC635F"/>
    <w:rsid w:val="00FC6616"/>
    <w:rsid w:val="00FC69A8"/>
    <w:rsid w:val="00FD09FB"/>
    <w:rsid w:val="00FD1AAB"/>
    <w:rsid w:val="00FD1DB6"/>
    <w:rsid w:val="00FD29B3"/>
    <w:rsid w:val="00FD385D"/>
    <w:rsid w:val="00FD63BC"/>
    <w:rsid w:val="00FD690B"/>
    <w:rsid w:val="00FD702B"/>
    <w:rsid w:val="00FE1547"/>
    <w:rsid w:val="00FE2921"/>
    <w:rsid w:val="00FE2BC6"/>
    <w:rsid w:val="00FE2DCD"/>
    <w:rsid w:val="00FE425E"/>
    <w:rsid w:val="00FE6E48"/>
    <w:rsid w:val="00FE76F6"/>
    <w:rsid w:val="00FF0EBD"/>
    <w:rsid w:val="00FF10D2"/>
    <w:rsid w:val="00FF1399"/>
    <w:rsid w:val="00FF153B"/>
    <w:rsid w:val="00FF1CD3"/>
    <w:rsid w:val="00FF1E30"/>
    <w:rsid w:val="00FF27B2"/>
    <w:rsid w:val="00FF2837"/>
    <w:rsid w:val="00FF2A88"/>
    <w:rsid w:val="00FF304B"/>
    <w:rsid w:val="00FF408E"/>
    <w:rsid w:val="00FF428F"/>
    <w:rsid w:val="00FF4DF8"/>
    <w:rsid w:val="00FF72FB"/>
    <w:rsid w:val="00FF79CC"/>
    <w:rsid w:val="0111A776"/>
    <w:rsid w:val="01400360"/>
    <w:rsid w:val="01468431"/>
    <w:rsid w:val="01820596"/>
    <w:rsid w:val="0324B96D"/>
    <w:rsid w:val="0388FD1D"/>
    <w:rsid w:val="03907C28"/>
    <w:rsid w:val="053ADFC0"/>
    <w:rsid w:val="05781321"/>
    <w:rsid w:val="058172DC"/>
    <w:rsid w:val="058D438C"/>
    <w:rsid w:val="058ECE4A"/>
    <w:rsid w:val="058F2ED4"/>
    <w:rsid w:val="05A8C094"/>
    <w:rsid w:val="06360BEF"/>
    <w:rsid w:val="06674908"/>
    <w:rsid w:val="07128898"/>
    <w:rsid w:val="07C56517"/>
    <w:rsid w:val="080A17C6"/>
    <w:rsid w:val="087FFECE"/>
    <w:rsid w:val="0894DC44"/>
    <w:rsid w:val="094F4CFE"/>
    <w:rsid w:val="0A2073C9"/>
    <w:rsid w:val="0B0A6508"/>
    <w:rsid w:val="0B67254D"/>
    <w:rsid w:val="0C4FF967"/>
    <w:rsid w:val="0D0FBDC1"/>
    <w:rsid w:val="0DED1FF6"/>
    <w:rsid w:val="0E611320"/>
    <w:rsid w:val="0ED27FC9"/>
    <w:rsid w:val="0F5040CD"/>
    <w:rsid w:val="0F5D1F0B"/>
    <w:rsid w:val="1054CDBE"/>
    <w:rsid w:val="106693B6"/>
    <w:rsid w:val="130DC7CB"/>
    <w:rsid w:val="13101C33"/>
    <w:rsid w:val="1325D049"/>
    <w:rsid w:val="133DB38B"/>
    <w:rsid w:val="13A10DEE"/>
    <w:rsid w:val="13A5A592"/>
    <w:rsid w:val="13F9368F"/>
    <w:rsid w:val="140722FA"/>
    <w:rsid w:val="14F17A9F"/>
    <w:rsid w:val="1541ECA8"/>
    <w:rsid w:val="15F0D135"/>
    <w:rsid w:val="1651141A"/>
    <w:rsid w:val="179003CF"/>
    <w:rsid w:val="1835C7C9"/>
    <w:rsid w:val="189833FE"/>
    <w:rsid w:val="18A3F719"/>
    <w:rsid w:val="18F6D55B"/>
    <w:rsid w:val="1944EC81"/>
    <w:rsid w:val="19B1514C"/>
    <w:rsid w:val="1BAFB4DD"/>
    <w:rsid w:val="1C8F293C"/>
    <w:rsid w:val="1DAD0F9C"/>
    <w:rsid w:val="1DC48502"/>
    <w:rsid w:val="1F39E982"/>
    <w:rsid w:val="1FCCFBB4"/>
    <w:rsid w:val="2082D9E2"/>
    <w:rsid w:val="209A2C27"/>
    <w:rsid w:val="20A08779"/>
    <w:rsid w:val="21491690"/>
    <w:rsid w:val="217424AD"/>
    <w:rsid w:val="2188B0AA"/>
    <w:rsid w:val="21956B6B"/>
    <w:rsid w:val="227E41E3"/>
    <w:rsid w:val="2314185B"/>
    <w:rsid w:val="23573A2D"/>
    <w:rsid w:val="2357E477"/>
    <w:rsid w:val="23C6BFAB"/>
    <w:rsid w:val="240557EF"/>
    <w:rsid w:val="241C7441"/>
    <w:rsid w:val="24BC349A"/>
    <w:rsid w:val="24D32B11"/>
    <w:rsid w:val="2615AD16"/>
    <w:rsid w:val="263951B4"/>
    <w:rsid w:val="264D2318"/>
    <w:rsid w:val="2655E067"/>
    <w:rsid w:val="269F6367"/>
    <w:rsid w:val="2831AA71"/>
    <w:rsid w:val="284A6BC9"/>
    <w:rsid w:val="292E5B26"/>
    <w:rsid w:val="295C2D2D"/>
    <w:rsid w:val="296C2ABB"/>
    <w:rsid w:val="296D6602"/>
    <w:rsid w:val="29A4E6DF"/>
    <w:rsid w:val="2A1A8268"/>
    <w:rsid w:val="2A4E8CFC"/>
    <w:rsid w:val="2A6DD2A3"/>
    <w:rsid w:val="2ABCAEFA"/>
    <w:rsid w:val="2BC8A1A9"/>
    <w:rsid w:val="2C006924"/>
    <w:rsid w:val="2C23B3B3"/>
    <w:rsid w:val="2D964CAE"/>
    <w:rsid w:val="2DD205C5"/>
    <w:rsid w:val="2DDF7D7D"/>
    <w:rsid w:val="2DEF57EA"/>
    <w:rsid w:val="2E129527"/>
    <w:rsid w:val="2ECB3E16"/>
    <w:rsid w:val="2ED2B18E"/>
    <w:rsid w:val="2EE2A1CA"/>
    <w:rsid w:val="2EEA7F44"/>
    <w:rsid w:val="2F62F443"/>
    <w:rsid w:val="30060E9B"/>
    <w:rsid w:val="301A93C1"/>
    <w:rsid w:val="304F02FC"/>
    <w:rsid w:val="30710BC9"/>
    <w:rsid w:val="3084B4F4"/>
    <w:rsid w:val="30CA75D0"/>
    <w:rsid w:val="317BCB0F"/>
    <w:rsid w:val="31D3FE48"/>
    <w:rsid w:val="324EDA00"/>
    <w:rsid w:val="32B8E9C4"/>
    <w:rsid w:val="32CEE41C"/>
    <w:rsid w:val="3333A25B"/>
    <w:rsid w:val="344B74B2"/>
    <w:rsid w:val="37ABD1A0"/>
    <w:rsid w:val="388084DF"/>
    <w:rsid w:val="38F15851"/>
    <w:rsid w:val="3929DFA2"/>
    <w:rsid w:val="399C1AB1"/>
    <w:rsid w:val="3A2FAE30"/>
    <w:rsid w:val="3B449D99"/>
    <w:rsid w:val="3B452C38"/>
    <w:rsid w:val="3C5D3EB2"/>
    <w:rsid w:val="3C997A11"/>
    <w:rsid w:val="3CE7D2BD"/>
    <w:rsid w:val="3CF5C85D"/>
    <w:rsid w:val="3D2DD753"/>
    <w:rsid w:val="3D7D83B6"/>
    <w:rsid w:val="3D8B1ACE"/>
    <w:rsid w:val="3E05985A"/>
    <w:rsid w:val="3E52EB13"/>
    <w:rsid w:val="3E8ACF90"/>
    <w:rsid w:val="3E8CAF45"/>
    <w:rsid w:val="3EDF606D"/>
    <w:rsid w:val="3FD2F8C9"/>
    <w:rsid w:val="4042C6E7"/>
    <w:rsid w:val="40C26A5A"/>
    <w:rsid w:val="4122A8F8"/>
    <w:rsid w:val="419354B7"/>
    <w:rsid w:val="41D3A611"/>
    <w:rsid w:val="41DF0E59"/>
    <w:rsid w:val="42973500"/>
    <w:rsid w:val="42EA4EEC"/>
    <w:rsid w:val="4408021F"/>
    <w:rsid w:val="440D6C46"/>
    <w:rsid w:val="449E7BA2"/>
    <w:rsid w:val="45716F50"/>
    <w:rsid w:val="45CE1452"/>
    <w:rsid w:val="45E79D39"/>
    <w:rsid w:val="46928E90"/>
    <w:rsid w:val="46A747A7"/>
    <w:rsid w:val="46CBF13D"/>
    <w:rsid w:val="46D34B68"/>
    <w:rsid w:val="46FFCBBA"/>
    <w:rsid w:val="4705B60E"/>
    <w:rsid w:val="47337F98"/>
    <w:rsid w:val="484C0828"/>
    <w:rsid w:val="4976E910"/>
    <w:rsid w:val="49AF947D"/>
    <w:rsid w:val="49AFEE8C"/>
    <w:rsid w:val="49B0E7F1"/>
    <w:rsid w:val="4B925F42"/>
    <w:rsid w:val="4C805F1F"/>
    <w:rsid w:val="4C8BC70B"/>
    <w:rsid w:val="4C980DD1"/>
    <w:rsid w:val="4CFF3FBF"/>
    <w:rsid w:val="4D297ABA"/>
    <w:rsid w:val="4D57CF09"/>
    <w:rsid w:val="4D6ADF59"/>
    <w:rsid w:val="4DA7284D"/>
    <w:rsid w:val="4DFBC1C0"/>
    <w:rsid w:val="4E7C127A"/>
    <w:rsid w:val="4EF923D9"/>
    <w:rsid w:val="4F9C6E48"/>
    <w:rsid w:val="50F3E5AD"/>
    <w:rsid w:val="513B57E6"/>
    <w:rsid w:val="51F3EAAA"/>
    <w:rsid w:val="52089E84"/>
    <w:rsid w:val="5290C7B9"/>
    <w:rsid w:val="53049ABF"/>
    <w:rsid w:val="53419276"/>
    <w:rsid w:val="536E7193"/>
    <w:rsid w:val="5392840D"/>
    <w:rsid w:val="53A55F71"/>
    <w:rsid w:val="54274F55"/>
    <w:rsid w:val="5498D5A7"/>
    <w:rsid w:val="54E45AB9"/>
    <w:rsid w:val="55E48793"/>
    <w:rsid w:val="56761E18"/>
    <w:rsid w:val="56C3E5C7"/>
    <w:rsid w:val="57073D62"/>
    <w:rsid w:val="57293249"/>
    <w:rsid w:val="5732416D"/>
    <w:rsid w:val="57584131"/>
    <w:rsid w:val="576E7F2A"/>
    <w:rsid w:val="579DFCB2"/>
    <w:rsid w:val="58539442"/>
    <w:rsid w:val="587766F5"/>
    <w:rsid w:val="58A06AC6"/>
    <w:rsid w:val="58A3AA7D"/>
    <w:rsid w:val="58F6EFC4"/>
    <w:rsid w:val="5955AF1E"/>
    <w:rsid w:val="59A99DEB"/>
    <w:rsid w:val="5A89A24C"/>
    <w:rsid w:val="5AAE5B92"/>
    <w:rsid w:val="5ABE8898"/>
    <w:rsid w:val="5AFD95D2"/>
    <w:rsid w:val="5BF2A1A1"/>
    <w:rsid w:val="5C350CF7"/>
    <w:rsid w:val="5D3AEF52"/>
    <w:rsid w:val="5DDD01F8"/>
    <w:rsid w:val="5DE5E427"/>
    <w:rsid w:val="5E189F08"/>
    <w:rsid w:val="5E9DE68D"/>
    <w:rsid w:val="5EFE89FC"/>
    <w:rsid w:val="5F76ADC5"/>
    <w:rsid w:val="6073A8D9"/>
    <w:rsid w:val="608A1FC2"/>
    <w:rsid w:val="60E7F870"/>
    <w:rsid w:val="60E9A193"/>
    <w:rsid w:val="60F38DD2"/>
    <w:rsid w:val="61B76883"/>
    <w:rsid w:val="6263422C"/>
    <w:rsid w:val="630498D6"/>
    <w:rsid w:val="6456664D"/>
    <w:rsid w:val="6464C455"/>
    <w:rsid w:val="646D8A3A"/>
    <w:rsid w:val="64AD3606"/>
    <w:rsid w:val="64DEE316"/>
    <w:rsid w:val="65A03587"/>
    <w:rsid w:val="65C103D1"/>
    <w:rsid w:val="65CB35B3"/>
    <w:rsid w:val="661BDA8D"/>
    <w:rsid w:val="676038C9"/>
    <w:rsid w:val="6808AB3A"/>
    <w:rsid w:val="68963B18"/>
    <w:rsid w:val="68DE4568"/>
    <w:rsid w:val="696DB7F8"/>
    <w:rsid w:val="6AA8189F"/>
    <w:rsid w:val="6AB47BAF"/>
    <w:rsid w:val="6AD7904B"/>
    <w:rsid w:val="6B48F838"/>
    <w:rsid w:val="6B5772E6"/>
    <w:rsid w:val="6C3705AA"/>
    <w:rsid w:val="6C7CAE59"/>
    <w:rsid w:val="6D55DEF4"/>
    <w:rsid w:val="6DBA2D98"/>
    <w:rsid w:val="6E42BE71"/>
    <w:rsid w:val="6F998416"/>
    <w:rsid w:val="6FC428D0"/>
    <w:rsid w:val="70A5EFD8"/>
    <w:rsid w:val="716453C8"/>
    <w:rsid w:val="71DBF38A"/>
    <w:rsid w:val="72AAEE82"/>
    <w:rsid w:val="731DDEB6"/>
    <w:rsid w:val="736A439D"/>
    <w:rsid w:val="73EFA052"/>
    <w:rsid w:val="7440C7DC"/>
    <w:rsid w:val="74434262"/>
    <w:rsid w:val="74A65CFE"/>
    <w:rsid w:val="76207667"/>
    <w:rsid w:val="76577E8D"/>
    <w:rsid w:val="76C2F012"/>
    <w:rsid w:val="772CBCED"/>
    <w:rsid w:val="77659C8E"/>
    <w:rsid w:val="778CF49B"/>
    <w:rsid w:val="78332F4A"/>
    <w:rsid w:val="786D2BCD"/>
    <w:rsid w:val="79791A03"/>
    <w:rsid w:val="798C3C05"/>
    <w:rsid w:val="79AA5C90"/>
    <w:rsid w:val="7A3DE994"/>
    <w:rsid w:val="7A7125C2"/>
    <w:rsid w:val="7AB5F990"/>
    <w:rsid w:val="7AB69E5A"/>
    <w:rsid w:val="7B043C11"/>
    <w:rsid w:val="7BFDE19F"/>
    <w:rsid w:val="7C465E87"/>
    <w:rsid w:val="7C523513"/>
    <w:rsid w:val="7CE584AE"/>
    <w:rsid w:val="7D24E0C0"/>
    <w:rsid w:val="7D733C26"/>
    <w:rsid w:val="7D8277E8"/>
    <w:rsid w:val="7E13A50A"/>
    <w:rsid w:val="7E26C70C"/>
    <w:rsid w:val="7EE917FA"/>
    <w:rsid w:val="7EF010A0"/>
    <w:rsid w:val="7F541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E7F2A"/>
  <w15:chartTrackingRefBased/>
  <w15:docId w15:val="{4CC29C30-EF13-4801-8F1F-93B96A49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CA9"/>
    <w:pPr>
      <w:keepNext/>
      <w:keepLines/>
      <w:spacing w:before="120" w:after="120"/>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695CA9"/>
    <w:pPr>
      <w:keepNext/>
      <w:keepLines/>
      <w:spacing w:before="40" w:after="80"/>
      <w:outlineLvl w:val="1"/>
    </w:pPr>
    <w:rPr>
      <w:rFonts w:ascii="Calibri" w:eastAsiaTheme="majorEastAsia" w:hAnsi="Calibr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4F"/>
    <w:pPr>
      <w:spacing w:line="256" w:lineRule="auto"/>
      <w:ind w:left="720"/>
      <w:contextualSpacing/>
    </w:pPr>
  </w:style>
  <w:style w:type="paragraph" w:styleId="Header">
    <w:name w:val="header"/>
    <w:basedOn w:val="Normal"/>
    <w:link w:val="HeaderChar"/>
    <w:uiPriority w:val="99"/>
    <w:unhideWhenUsed/>
    <w:rsid w:val="00EC4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74F"/>
  </w:style>
  <w:style w:type="paragraph" w:styleId="Footer">
    <w:name w:val="footer"/>
    <w:basedOn w:val="Normal"/>
    <w:link w:val="FooterChar"/>
    <w:uiPriority w:val="99"/>
    <w:unhideWhenUsed/>
    <w:rsid w:val="00EC4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74F"/>
  </w:style>
  <w:style w:type="character" w:customStyle="1" w:styleId="Heading1Char">
    <w:name w:val="Heading 1 Char"/>
    <w:basedOn w:val="DefaultParagraphFont"/>
    <w:link w:val="Heading1"/>
    <w:uiPriority w:val="9"/>
    <w:rsid w:val="00695CA9"/>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695CA9"/>
    <w:rPr>
      <w:rFonts w:ascii="Calibri" w:eastAsiaTheme="majorEastAsia" w:hAnsi="Calibri" w:cstheme="majorBidi"/>
      <w:color w:val="000000" w:themeColor="text1"/>
      <w:szCs w:val="26"/>
    </w:rPr>
  </w:style>
  <w:style w:type="paragraph" w:styleId="TOCHeading">
    <w:name w:val="TOC Heading"/>
    <w:basedOn w:val="Heading1"/>
    <w:next w:val="Normal"/>
    <w:uiPriority w:val="39"/>
    <w:unhideWhenUsed/>
    <w:qFormat/>
    <w:rsid w:val="00E91BEC"/>
    <w:pPr>
      <w:spacing w:before="240"/>
      <w:outlineLvl w:val="9"/>
    </w:pPr>
    <w:rPr>
      <w:b w:val="0"/>
      <w:color w:val="2F5496" w:themeColor="accent1" w:themeShade="BF"/>
      <w:sz w:val="32"/>
    </w:rPr>
  </w:style>
  <w:style w:type="paragraph" w:styleId="TOC1">
    <w:name w:val="toc 1"/>
    <w:basedOn w:val="Normal"/>
    <w:next w:val="Normal"/>
    <w:autoRedefine/>
    <w:uiPriority w:val="39"/>
    <w:unhideWhenUsed/>
    <w:rsid w:val="008D545C"/>
    <w:pPr>
      <w:tabs>
        <w:tab w:val="left" w:pos="440"/>
        <w:tab w:val="right" w:leader="dot" w:pos="9350"/>
      </w:tabs>
      <w:spacing w:after="100"/>
    </w:pPr>
  </w:style>
  <w:style w:type="paragraph" w:styleId="TOC2">
    <w:name w:val="toc 2"/>
    <w:basedOn w:val="Normal"/>
    <w:next w:val="Normal"/>
    <w:autoRedefine/>
    <w:uiPriority w:val="39"/>
    <w:unhideWhenUsed/>
    <w:rsid w:val="00E91BEC"/>
    <w:pPr>
      <w:spacing w:after="100"/>
      <w:ind w:left="220"/>
    </w:pPr>
  </w:style>
  <w:style w:type="character" w:styleId="Hyperlink">
    <w:name w:val="Hyperlink"/>
    <w:basedOn w:val="DefaultParagraphFont"/>
    <w:uiPriority w:val="99"/>
    <w:unhideWhenUsed/>
    <w:rsid w:val="00E91BEC"/>
    <w:rPr>
      <w:color w:val="0563C1" w:themeColor="hyperlink"/>
      <w:u w:val="single"/>
    </w:rPr>
  </w:style>
  <w:style w:type="paragraph" w:styleId="BalloonText">
    <w:name w:val="Balloon Text"/>
    <w:basedOn w:val="Normal"/>
    <w:link w:val="BalloonTextChar"/>
    <w:uiPriority w:val="99"/>
    <w:semiHidden/>
    <w:unhideWhenUsed/>
    <w:rsid w:val="00D1178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178F"/>
    <w:rPr>
      <w:rFonts w:ascii="Times New Roman" w:hAnsi="Times New Roman" w:cs="Times New Roman"/>
      <w:sz w:val="18"/>
      <w:szCs w:val="18"/>
    </w:rPr>
  </w:style>
  <w:style w:type="table" w:styleId="TableGrid">
    <w:name w:val="Table Grid"/>
    <w:basedOn w:val="TableNormal"/>
    <w:uiPriority w:val="59"/>
    <w:rsid w:val="00A10E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F32B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266E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4754">
      <w:bodyDiv w:val="1"/>
      <w:marLeft w:val="0"/>
      <w:marRight w:val="0"/>
      <w:marTop w:val="0"/>
      <w:marBottom w:val="0"/>
      <w:divBdr>
        <w:top w:val="none" w:sz="0" w:space="0" w:color="auto"/>
        <w:left w:val="none" w:sz="0" w:space="0" w:color="auto"/>
        <w:bottom w:val="none" w:sz="0" w:space="0" w:color="auto"/>
        <w:right w:val="none" w:sz="0" w:space="0" w:color="auto"/>
      </w:divBdr>
    </w:div>
    <w:div w:id="508637907">
      <w:bodyDiv w:val="1"/>
      <w:marLeft w:val="0"/>
      <w:marRight w:val="0"/>
      <w:marTop w:val="0"/>
      <w:marBottom w:val="0"/>
      <w:divBdr>
        <w:top w:val="none" w:sz="0" w:space="0" w:color="auto"/>
        <w:left w:val="none" w:sz="0" w:space="0" w:color="auto"/>
        <w:bottom w:val="none" w:sz="0" w:space="0" w:color="auto"/>
        <w:right w:val="none" w:sz="0" w:space="0" w:color="auto"/>
      </w:divBdr>
    </w:div>
    <w:div w:id="530925320">
      <w:bodyDiv w:val="1"/>
      <w:marLeft w:val="0"/>
      <w:marRight w:val="0"/>
      <w:marTop w:val="0"/>
      <w:marBottom w:val="0"/>
      <w:divBdr>
        <w:top w:val="none" w:sz="0" w:space="0" w:color="auto"/>
        <w:left w:val="none" w:sz="0" w:space="0" w:color="auto"/>
        <w:bottom w:val="none" w:sz="0" w:space="0" w:color="auto"/>
        <w:right w:val="none" w:sz="0" w:space="0" w:color="auto"/>
      </w:divBdr>
    </w:div>
    <w:div w:id="817842225">
      <w:bodyDiv w:val="1"/>
      <w:marLeft w:val="0"/>
      <w:marRight w:val="0"/>
      <w:marTop w:val="0"/>
      <w:marBottom w:val="0"/>
      <w:divBdr>
        <w:top w:val="none" w:sz="0" w:space="0" w:color="auto"/>
        <w:left w:val="none" w:sz="0" w:space="0" w:color="auto"/>
        <w:bottom w:val="none" w:sz="0" w:space="0" w:color="auto"/>
        <w:right w:val="none" w:sz="0" w:space="0" w:color="auto"/>
      </w:divBdr>
    </w:div>
    <w:div w:id="1198737307">
      <w:bodyDiv w:val="1"/>
      <w:marLeft w:val="0"/>
      <w:marRight w:val="0"/>
      <w:marTop w:val="0"/>
      <w:marBottom w:val="0"/>
      <w:divBdr>
        <w:top w:val="none" w:sz="0" w:space="0" w:color="auto"/>
        <w:left w:val="none" w:sz="0" w:space="0" w:color="auto"/>
        <w:bottom w:val="none" w:sz="0" w:space="0" w:color="auto"/>
        <w:right w:val="none" w:sz="0" w:space="0" w:color="auto"/>
      </w:divBdr>
    </w:div>
    <w:div w:id="1604994495">
      <w:bodyDiv w:val="1"/>
      <w:marLeft w:val="0"/>
      <w:marRight w:val="0"/>
      <w:marTop w:val="0"/>
      <w:marBottom w:val="0"/>
      <w:divBdr>
        <w:top w:val="none" w:sz="0" w:space="0" w:color="auto"/>
        <w:left w:val="none" w:sz="0" w:space="0" w:color="auto"/>
        <w:bottom w:val="none" w:sz="0" w:space="0" w:color="auto"/>
        <w:right w:val="none" w:sz="0" w:space="0" w:color="auto"/>
      </w:divBdr>
    </w:div>
    <w:div w:id="1908879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4521934505215616"/>
          <c:y val="0.15013400599973092"/>
          <c:w val="0.50890033328390394"/>
          <c:h val="0.60390855054539683"/>
        </c:manualLayout>
      </c:layout>
      <c:barChart>
        <c:barDir val="bar"/>
        <c:grouping val="clustered"/>
        <c:varyColors val="0"/>
        <c:ser>
          <c:idx val="0"/>
          <c:order val="0"/>
          <c:spPr>
            <a:solidFill>
              <a:schemeClr val="accent1"/>
            </a:solidFill>
            <a:ln>
              <a:solidFill>
                <a:schemeClr val="bg1">
                  <a:lumMod val="50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Sheet1!$C$4:$C$9</c:f>
              <c:strCache>
                <c:ptCount val="6"/>
                <c:pt idx="0">
                  <c:v>Population</c:v>
                </c:pt>
                <c:pt idx="1">
                  <c:v>Average of Economic Index</c:v>
                </c:pt>
                <c:pt idx="2">
                  <c:v>% Agriculture-Food</c:v>
                </c:pt>
                <c:pt idx="3">
                  <c:v>Ratio of % Other Industry Trade to % Other Wholesale Trade</c:v>
                </c:pt>
                <c:pt idx="4">
                  <c:v>Ratio of % Manufacturing Industry to % Building</c:v>
                </c:pt>
                <c:pt idx="5">
                  <c:v>Unemployment Rate</c:v>
                </c:pt>
              </c:strCache>
            </c:strRef>
          </c:cat>
          <c:val>
            <c:numRef>
              <c:f>Sheet1!$D$4:$D$9</c:f>
              <c:numCache>
                <c:formatCode>0%</c:formatCode>
                <c:ptCount val="6"/>
                <c:pt idx="0">
                  <c:v>0.08</c:v>
                </c:pt>
                <c:pt idx="1">
                  <c:v>0.11600000000000001</c:v>
                </c:pt>
                <c:pt idx="2">
                  <c:v>0.122</c:v>
                </c:pt>
                <c:pt idx="3">
                  <c:v>0.21</c:v>
                </c:pt>
                <c:pt idx="4">
                  <c:v>0.22</c:v>
                </c:pt>
                <c:pt idx="5">
                  <c:v>0.25</c:v>
                </c:pt>
              </c:numCache>
            </c:numRef>
          </c:val>
          <c:extLst>
            <c:ext xmlns:c16="http://schemas.microsoft.com/office/drawing/2014/chart" uri="{C3380CC4-5D6E-409C-BE32-E72D297353CC}">
              <c16:uniqueId val="{00000000-9116-4D84-8C2D-665CE160EF5C}"/>
            </c:ext>
          </c:extLst>
        </c:ser>
        <c:dLbls>
          <c:showLegendKey val="0"/>
          <c:showVal val="0"/>
          <c:showCatName val="0"/>
          <c:showSerName val="0"/>
          <c:showPercent val="0"/>
          <c:showBubbleSize val="0"/>
        </c:dLbls>
        <c:gapWidth val="39"/>
        <c:axId val="1480628607"/>
        <c:axId val="1393991071"/>
      </c:barChart>
      <c:catAx>
        <c:axId val="14806286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393991071"/>
        <c:crosses val="autoZero"/>
        <c:auto val="1"/>
        <c:lblAlgn val="r"/>
        <c:lblOffset val="100"/>
        <c:noMultiLvlLbl val="0"/>
      </c:catAx>
      <c:valAx>
        <c:axId val="1393991071"/>
        <c:scaling>
          <c:orientation val="minMax"/>
        </c:scaling>
        <c:delete val="0"/>
        <c:axPos val="b"/>
        <c:majorGridlines>
          <c:spPr>
            <a:ln w="9525" cap="flat" cmpd="sng" algn="ctr">
              <a:solidFill>
                <a:schemeClr val="bg1">
                  <a:lumMod val="50000"/>
                  <a:alpha val="49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Significance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286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F33FE52F854348A85A5149034BF501" ma:contentTypeVersion="2" ma:contentTypeDescription="Create a new document." ma:contentTypeScope="" ma:versionID="83393b7895569a2d924dd6be7e815d4e">
  <xsd:schema xmlns:xsd="http://www.w3.org/2001/XMLSchema" xmlns:xs="http://www.w3.org/2001/XMLSchema" xmlns:p="http://schemas.microsoft.com/office/2006/metadata/properties" xmlns:ns2="9e70df81-e74b-4684-9d26-6eda9602b44c" targetNamespace="http://schemas.microsoft.com/office/2006/metadata/properties" ma:root="true" ma:fieldsID="c930817ecf5efd99d45203caffef9a7c" ns2:_="">
    <xsd:import namespace="9e70df81-e74b-4684-9d26-6eda9602b4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0df81-e74b-4684-9d26-6eda9602b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E1F7-6235-46E5-9562-F7B8B551E4B4}">
  <ds:schemaRefs>
    <ds:schemaRef ds:uri="http://schemas.microsoft.com/sharepoint/v3/contenttype/forms"/>
  </ds:schemaRefs>
</ds:datastoreItem>
</file>

<file path=customXml/itemProps2.xml><?xml version="1.0" encoding="utf-8"?>
<ds:datastoreItem xmlns:ds="http://schemas.openxmlformats.org/officeDocument/2006/customXml" ds:itemID="{84EA5020-8022-4854-A5A5-DBFC59D99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0df81-e74b-4684-9d26-6eda9602b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EACF5-AD33-4E68-811E-8FFC8E384F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F9D8C7-96CC-4622-99D0-952AE9C0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2030</Words>
  <Characters>11574</Characters>
  <Application>Microsoft Office Word</Application>
  <DocSecurity>0</DocSecurity>
  <Lines>96</Lines>
  <Paragraphs>27</Paragraphs>
  <ScaleCrop>false</ScaleCrop>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Moutaz Al-Huneidi</dc:creator>
  <cp:keywords/>
  <dc:description/>
  <cp:lastModifiedBy>Moutaz Al-Huneidi</cp:lastModifiedBy>
  <cp:revision>391</cp:revision>
  <dcterms:created xsi:type="dcterms:W3CDTF">2019-06-26T11:44:00Z</dcterms:created>
  <dcterms:modified xsi:type="dcterms:W3CDTF">2019-06-26T19:12:00Z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0x010100A4F33FE52F854348A85A5149034BF501</vt:lpwstr>
  </property>
</Properties>
</file>