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14:paraId="7258C538" w14:textId="4C982781" w:rsidR="00F11D1F" w:rsidRDefault="00F11D1F" w:rsidP="00FD6868">
      <w:pPr>
        <w:spacing w:after="0" w:line="480" w:lineRule="auto"/>
        <w:rPr>
          <w:rFonts w:asciiTheme="majorHAnsi" w:hAnsiTheme="majorHAnsi"/>
          <w:sz w:val="24"/>
          <w:szCs w:val="24"/>
        </w:rPr>
      </w:pPr>
      <w:r>
        <w:rPr>
          <w:rFonts w:asciiTheme="majorHAnsi" w:hAnsiTheme="majorHAnsi"/>
          <w:sz w:val="24"/>
          <w:szCs w:val="24"/>
        </w:rPr>
        <w:t>Stephen Munga</w:t>
      </w:r>
      <w:r w:rsidRPr="003D7A33">
        <w:rPr>
          <w:rFonts w:asciiTheme="majorHAnsi" w:hAnsiTheme="majorHAnsi"/>
          <w:sz w:val="24"/>
          <w:szCs w:val="24"/>
          <w:vertAlign w:val="superscript"/>
        </w:rPr>
        <w:t>3</w:t>
      </w:r>
    </w:p>
    <w:p w14:paraId="4D2BE744" w14:textId="77777777"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382DA519" w14:textId="373E2A06"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007E718E" w:rsidRPr="00411D5E">
        <w:rPr>
          <w:rFonts w:asciiTheme="majorHAnsi" w:hAnsiTheme="majorHAnsi"/>
          <w:sz w:val="24"/>
          <w:szCs w:val="24"/>
        </w:rPr>
        <w:t>Graduate Interdisciplinary Program in Statistics</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4A239443" w14:textId="3D8B1937" w:rsid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2</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2BEC57A1" w14:textId="4F881CC2" w:rsidR="00F11D1F" w:rsidRPr="00F11D1F" w:rsidRDefault="00F11D1F" w:rsidP="00FD6868">
      <w:pPr>
        <w:spacing w:after="0" w:line="480" w:lineRule="auto"/>
        <w:rPr>
          <w:rFonts w:asciiTheme="majorHAnsi" w:hAnsiTheme="majorHAnsi"/>
          <w:sz w:val="24"/>
          <w:szCs w:val="24"/>
        </w:rPr>
      </w:pPr>
      <w:r w:rsidRPr="003D7A33">
        <w:rPr>
          <w:rFonts w:asciiTheme="majorHAnsi" w:hAnsiTheme="majorHAnsi"/>
          <w:sz w:val="24"/>
          <w:szCs w:val="24"/>
          <w:vertAlign w:val="superscript"/>
        </w:rPr>
        <w:t>3</w:t>
      </w:r>
      <w:r>
        <w:rPr>
          <w:rFonts w:asciiTheme="majorHAnsi" w:hAnsiTheme="majorHAnsi"/>
          <w:sz w:val="24"/>
          <w:szCs w:val="24"/>
        </w:rPr>
        <w:t>Kenyan Medical Research Institute, Kisian, Kenya</w:t>
      </w:r>
    </w:p>
    <w:p w14:paraId="51FBA28F" w14:textId="77777777" w:rsidR="00411D5E" w:rsidRDefault="00411D5E" w:rsidP="00FD6868">
      <w:pPr>
        <w:spacing w:after="0" w:line="480" w:lineRule="auto"/>
        <w:rPr>
          <w:rFonts w:asciiTheme="majorHAnsi" w:hAnsiTheme="majorHAnsi"/>
          <w:sz w:val="24"/>
          <w:szCs w:val="24"/>
        </w:rPr>
      </w:pPr>
    </w:p>
    <w:p w14:paraId="3D982815" w14:textId="4BBCD353"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F9287E">
        <w:rPr>
          <w:rFonts w:asciiTheme="majorHAnsi" w:hAnsiTheme="majorHAnsi"/>
          <w:sz w:val="24"/>
          <w:szCs w:val="24"/>
        </w:rPr>
        <w:t>Long lasting insecticid</w:t>
      </w:r>
      <w:r w:rsidR="00F11D1F">
        <w:rPr>
          <w:rFonts w:asciiTheme="majorHAnsi" w:hAnsiTheme="majorHAnsi"/>
          <w:sz w:val="24"/>
          <w:szCs w:val="24"/>
        </w:rPr>
        <w:t>al</w:t>
      </w:r>
      <w:r w:rsidR="00025ACE">
        <w:rPr>
          <w:rFonts w:asciiTheme="majorHAnsi" w:hAnsiTheme="majorHAnsi"/>
          <w:sz w:val="24"/>
          <w:szCs w:val="24"/>
        </w:rPr>
        <w:t xml:space="preserve"> </w:t>
      </w:r>
      <w:bookmarkStart w:id="0" w:name="_GoBack"/>
      <w:bookmarkEnd w:id="0"/>
      <w:r w:rsidR="00F9287E">
        <w:rPr>
          <w:rFonts w:asciiTheme="majorHAnsi" w:hAnsiTheme="majorHAnsi"/>
          <w:sz w:val="24"/>
          <w:szCs w:val="24"/>
        </w:rPr>
        <w:t>nets</w:t>
      </w:r>
      <w:r>
        <w:rPr>
          <w:rFonts w:asciiTheme="majorHAnsi" w:hAnsiTheme="majorHAnsi"/>
          <w:sz w:val="24"/>
          <w:szCs w:val="24"/>
        </w:rPr>
        <w:t xml:space="preserve">, </w:t>
      </w:r>
      <w:r w:rsidR="00F9287E">
        <w:rPr>
          <w:rFonts w:asciiTheme="majorHAnsi" w:hAnsiTheme="majorHAnsi"/>
          <w:sz w:val="24"/>
          <w:szCs w:val="24"/>
        </w:rPr>
        <w:t>indoor residual spray</w:t>
      </w:r>
      <w:r>
        <w:rPr>
          <w:rFonts w:asciiTheme="majorHAnsi" w:hAnsiTheme="majorHAnsi"/>
          <w:sz w:val="24"/>
          <w:szCs w:val="24"/>
        </w:rPr>
        <w:t>, Prevention,</w:t>
      </w:r>
      <w:r w:rsidR="00691C75">
        <w:rPr>
          <w:rFonts w:asciiTheme="majorHAnsi" w:hAnsiTheme="majorHAnsi"/>
          <w:sz w:val="24"/>
          <w:szCs w:val="24"/>
        </w:rPr>
        <w:t xml:space="preserve"> </w:t>
      </w:r>
      <w:r w:rsidR="00841CB2">
        <w:rPr>
          <w:rFonts w:asciiTheme="majorHAnsi" w:hAnsiTheme="majorHAnsi"/>
          <w:sz w:val="24"/>
          <w:szCs w:val="24"/>
        </w:rPr>
        <w:t>policy evaluation, spatial risk mapping, topography</w:t>
      </w:r>
    </w:p>
    <w:p w14:paraId="11468932" w14:textId="77777777" w:rsidR="00411D5E" w:rsidRDefault="00411D5E" w:rsidP="00FD6868">
      <w:pPr>
        <w:spacing w:after="0" w:line="480" w:lineRule="auto"/>
        <w:rPr>
          <w:rFonts w:asciiTheme="majorHAnsi" w:hAnsiTheme="majorHAnsi"/>
          <w:sz w:val="24"/>
          <w:szCs w:val="24"/>
        </w:rPr>
      </w:pPr>
    </w:p>
    <w:p w14:paraId="5A09F54A" w14:textId="1F779CD1"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w:t>
      </w:r>
      <w:r w:rsidR="005A2D59">
        <w:rPr>
          <w:rFonts w:asciiTheme="majorHAnsi" w:hAnsiTheme="majorHAnsi"/>
          <w:sz w:val="24"/>
          <w:szCs w:val="24"/>
        </w:rPr>
        <w:t>141</w:t>
      </w:r>
    </w:p>
    <w:p w14:paraId="5A26D59B" w14:textId="76779CA3"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r w:rsidR="005D391D">
        <w:rPr>
          <w:rFonts w:asciiTheme="majorHAnsi" w:hAnsiTheme="majorHAnsi"/>
          <w:sz w:val="24"/>
          <w:szCs w:val="24"/>
        </w:rPr>
        <w:t>1498</w:t>
      </w:r>
      <w:r>
        <w:rPr>
          <w:rFonts w:asciiTheme="majorHAnsi" w:hAnsiTheme="majorHAnsi"/>
          <w:sz w:val="24"/>
          <w:szCs w:val="24"/>
        </w:rPr>
        <w:br w:type="page"/>
      </w:r>
    </w:p>
    <w:p w14:paraId="69F8120B" w14:textId="77777777" w:rsidR="00C030FA" w:rsidRDefault="00C030FA">
      <w:pPr>
        <w:rPr>
          <w:rFonts w:asciiTheme="majorHAnsi" w:hAnsiTheme="majorHAnsi"/>
          <w:sz w:val="24"/>
          <w:szCs w:val="24"/>
          <w:u w:val="single"/>
        </w:rPr>
      </w:pPr>
      <w:r w:rsidRPr="00C030FA">
        <w:rPr>
          <w:rFonts w:asciiTheme="majorHAnsi" w:hAnsiTheme="majorHAnsi"/>
          <w:sz w:val="24"/>
          <w:szCs w:val="24"/>
          <w:u w:val="single"/>
        </w:rPr>
        <w:lastRenderedPageBreak/>
        <w:t>Abstract</w:t>
      </w:r>
    </w:p>
    <w:p w14:paraId="4DF68398" w14:textId="328455DE" w:rsidR="00C030FA" w:rsidRPr="00C030FA" w:rsidRDefault="00E548AA" w:rsidP="005A2D59">
      <w:pPr>
        <w:spacing w:line="480" w:lineRule="auto"/>
        <w:rPr>
          <w:rFonts w:asciiTheme="majorHAnsi" w:hAnsiTheme="majorHAnsi"/>
          <w:sz w:val="24"/>
          <w:szCs w:val="24"/>
          <w:u w:val="single"/>
        </w:rPr>
      </w:pPr>
      <w:r>
        <w:rPr>
          <w:rFonts w:asciiTheme="majorHAnsi" w:hAnsiTheme="majorHAnsi"/>
          <w:sz w:val="24"/>
          <w:szCs w:val="24"/>
        </w:rPr>
        <w:t xml:space="preserve">Malaria </w:t>
      </w:r>
      <w:r w:rsidR="00A7243D">
        <w:rPr>
          <w:rFonts w:asciiTheme="majorHAnsi" w:hAnsiTheme="majorHAnsi"/>
          <w:sz w:val="24"/>
          <w:szCs w:val="24"/>
        </w:rPr>
        <w:t>is</w:t>
      </w:r>
      <w:r>
        <w:rPr>
          <w:rFonts w:asciiTheme="majorHAnsi" w:hAnsiTheme="majorHAnsi"/>
          <w:sz w:val="24"/>
          <w:szCs w:val="24"/>
        </w:rPr>
        <w:t xml:space="preserve"> a significant threat to public</w:t>
      </w:r>
      <w:r w:rsidR="005A2D59">
        <w:rPr>
          <w:rFonts w:asciiTheme="majorHAnsi" w:hAnsiTheme="majorHAnsi"/>
          <w:sz w:val="24"/>
          <w:szCs w:val="24"/>
        </w:rPr>
        <w:t xml:space="preserve"> health</w:t>
      </w:r>
      <w:r>
        <w:rPr>
          <w:rFonts w:asciiTheme="majorHAnsi" w:hAnsiTheme="majorHAnsi"/>
          <w:sz w:val="24"/>
          <w:szCs w:val="24"/>
        </w:rPr>
        <w:t xml:space="preserve"> in countries where the disease is either endemic or epidemic. Concerted efforts have been made in the past decade to reduce and in some cases eliminate malaria</w:t>
      </w:r>
      <w:r w:rsidR="005A2D59">
        <w:rPr>
          <w:rFonts w:asciiTheme="majorHAnsi" w:hAnsiTheme="majorHAnsi"/>
          <w:sz w:val="24"/>
          <w:szCs w:val="24"/>
        </w:rPr>
        <w:t xml:space="preserve"> with the use of prophylactic interventions</w:t>
      </w:r>
      <w:r>
        <w:rPr>
          <w:rFonts w:asciiTheme="majorHAnsi" w:hAnsiTheme="majorHAnsi"/>
          <w:sz w:val="24"/>
          <w:szCs w:val="24"/>
        </w:rPr>
        <w:t xml:space="preserve">.  The World Health Organization recommends preferential administration </w:t>
      </w:r>
      <w:r w:rsidR="005A2D59">
        <w:rPr>
          <w:rFonts w:asciiTheme="majorHAnsi" w:hAnsiTheme="majorHAnsi"/>
          <w:sz w:val="24"/>
          <w:szCs w:val="24"/>
        </w:rPr>
        <w:t xml:space="preserve">of </w:t>
      </w:r>
      <w:r>
        <w:rPr>
          <w:rFonts w:asciiTheme="majorHAnsi" w:hAnsiTheme="majorHAnsi"/>
          <w:sz w:val="24"/>
          <w:szCs w:val="24"/>
        </w:rPr>
        <w:t xml:space="preserve">interventions to pregnant women and </w:t>
      </w:r>
      <w:r w:rsidR="005A2D59">
        <w:rPr>
          <w:rFonts w:asciiTheme="majorHAnsi" w:hAnsiTheme="majorHAnsi"/>
          <w:sz w:val="24"/>
          <w:szCs w:val="24"/>
        </w:rPr>
        <w:t>infants</w:t>
      </w:r>
      <w:r>
        <w:rPr>
          <w:rFonts w:asciiTheme="majorHAnsi" w:hAnsiTheme="majorHAnsi"/>
          <w:sz w:val="24"/>
          <w:szCs w:val="24"/>
        </w:rPr>
        <w:t xml:space="preserve"> because of the high disease burden borne by this group.  However, previous research has identified the benefit of additionally targeting interventions at those with the highest risk of infections.  We use a topographic wetness index</w:t>
      </w:r>
      <w:r w:rsidR="00580F77">
        <w:rPr>
          <w:rFonts w:asciiTheme="majorHAnsi" w:hAnsiTheme="majorHAnsi"/>
          <w:sz w:val="24"/>
          <w:szCs w:val="24"/>
        </w:rPr>
        <w:t>,</w:t>
      </w:r>
      <w:r>
        <w:rPr>
          <w:rFonts w:asciiTheme="majorHAnsi" w:hAnsiTheme="majorHAnsi"/>
          <w:sz w:val="24"/>
          <w:szCs w:val="24"/>
        </w:rPr>
        <w:t xml:space="preserve"> </w:t>
      </w:r>
      <w:r w:rsidR="00580F77">
        <w:rPr>
          <w:rFonts w:asciiTheme="majorHAnsi" w:hAnsiTheme="majorHAnsi"/>
          <w:sz w:val="24"/>
          <w:szCs w:val="24"/>
        </w:rPr>
        <w:t xml:space="preserve">combined with a household census of intervention use, at two sites in Kenya to </w:t>
      </w:r>
      <w:r w:rsidR="005A2D59">
        <w:rPr>
          <w:rFonts w:asciiTheme="majorHAnsi" w:hAnsiTheme="majorHAnsi"/>
          <w:sz w:val="24"/>
          <w:szCs w:val="24"/>
        </w:rPr>
        <w:t>assess</w:t>
      </w:r>
      <w:r w:rsidR="00580F77">
        <w:rPr>
          <w:rFonts w:asciiTheme="majorHAnsi" w:hAnsiTheme="majorHAnsi"/>
          <w:sz w:val="24"/>
          <w:szCs w:val="24"/>
        </w:rPr>
        <w:t xml:space="preserve"> intervention</w:t>
      </w:r>
      <w:r w:rsidR="005A2D59">
        <w:rPr>
          <w:rFonts w:asciiTheme="majorHAnsi" w:hAnsiTheme="majorHAnsi"/>
          <w:sz w:val="24"/>
          <w:szCs w:val="24"/>
        </w:rPr>
        <w:t xml:space="preserve"> administration</w:t>
      </w:r>
      <w:r w:rsidR="00580F77">
        <w:rPr>
          <w:rFonts w:asciiTheme="majorHAnsi" w:hAnsiTheme="majorHAnsi"/>
          <w:sz w:val="24"/>
          <w:szCs w:val="24"/>
        </w:rPr>
        <w:t>.</w:t>
      </w:r>
      <w:r w:rsidR="00A7243D">
        <w:rPr>
          <w:rFonts w:asciiTheme="majorHAnsi" w:hAnsiTheme="majorHAnsi"/>
          <w:sz w:val="24"/>
          <w:szCs w:val="24"/>
        </w:rPr>
        <w:t xml:space="preserve">  We find preferential administration of interventions at the</w:t>
      </w:r>
      <w:r w:rsidR="005A2D59">
        <w:rPr>
          <w:rFonts w:asciiTheme="majorHAnsi" w:hAnsiTheme="majorHAnsi"/>
          <w:sz w:val="24"/>
          <w:szCs w:val="24"/>
        </w:rPr>
        <w:t xml:space="preserve"> high-elevation</w:t>
      </w:r>
      <w:r w:rsidR="00A7243D">
        <w:rPr>
          <w:rFonts w:asciiTheme="majorHAnsi" w:hAnsiTheme="majorHAnsi"/>
          <w:sz w:val="24"/>
          <w:szCs w:val="24"/>
        </w:rPr>
        <w:t xml:space="preserve"> epidemic-prone site but not at the </w:t>
      </w:r>
      <w:r w:rsidR="005A2D59">
        <w:rPr>
          <w:rFonts w:asciiTheme="majorHAnsi" w:hAnsiTheme="majorHAnsi"/>
          <w:sz w:val="24"/>
          <w:szCs w:val="24"/>
        </w:rPr>
        <w:t xml:space="preserve">low-elevation </w:t>
      </w:r>
      <w:r w:rsidR="00A7243D">
        <w:rPr>
          <w:rFonts w:asciiTheme="majorHAnsi" w:hAnsiTheme="majorHAnsi"/>
          <w:sz w:val="24"/>
          <w:szCs w:val="24"/>
        </w:rPr>
        <w:t xml:space="preserve">endemic site. Our results have important implications for </w:t>
      </w:r>
      <w:r w:rsidR="005A2D59">
        <w:rPr>
          <w:rFonts w:asciiTheme="majorHAnsi" w:hAnsiTheme="majorHAnsi"/>
          <w:sz w:val="24"/>
          <w:szCs w:val="24"/>
        </w:rPr>
        <w:t xml:space="preserve">assessing </w:t>
      </w:r>
      <w:r w:rsidR="00A7243D">
        <w:rPr>
          <w:rFonts w:asciiTheme="majorHAnsi" w:hAnsiTheme="majorHAnsi"/>
          <w:sz w:val="24"/>
          <w:szCs w:val="24"/>
        </w:rPr>
        <w:t>the administration of interventions in the battle against malaria.</w:t>
      </w:r>
      <w:r w:rsidR="00C030FA" w:rsidRPr="00C030FA">
        <w:rPr>
          <w:rFonts w:asciiTheme="majorHAnsi" w:hAnsiTheme="majorHAnsi"/>
          <w:sz w:val="24"/>
          <w:szCs w:val="24"/>
          <w:u w:val="single"/>
        </w:rPr>
        <w:br w:type="page"/>
      </w:r>
    </w:p>
    <w:p w14:paraId="0B995876" w14:textId="77777777" w:rsidR="00C030FA" w:rsidRDefault="00C030FA" w:rsidP="00FD6868">
      <w:pPr>
        <w:spacing w:after="0" w:line="480" w:lineRule="auto"/>
        <w:ind w:firstLine="720"/>
        <w:rPr>
          <w:rFonts w:asciiTheme="majorHAnsi" w:hAnsiTheme="majorHAnsi"/>
          <w:sz w:val="24"/>
          <w:szCs w:val="24"/>
        </w:rPr>
      </w:pPr>
    </w:p>
    <w:p w14:paraId="1EDD8928" w14:textId="26AF7E26"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7D00DB89"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0DCB87B9"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 xml:space="preserve">targeting interventions at those with the highest risk of </w:t>
      </w:r>
      <w:r w:rsidR="00A07E13">
        <w:rPr>
          <w:rFonts w:asciiTheme="majorHAnsi" w:hAnsiTheme="majorHAnsi"/>
          <w:sz w:val="24"/>
          <w:szCs w:val="24"/>
        </w:rPr>
        <w:lastRenderedPageBreak/>
        <w:t>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as a tool for assessing risk of malaria infection</w:t>
      </w:r>
      <w:r w:rsidR="00887CBE">
        <w:rPr>
          <w:rFonts w:asciiTheme="majorHAnsi" w:hAnsiTheme="majorHAnsi"/>
          <w:sz w:val="24"/>
          <w:szCs w:val="24"/>
        </w:rPr>
        <w:t xml:space="preserve"> by identifying areas where water is likely to pool</w:t>
      </w:r>
      <w:r w:rsidR="00F11D1F">
        <w:rPr>
          <w:rFonts w:asciiTheme="majorHAnsi" w:hAnsiTheme="majorHAnsi"/>
          <w:sz w:val="24"/>
          <w:szCs w:val="24"/>
        </w:rPr>
        <w:t xml:space="preserve"> and </w:t>
      </w:r>
      <w:r w:rsidR="00F11D1F" w:rsidRPr="003D7A33">
        <w:rPr>
          <w:rFonts w:asciiTheme="majorHAnsi" w:hAnsiTheme="majorHAnsi"/>
          <w:i/>
          <w:sz w:val="24"/>
          <w:szCs w:val="24"/>
        </w:rPr>
        <w:t>Anopheles</w:t>
      </w:r>
      <w:r w:rsidR="00F11D1F">
        <w:rPr>
          <w:rFonts w:asciiTheme="majorHAnsi" w:hAnsiTheme="majorHAnsi"/>
          <w:sz w:val="24"/>
          <w:szCs w:val="24"/>
        </w:rPr>
        <w:t xml:space="preserve"> densities are likely to be higher</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 xml:space="preserve">of intervention use, to determine if existing protocols of intervention administration simultaneously targeted households </w:t>
      </w:r>
      <w:r w:rsidR="00F11D1F">
        <w:rPr>
          <w:rFonts w:asciiTheme="majorHAnsi" w:hAnsiTheme="majorHAnsi"/>
          <w:sz w:val="24"/>
          <w:szCs w:val="24"/>
        </w:rPr>
        <w:t>with high risk members</w:t>
      </w:r>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7F60F25A" w:rsidR="009E5A16" w:rsidRPr="009E5A16" w:rsidRDefault="00F11D1F" w:rsidP="009E5A16">
      <w:pPr>
        <w:spacing w:after="0" w:line="480" w:lineRule="auto"/>
        <w:ind w:firstLine="720"/>
        <w:rPr>
          <w:rFonts w:asciiTheme="majorHAnsi" w:hAnsiTheme="majorHAnsi"/>
          <w:sz w:val="24"/>
          <w:szCs w:val="24"/>
        </w:rPr>
      </w:pPr>
      <w:r>
        <w:rPr>
          <w:rFonts w:asciiTheme="majorHAnsi" w:hAnsiTheme="majorHAnsi"/>
          <w:sz w:val="24"/>
          <w:szCs w:val="24"/>
        </w:rPr>
        <w:t xml:space="preserve">Prior to the initiation of a community-based research program, two study sites in western Kenya were mapped and a census was taken. </w:t>
      </w:r>
      <w:r w:rsidRPr="00F11D1F">
        <w:rPr>
          <w:rFonts w:asciiTheme="majorHAnsi" w:hAnsiTheme="majorHAnsi"/>
          <w:sz w:val="24"/>
          <w:szCs w:val="24"/>
        </w:rPr>
        <w:t>These two sites represent the western highland (hereafter “epidemic-prone”, N=3380) and lowland (hereafter “endemic”, N=604) populations. We collected demographic information for each occupan</w:t>
      </w:r>
      <w:r w:rsidR="005D391D">
        <w:rPr>
          <w:rFonts w:asciiTheme="majorHAnsi" w:hAnsiTheme="majorHAnsi"/>
          <w:sz w:val="24"/>
          <w:szCs w:val="24"/>
        </w:rPr>
        <w:t>t including age and</w:t>
      </w:r>
      <w:r w:rsidRPr="00F11D1F">
        <w:rPr>
          <w:rFonts w:asciiTheme="majorHAnsi" w:hAnsiTheme="majorHAnsi"/>
          <w:sz w:val="24"/>
          <w:szCs w:val="24"/>
        </w:rPr>
        <w:t xml:space="preserve"> sex.</w:t>
      </w:r>
      <w:r>
        <w:rPr>
          <w:rFonts w:asciiTheme="majorHAnsi" w:hAnsiTheme="majorHAnsi"/>
          <w:sz w:val="24"/>
          <w:szCs w:val="24"/>
        </w:rPr>
        <w:t xml:space="preserve"> </w:t>
      </w:r>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r>
        <w:rPr>
          <w:rFonts w:asciiTheme="majorHAnsi" w:hAnsiTheme="majorHAnsi"/>
          <w:sz w:val="24"/>
          <w:szCs w:val="24"/>
        </w:rPr>
        <w:t xml:space="preserve"> and household heads </w:t>
      </w:r>
      <w:r w:rsidR="00586872">
        <w:rPr>
          <w:rFonts w:asciiTheme="majorHAnsi" w:hAnsiTheme="majorHAnsi"/>
          <w:sz w:val="24"/>
          <w:szCs w:val="24"/>
        </w:rPr>
        <w:t>provided</w:t>
      </w:r>
      <w:r>
        <w:rPr>
          <w:rFonts w:asciiTheme="majorHAnsi" w:hAnsiTheme="majorHAnsi"/>
          <w:sz w:val="24"/>
          <w:szCs w:val="24"/>
        </w:rPr>
        <w:t xml:space="preserve"> initial</w:t>
      </w:r>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r w:rsidR="006E6448">
        <w:rPr>
          <w:rFonts w:asciiTheme="majorHAnsi" w:hAnsiTheme="majorHAnsi"/>
          <w:sz w:val="24"/>
          <w:szCs w:val="24"/>
        </w:rPr>
        <w:t xml:space="preserve"> Research was approved by KEMRI and conducted under protocol</w:t>
      </w:r>
      <w:r w:rsidR="00C97BE3">
        <w:rPr>
          <w:rFonts w:asciiTheme="majorHAnsi" w:hAnsiTheme="majorHAnsi"/>
          <w:sz w:val="24"/>
          <w:szCs w:val="24"/>
        </w:rPr>
        <w:t xml:space="preserve"> 2246</w:t>
      </w:r>
      <w:r w:rsidR="006E6448">
        <w:rPr>
          <w:rFonts w:asciiTheme="majorHAnsi" w:hAnsiTheme="majorHAnsi"/>
          <w:sz w:val="24"/>
          <w:szCs w:val="24"/>
        </w:rPr>
        <w:t xml:space="preserve">. </w:t>
      </w:r>
      <w:r w:rsidR="00463B6E" w:rsidRPr="00463B6E">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bednet, the household was considered a bednet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under 5, and the number of individuals over 65. </w:t>
      </w:r>
      <w:r w:rsidR="009F5958">
        <w:rPr>
          <w:rFonts w:asciiTheme="majorHAnsi" w:hAnsiTheme="majorHAnsi"/>
          <w:sz w:val="24"/>
          <w:szCs w:val="24"/>
        </w:rPr>
        <w:t xml:space="preserve"> </w:t>
      </w:r>
      <w:r w:rsidR="009E5A16" w:rsidRPr="009E5A16">
        <w:rPr>
          <w:rFonts w:asciiTheme="majorHAnsi" w:hAnsiTheme="majorHAnsi"/>
          <w:sz w:val="24"/>
          <w:szCs w:val="24"/>
        </w:rPr>
        <w:t>We assigned an age-based health risk score (age-based risk hereafter) to each household with the following formula:</w:t>
      </w:r>
    </w:p>
    <w:p w14:paraId="1EC3DC3F" w14:textId="50E88720"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Score=(2×Childr</w:t>
      </w:r>
      <w:r w:rsidR="00643CAA">
        <w:rPr>
          <w:rFonts w:asciiTheme="majorHAnsi" w:hAnsiTheme="majorHAnsi"/>
          <w:sz w:val="24"/>
          <w:szCs w:val="24"/>
        </w:rPr>
        <w:t>en≤1)+(1&lt;Children≤5)</w:t>
      </w:r>
    </w:p>
    <w:p w14:paraId="5AE51934" w14:textId="080E4B67"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lastRenderedPageBreak/>
        <w:t xml:space="preserve">We assigned twice the weight to children under 1 since they have the highest risk of the </w:t>
      </w:r>
      <w:r w:rsidR="00503F8C">
        <w:rPr>
          <w:rFonts w:asciiTheme="majorHAnsi" w:hAnsiTheme="majorHAnsi"/>
          <w:sz w:val="24"/>
          <w:szCs w:val="24"/>
        </w:rPr>
        <w:t xml:space="preserve">three </w:t>
      </w:r>
      <w:r w:rsidRPr="009E5A16">
        <w:rPr>
          <w:rFonts w:asciiTheme="majorHAnsi" w:hAnsiTheme="majorHAnsi"/>
          <w:sz w:val="24"/>
          <w:szCs w:val="24"/>
        </w:rPr>
        <w:t>categories.</w:t>
      </w:r>
      <w:r w:rsidR="007B5454">
        <w:rPr>
          <w:rFonts w:asciiTheme="majorHAnsi" w:hAnsiTheme="majorHAnsi"/>
          <w:sz w:val="24"/>
          <w:szCs w:val="24"/>
          <w:vertAlign w:val="superscript"/>
        </w:rPr>
        <w:t>7,8</w:t>
      </w:r>
    </w:p>
    <w:p w14:paraId="2204C233" w14:textId="3CFAB046"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r w:rsidR="007B5454">
        <w:rPr>
          <w:rFonts w:asciiTheme="majorHAnsi" w:hAnsiTheme="majorHAnsi"/>
          <w:sz w:val="24"/>
          <w:szCs w:val="24"/>
          <w:vertAlign w:val="superscript"/>
        </w:rPr>
        <w:t>9</w:t>
      </w:r>
      <w:r w:rsidR="002428B4">
        <w:rPr>
          <w:rFonts w:asciiTheme="majorHAnsi" w:hAnsiTheme="majorHAnsi"/>
          <w:sz w:val="24"/>
          <w:szCs w:val="24"/>
        </w:rPr>
        <w:t xml:space="preserve"> </w:t>
      </w:r>
      <w:r w:rsidR="007E3102" w:rsidRPr="007E3102">
        <w:rPr>
          <w:rFonts w:asciiTheme="majorHAnsi" w:hAnsiTheme="majorHAnsi"/>
          <w:sz w:val="24"/>
          <w:szCs w:val="24"/>
        </w:rPr>
        <w:t xml:space="preserve"> We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“SDMTools”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7B5454">
        <w:rPr>
          <w:rFonts w:asciiTheme="majorHAnsi" w:hAnsiTheme="majorHAnsi"/>
          <w:sz w:val="24"/>
          <w:szCs w:val="24"/>
          <w:vertAlign w:val="superscript"/>
        </w:rPr>
        <w:t>10,11,12</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w:t>
      </w:r>
      <w:r w:rsidR="00EE5B93">
        <w:rPr>
          <w:rFonts w:asciiTheme="majorHAnsi" w:hAnsiTheme="majorHAnsi"/>
          <w:sz w:val="24"/>
          <w:szCs w:val="24"/>
        </w:rPr>
        <w:lastRenderedPageBreak/>
        <w:t xml:space="preserve">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29FB5FA3"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w:t>
      </w:r>
      <w:r w:rsidR="00A844AE">
        <w:rPr>
          <w:rFonts w:asciiTheme="majorHAnsi" w:hAnsiTheme="majorHAnsi"/>
          <w:sz w:val="24"/>
          <w:szCs w:val="24"/>
        </w:rPr>
        <w:t>45</w:t>
      </w:r>
      <w:r w:rsidR="003D2C67" w:rsidRPr="003D2C67">
        <w:rPr>
          <w:rFonts w:asciiTheme="majorHAnsi" w:hAnsiTheme="majorHAnsi"/>
          <w:sz w:val="24"/>
          <w:szCs w:val="24"/>
        </w:rPr>
        <w:t>% (Odds Ratio (OR): 1</w:t>
      </w:r>
      <w:r w:rsidR="00A844AE">
        <w:rPr>
          <w:rFonts w:asciiTheme="majorHAnsi" w:hAnsiTheme="majorHAnsi"/>
          <w:sz w:val="24"/>
          <w:szCs w:val="24"/>
        </w:rPr>
        <w:t>.45</w:t>
      </w:r>
      <w:r w:rsidR="003D2C67" w:rsidRPr="003D2C67">
        <w:rPr>
          <w:rFonts w:asciiTheme="majorHAnsi" w:hAnsiTheme="majorHAnsi"/>
          <w:sz w:val="24"/>
          <w:szCs w:val="24"/>
        </w:rPr>
        <w:t xml:space="preserve">, 95% </w:t>
      </w:r>
      <w:r w:rsidR="003D2C67">
        <w:rPr>
          <w:rFonts w:asciiTheme="majorHAnsi" w:hAnsiTheme="majorHAnsi"/>
          <w:sz w:val="24"/>
          <w:szCs w:val="24"/>
        </w:rPr>
        <w:t>CI</w:t>
      </w:r>
      <w:r w:rsidR="00A844AE">
        <w:rPr>
          <w:rFonts w:asciiTheme="majorHAnsi" w:hAnsiTheme="majorHAnsi"/>
          <w:sz w:val="24"/>
          <w:szCs w:val="24"/>
        </w:rPr>
        <w:t>: 1.33, 1.59</w:t>
      </w:r>
      <w:r w:rsidR="003D2C67" w:rsidRPr="003D2C67">
        <w:rPr>
          <w:rFonts w:asciiTheme="majorHAnsi" w:hAnsiTheme="majorHAnsi"/>
          <w:sz w:val="24"/>
          <w:szCs w:val="24"/>
        </w:rPr>
        <w:t xml:space="preserve">)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A844AE">
        <w:rPr>
          <w:rFonts w:asciiTheme="majorHAnsi" w:hAnsiTheme="majorHAnsi"/>
          <w:sz w:val="24"/>
          <w:szCs w:val="24"/>
        </w:rPr>
        <w:t>22% (OR: 1.22, 95% CI: 1.05, 1.42</w:t>
      </w:r>
      <w:r w:rsidR="003D2C67" w:rsidRPr="003D2C67">
        <w:rPr>
          <w:rFonts w:asciiTheme="majorHAnsi" w:hAnsiTheme="majorHAnsi"/>
          <w:sz w:val="24"/>
          <w:szCs w:val="24"/>
        </w:rPr>
        <w:t xml:space="preserve">).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w:t>
      </w:r>
      <w:r w:rsidR="00A844AE">
        <w:rPr>
          <w:rFonts w:asciiTheme="majorHAnsi" w:hAnsiTheme="majorHAnsi"/>
          <w:sz w:val="24"/>
          <w:szCs w:val="24"/>
        </w:rPr>
        <w:t xml:space="preserve"> statistically significant</w:t>
      </w:r>
      <w:r w:rsidR="003D2C67" w:rsidRPr="003D2C67">
        <w:rPr>
          <w:rFonts w:asciiTheme="majorHAnsi" w:hAnsiTheme="majorHAnsi"/>
          <w:sz w:val="24"/>
          <w:szCs w:val="24"/>
        </w:rPr>
        <w:t xml:space="preserve"> preferential administration of ei</w:t>
      </w:r>
      <w:r w:rsidR="003D2C67">
        <w:rPr>
          <w:rFonts w:asciiTheme="majorHAnsi" w:hAnsiTheme="majorHAnsi"/>
          <w:sz w:val="24"/>
          <w:szCs w:val="24"/>
        </w:rPr>
        <w:t xml:space="preserve">ther </w:t>
      </w:r>
      <w:r w:rsidR="005D391D">
        <w:rPr>
          <w:rFonts w:asciiTheme="majorHAnsi" w:hAnsiTheme="majorHAnsi"/>
          <w:sz w:val="24"/>
          <w:szCs w:val="24"/>
        </w:rPr>
        <w:t>intervention</w:t>
      </w:r>
      <w:r w:rsidR="00C468EE">
        <w:rPr>
          <w:rFonts w:asciiTheme="majorHAnsi" w:hAnsiTheme="majorHAnsi"/>
          <w:sz w:val="24"/>
          <w:szCs w:val="24"/>
        </w:rPr>
        <w:t xml:space="preserve">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 xml:space="preserve">tile did not change </w:t>
      </w:r>
      <w:r w:rsidR="003442B9">
        <w:rPr>
          <w:rFonts w:asciiTheme="majorHAnsi" w:hAnsiTheme="majorHAnsi"/>
          <w:sz w:val="24"/>
          <w:szCs w:val="24"/>
        </w:rPr>
        <w:t xml:space="preserve">the interpretation of </w:t>
      </w:r>
      <w:r w:rsidR="003D2C67" w:rsidRPr="003D2C67">
        <w:rPr>
          <w:rFonts w:asciiTheme="majorHAnsi" w:hAnsiTheme="majorHAnsi"/>
          <w:sz w:val="24"/>
          <w:szCs w:val="24"/>
        </w:rPr>
        <w:t>our results.</w:t>
      </w:r>
    </w:p>
    <w:p w14:paraId="7F2F5B29" w14:textId="4A49FC64"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00A844AE">
        <w:rPr>
          <w:rFonts w:asciiTheme="majorHAnsi" w:hAnsiTheme="majorHAnsi"/>
          <w:sz w:val="24"/>
          <w:szCs w:val="24"/>
        </w:rPr>
        <w:t xml:space="preserve"> (OR: 0.34</w:t>
      </w:r>
      <w:r w:rsidRPr="00202E31">
        <w:rPr>
          <w:rFonts w:asciiTheme="majorHAnsi" w:hAnsiTheme="majorHAnsi"/>
          <w:sz w:val="24"/>
          <w:szCs w:val="24"/>
        </w:rPr>
        <w:t>,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6% of 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w:t>
      </w:r>
      <w:r w:rsidR="000B4C5A">
        <w:rPr>
          <w:rFonts w:asciiTheme="majorHAnsi" w:hAnsiTheme="majorHAnsi"/>
          <w:sz w:val="24"/>
          <w:szCs w:val="24"/>
        </w:rPr>
        <w:lastRenderedPageBreak/>
        <w:t>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14:paraId="0161A381" w14:textId="36B61793"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8D6479">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3FC075BE"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8D6479">
        <w:rPr>
          <w:rFonts w:asciiTheme="majorHAnsi" w:hAnsiTheme="majorHAnsi"/>
          <w:sz w:val="24"/>
          <w:szCs w:val="24"/>
          <w:vertAlign w:val="superscript"/>
        </w:rPr>
        <w:t>14</w:t>
      </w:r>
    </w:p>
    <w:p w14:paraId="7DA22D26" w14:textId="77777777" w:rsidR="00CC725D" w:rsidRDefault="00CC725D">
      <w:pPr>
        <w:rPr>
          <w:rFonts w:asciiTheme="majorHAnsi" w:hAnsiTheme="majorHAnsi"/>
          <w:sz w:val="24"/>
          <w:szCs w:val="24"/>
        </w:rPr>
      </w:pPr>
      <w:r>
        <w:rPr>
          <w:rFonts w:asciiTheme="majorHAnsi" w:hAnsiTheme="majorHAnsi"/>
          <w:sz w:val="24"/>
          <w:szCs w:val="24"/>
        </w:rPr>
        <w:lastRenderedPageBreak/>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Schantz-Dunn J, Nour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r w:rsidRPr="00F0198F">
        <w:rPr>
          <w:rFonts w:asciiTheme="majorHAnsi" w:hAnsiTheme="majorHAnsi"/>
          <w:sz w:val="24"/>
          <w:szCs w:val="24"/>
        </w:rPr>
        <w:t>;2(3):186-192.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.nmcp.or .ke</w:t>
      </w:r>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Bousema T, Griffin JT, Sauerwein RW, Smith DL, Churcher TS, et al. 2012. Hitting Hotspots: Spatial Targeting of Malaria for Control and Elimination. PLoS Med 9(1): e1001165. doi:10.1371/journal.pmed.1001165</w:t>
      </w:r>
    </w:p>
    <w:p w14:paraId="302CF415" w14:textId="03A73896" w:rsidR="009E5A16" w:rsidRPr="005A66B7"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r w:rsidR="009E5A16" w:rsidRPr="005A66B7">
        <w:rPr>
          <w:rFonts w:asciiTheme="majorHAnsi" w:hAnsiTheme="majorHAnsi"/>
          <w:sz w:val="24"/>
          <w:szCs w:val="24"/>
        </w:rPr>
        <w:t>Linblade</w:t>
      </w:r>
      <w:r w:rsidR="00A158E8">
        <w:rPr>
          <w:rFonts w:asciiTheme="majorHAnsi" w:hAnsiTheme="majorHAnsi"/>
          <w:sz w:val="24"/>
          <w:szCs w:val="24"/>
        </w:rPr>
        <w:t xml:space="preserve"> KA</w:t>
      </w:r>
      <w:r w:rsidR="009E5A16" w:rsidRPr="005A66B7">
        <w:rPr>
          <w:rFonts w:asciiTheme="majorHAnsi" w:hAnsiTheme="majorHAnsi"/>
          <w:sz w:val="24"/>
          <w:szCs w:val="24"/>
        </w:rPr>
        <w:t>, Vulule</w:t>
      </w:r>
      <w:r w:rsidR="00A158E8" w:rsidRPr="00A158E8">
        <w:rPr>
          <w:rFonts w:asciiTheme="majorHAnsi" w:hAnsiTheme="majorHAnsi"/>
          <w:sz w:val="24"/>
          <w:szCs w:val="24"/>
        </w:rPr>
        <w:t xml:space="preserve"> </w:t>
      </w:r>
      <w:r w:rsidR="00A158E8">
        <w:rPr>
          <w:rFonts w:asciiTheme="majorHAnsi" w:hAnsiTheme="majorHAnsi"/>
          <w:sz w:val="24"/>
          <w:szCs w:val="24"/>
        </w:rPr>
        <w:t>JM</w:t>
      </w:r>
      <w:r w:rsidR="009E5A16" w:rsidRPr="005A66B7">
        <w:rPr>
          <w:rFonts w:asciiTheme="majorHAnsi" w:hAnsiTheme="majorHAnsi"/>
          <w:sz w:val="24"/>
          <w:szCs w:val="24"/>
        </w:rPr>
        <w:t>, John</w:t>
      </w:r>
      <w:r w:rsidR="00A158E8" w:rsidRPr="00A158E8">
        <w:rPr>
          <w:rFonts w:asciiTheme="majorHAnsi" w:hAnsiTheme="majorHAnsi"/>
          <w:sz w:val="24"/>
          <w:szCs w:val="24"/>
        </w:rPr>
        <w:t xml:space="preserve"> </w:t>
      </w:r>
      <w:r w:rsidR="00A158E8">
        <w:rPr>
          <w:rFonts w:asciiTheme="majorHAnsi" w:hAnsiTheme="majorHAnsi"/>
          <w:sz w:val="24"/>
          <w:szCs w:val="24"/>
        </w:rPr>
        <w:t>CC</w:t>
      </w:r>
      <w:r w:rsidR="009E5A16" w:rsidRPr="005A66B7">
        <w:rPr>
          <w:rFonts w:asciiTheme="majorHAnsi" w:hAnsiTheme="majorHAnsi"/>
          <w:sz w:val="24"/>
          <w:szCs w:val="24"/>
        </w:rPr>
        <w:t>, and Wilson</w:t>
      </w:r>
      <w:r w:rsidR="00A158E8" w:rsidRPr="00A158E8">
        <w:rPr>
          <w:rFonts w:asciiTheme="majorHAnsi" w:hAnsiTheme="majorHAnsi"/>
          <w:sz w:val="24"/>
          <w:szCs w:val="24"/>
        </w:rPr>
        <w:t xml:space="preserve"> </w:t>
      </w:r>
      <w:r w:rsidR="00A158E8">
        <w:rPr>
          <w:rFonts w:asciiTheme="majorHAnsi" w:hAnsiTheme="majorHAnsi"/>
          <w:sz w:val="24"/>
          <w:szCs w:val="24"/>
        </w:rPr>
        <w:t>M,</w:t>
      </w:r>
      <w:r w:rsidR="009E5A16" w:rsidRPr="005A66B7">
        <w:rPr>
          <w:rFonts w:asciiTheme="majorHAnsi" w:hAnsiTheme="majorHAnsi"/>
          <w:sz w:val="24"/>
          <w:szCs w:val="24"/>
        </w:rPr>
        <w:t xml:space="preserve"> 2008.   Topography-derived wetness indices are associated with  household-level malaria risk in two communities in the western Kenyan highlands.  Malaria Journal 7: 40.</w:t>
      </w:r>
    </w:p>
    <w:p w14:paraId="479C8A71" w14:textId="20E0D225" w:rsidR="009E5A16"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r w:rsidR="009E5A16" w:rsidRPr="005A66B7">
        <w:rPr>
          <w:rFonts w:asciiTheme="majorHAnsi" w:hAnsiTheme="majorHAnsi"/>
          <w:sz w:val="24"/>
          <w:szCs w:val="24"/>
        </w:rPr>
        <w:t>Linblade</w:t>
      </w:r>
      <w:r>
        <w:rPr>
          <w:rFonts w:asciiTheme="majorHAnsi" w:hAnsiTheme="majorHAnsi"/>
          <w:sz w:val="24"/>
          <w:szCs w:val="24"/>
        </w:rPr>
        <w:t xml:space="preserve"> KA, </w:t>
      </w:r>
      <w:r w:rsidR="009E5A16" w:rsidRPr="005A66B7">
        <w:rPr>
          <w:rFonts w:asciiTheme="majorHAnsi" w:hAnsiTheme="majorHAnsi"/>
          <w:sz w:val="24"/>
          <w:szCs w:val="24"/>
        </w:rPr>
        <w:t>Vulule</w:t>
      </w:r>
      <w:r>
        <w:rPr>
          <w:rFonts w:asciiTheme="majorHAnsi" w:hAnsiTheme="majorHAnsi"/>
          <w:sz w:val="24"/>
          <w:szCs w:val="24"/>
        </w:rPr>
        <w:t xml:space="preserve"> JM, </w:t>
      </w:r>
      <w:r w:rsidR="009E5A16" w:rsidRPr="005A66B7">
        <w:rPr>
          <w:rFonts w:asciiTheme="majorHAnsi" w:hAnsiTheme="majorHAnsi"/>
          <w:sz w:val="24"/>
          <w:szCs w:val="24"/>
        </w:rPr>
        <w:t>John</w:t>
      </w:r>
      <w:r>
        <w:rPr>
          <w:rFonts w:asciiTheme="majorHAnsi" w:hAnsiTheme="majorHAnsi"/>
          <w:sz w:val="24"/>
          <w:szCs w:val="24"/>
        </w:rPr>
        <w:t xml:space="preserve"> CC, and </w:t>
      </w:r>
      <w:r w:rsidR="009E5A16" w:rsidRPr="005A66B7">
        <w:rPr>
          <w:rFonts w:asciiTheme="majorHAnsi" w:hAnsiTheme="majorHAnsi"/>
          <w:sz w:val="24"/>
          <w:szCs w:val="24"/>
        </w:rPr>
        <w:t>Wilson</w:t>
      </w:r>
      <w:r>
        <w:rPr>
          <w:rFonts w:asciiTheme="majorHAnsi" w:hAnsiTheme="majorHAnsi"/>
          <w:sz w:val="24"/>
          <w:szCs w:val="24"/>
        </w:rPr>
        <w:t xml:space="preserve"> M</w:t>
      </w:r>
      <w:r w:rsidR="00A158E8">
        <w:rPr>
          <w:rFonts w:asciiTheme="majorHAnsi" w:hAnsiTheme="majorHAnsi"/>
          <w:sz w:val="24"/>
          <w:szCs w:val="24"/>
        </w:rPr>
        <w:t xml:space="preserve">, </w:t>
      </w:r>
      <w:r w:rsidR="009E5A16" w:rsidRPr="005A66B7">
        <w:rPr>
          <w:rFonts w:asciiTheme="majorHAnsi" w:hAnsiTheme="majorHAnsi"/>
          <w:sz w:val="24"/>
          <w:szCs w:val="24"/>
        </w:rPr>
        <w:t>2010.  Local topographic wetness indices predict household malaria risk better than land-use and land-cover in the western Kenya highlands.  Malaria Journal 9: 328.</w:t>
      </w:r>
    </w:p>
    <w:p w14:paraId="5B77EF76" w14:textId="4389A3EC" w:rsidR="009E5A16" w:rsidRPr="005A66B7" w:rsidRDefault="00A158E8"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Gupta S, </w:t>
      </w:r>
      <w:r w:rsidR="009E5A16" w:rsidRPr="005A66B7">
        <w:rPr>
          <w:rFonts w:asciiTheme="majorHAnsi" w:hAnsiTheme="majorHAnsi"/>
          <w:sz w:val="24"/>
          <w:szCs w:val="24"/>
        </w:rPr>
        <w:t>Snow</w:t>
      </w:r>
      <w:r w:rsidRPr="00A158E8">
        <w:rPr>
          <w:rFonts w:asciiTheme="majorHAnsi" w:hAnsiTheme="majorHAnsi"/>
          <w:sz w:val="24"/>
          <w:szCs w:val="24"/>
        </w:rPr>
        <w:t xml:space="preserve"> </w:t>
      </w:r>
      <w:r>
        <w:rPr>
          <w:rFonts w:asciiTheme="majorHAnsi" w:hAnsiTheme="majorHAnsi"/>
          <w:sz w:val="24"/>
          <w:szCs w:val="24"/>
        </w:rPr>
        <w:t xml:space="preserve">RW, </w:t>
      </w:r>
      <w:r w:rsidR="009E5A16" w:rsidRPr="005A66B7">
        <w:rPr>
          <w:rFonts w:asciiTheme="majorHAnsi" w:hAnsiTheme="majorHAnsi"/>
          <w:sz w:val="24"/>
          <w:szCs w:val="24"/>
        </w:rPr>
        <w:t>Donnelly</w:t>
      </w:r>
      <w:r w:rsidRPr="00A158E8">
        <w:rPr>
          <w:rFonts w:asciiTheme="majorHAnsi" w:hAnsiTheme="majorHAnsi"/>
          <w:sz w:val="24"/>
          <w:szCs w:val="24"/>
        </w:rPr>
        <w:t xml:space="preserve"> </w:t>
      </w:r>
      <w:r>
        <w:rPr>
          <w:rFonts w:asciiTheme="majorHAnsi" w:hAnsiTheme="majorHAnsi"/>
          <w:sz w:val="24"/>
          <w:szCs w:val="24"/>
        </w:rPr>
        <w:t>CA</w:t>
      </w:r>
      <w:r w:rsidR="009E5A16" w:rsidRPr="005A66B7">
        <w:rPr>
          <w:rFonts w:asciiTheme="majorHAnsi" w:hAnsiTheme="majorHAnsi"/>
          <w:sz w:val="24"/>
          <w:szCs w:val="24"/>
        </w:rPr>
        <w:t>, Marsh</w:t>
      </w:r>
      <w:r w:rsidRPr="00A158E8">
        <w:rPr>
          <w:rFonts w:asciiTheme="majorHAnsi" w:hAnsiTheme="majorHAnsi"/>
          <w:sz w:val="24"/>
          <w:szCs w:val="24"/>
        </w:rPr>
        <w:t xml:space="preserve"> </w:t>
      </w:r>
      <w:r>
        <w:rPr>
          <w:rFonts w:asciiTheme="majorHAnsi" w:hAnsiTheme="majorHAnsi"/>
          <w:sz w:val="24"/>
          <w:szCs w:val="24"/>
        </w:rPr>
        <w:t>K</w:t>
      </w:r>
      <w:r w:rsidR="009E5A16" w:rsidRPr="005A66B7">
        <w:rPr>
          <w:rFonts w:asciiTheme="majorHAnsi" w:hAnsiTheme="majorHAnsi"/>
          <w:sz w:val="24"/>
          <w:szCs w:val="24"/>
        </w:rPr>
        <w:t>, and Newbold</w:t>
      </w:r>
      <w:r w:rsidRPr="00A158E8">
        <w:rPr>
          <w:rFonts w:asciiTheme="majorHAnsi" w:hAnsiTheme="majorHAnsi"/>
          <w:sz w:val="24"/>
          <w:szCs w:val="24"/>
        </w:rPr>
        <w:t xml:space="preserve"> </w:t>
      </w:r>
      <w:r>
        <w:rPr>
          <w:rFonts w:asciiTheme="majorHAnsi" w:hAnsiTheme="majorHAnsi"/>
          <w:sz w:val="24"/>
          <w:szCs w:val="24"/>
        </w:rPr>
        <w:t>C,</w:t>
      </w:r>
      <w:r w:rsidR="009E5A16" w:rsidRPr="005A66B7">
        <w:rPr>
          <w:rFonts w:asciiTheme="majorHAnsi" w:hAnsiTheme="majorHAnsi"/>
          <w:sz w:val="24"/>
          <w:szCs w:val="24"/>
        </w:rPr>
        <w:t xml:space="preserve">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Snow RW, Craig M, Deichmann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8"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9"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VanDerWal J, Lorena F, Januchowski S, Shoo L, Storlie C, 2014. SDMTools: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Hijmans RJ, 2015. raster: Geographic data analysis and modeling. R package version 2.3-24. </w:t>
      </w:r>
      <w:hyperlink r:id="rId10"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r w:rsidRPr="00810140">
        <w:rPr>
          <w:rFonts w:asciiTheme="majorHAnsi" w:hAnsiTheme="majorHAnsi"/>
          <w:sz w:val="24"/>
          <w:szCs w:val="24"/>
        </w:rPr>
        <w:t>Zinko</w:t>
      </w:r>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Sovannaroth S, Dy Soley L, Ngor P, Mellor S, Roca-Feltrer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13:371. doi: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r w:rsidRPr="003A7A63">
        <w:rPr>
          <w:rFonts w:asciiTheme="majorHAnsi" w:hAnsiTheme="majorHAnsi"/>
          <w:sz w:val="24"/>
          <w:szCs w:val="24"/>
        </w:rPr>
        <w:lastRenderedPageBreak/>
        <w:t>Table 1. Odds of receiving a treatment a</w:t>
      </w:r>
      <w:r w:rsidR="001639C3">
        <w:rPr>
          <w:rFonts w:asciiTheme="majorHAnsi" w:hAnsiTheme="majorHAnsi"/>
          <w:sz w:val="24"/>
          <w:szCs w:val="24"/>
        </w:rPr>
        <w:t xml:space="preserve">s a function of risk.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3F2992DA" w:rsidR="00445293" w:rsidRPr="00445293" w:rsidRDefault="00F9287E" w:rsidP="00F9287E">
            <w:pPr>
              <w:spacing w:after="0" w:line="240" w:lineRule="auto"/>
              <w:jc w:val="center"/>
              <w:rPr>
                <w:rFonts w:ascii="Calibri" w:eastAsia="Times New Roman" w:hAnsi="Calibri" w:cs="Calibri"/>
                <w:color w:val="000000"/>
              </w:rPr>
            </w:pPr>
            <w:r>
              <w:rPr>
                <w:rFonts w:ascii="Calibri" w:eastAsia="Times New Roman" w:hAnsi="Calibri" w:cs="Calibri"/>
                <w:color w:val="000000"/>
              </w:rPr>
              <w:t>Long lasting insecticidal nets</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36B8ED58" w:rsidR="00445293" w:rsidRPr="00445293" w:rsidRDefault="00F9287E"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Indoor residual spraying</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530BCB" w:rsidRPr="00445293" w14:paraId="33FAA1B0" w14:textId="77777777" w:rsidTr="001A106F">
        <w:trPr>
          <w:trHeight w:val="300"/>
        </w:trPr>
        <w:tc>
          <w:tcPr>
            <w:tcW w:w="1995" w:type="dxa"/>
            <w:tcBorders>
              <w:top w:val="nil"/>
              <w:left w:val="nil"/>
              <w:bottom w:val="nil"/>
              <w:right w:val="nil"/>
            </w:tcBorders>
            <w:shd w:val="clear" w:color="auto" w:fill="auto"/>
            <w:noWrap/>
            <w:vAlign w:val="bottom"/>
          </w:tcPr>
          <w:p w14:paraId="7731052E" w14:textId="77BBAA6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tcPr>
          <w:p w14:paraId="2EA0A97A" w14:textId="7584BD5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tcPr>
          <w:p w14:paraId="64927939" w14:textId="51F9C385"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1.33 (0.93, 1.90</w:t>
            </w:r>
            <w:r w:rsidR="00530BCB"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tcPr>
          <w:p w14:paraId="6241599F"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180168" w14:textId="69FDBDE4"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1.10 (0.59, 2.03</w:t>
            </w:r>
            <w:r w:rsidR="00530BCB" w:rsidRPr="00445293">
              <w:rPr>
                <w:rFonts w:ascii="Calibri" w:eastAsia="Times New Roman" w:hAnsi="Calibri" w:cs="Calibri"/>
                <w:color w:val="000000"/>
              </w:rPr>
              <w:t>)</w:t>
            </w:r>
          </w:p>
        </w:tc>
      </w:tr>
      <w:tr w:rsidR="00530BCB" w:rsidRPr="00445293" w14:paraId="4114386D" w14:textId="77777777" w:rsidTr="001A106F">
        <w:trPr>
          <w:trHeight w:val="300"/>
        </w:trPr>
        <w:tc>
          <w:tcPr>
            <w:tcW w:w="1995" w:type="dxa"/>
            <w:tcBorders>
              <w:top w:val="nil"/>
              <w:left w:val="nil"/>
              <w:bottom w:val="nil"/>
              <w:right w:val="nil"/>
            </w:tcBorders>
            <w:shd w:val="clear" w:color="auto" w:fill="auto"/>
            <w:noWrap/>
            <w:vAlign w:val="bottom"/>
          </w:tcPr>
          <w:p w14:paraId="3119AB8A" w14:textId="7A3B7AC6"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tcPr>
          <w:p w14:paraId="40D6A300" w14:textId="56E1E64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tcPr>
          <w:p w14:paraId="053816FD" w14:textId="334CBD3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tcPr>
          <w:p w14:paraId="53D68F2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693F6BB7" w14:textId="2203A506"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530BCB" w:rsidRPr="00445293" w14:paraId="3BB137EB" w14:textId="77777777" w:rsidTr="001A106F">
        <w:trPr>
          <w:trHeight w:val="300"/>
        </w:trPr>
        <w:tc>
          <w:tcPr>
            <w:tcW w:w="1995" w:type="dxa"/>
            <w:tcBorders>
              <w:top w:val="nil"/>
              <w:left w:val="nil"/>
              <w:bottom w:val="nil"/>
              <w:right w:val="nil"/>
            </w:tcBorders>
            <w:shd w:val="clear" w:color="auto" w:fill="auto"/>
            <w:noWrap/>
            <w:vAlign w:val="bottom"/>
          </w:tcPr>
          <w:p w14:paraId="6BF3BC76"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0091DC0E" w14:textId="09E1A352"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tcPr>
          <w:p w14:paraId="76B3A8D3" w14:textId="7A81DC1D"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1.21 (0.94, 1.55</w:t>
            </w:r>
            <w:r w:rsidR="00530BCB" w:rsidRPr="00445293">
              <w:rPr>
                <w:rFonts w:ascii="Calibri" w:eastAsia="Times New Roman" w:hAnsi="Calibri" w:cs="Calibri"/>
                <w:color w:val="000000"/>
              </w:rPr>
              <w:t xml:space="preserve">) </w:t>
            </w:r>
          </w:p>
        </w:tc>
        <w:tc>
          <w:tcPr>
            <w:tcW w:w="360" w:type="dxa"/>
            <w:tcBorders>
              <w:top w:val="nil"/>
              <w:left w:val="nil"/>
              <w:bottom w:val="nil"/>
              <w:right w:val="nil"/>
            </w:tcBorders>
            <w:shd w:val="clear" w:color="auto" w:fill="auto"/>
            <w:noWrap/>
            <w:vAlign w:val="bottom"/>
          </w:tcPr>
          <w:p w14:paraId="65609924" w14:textId="6E9D6EDF"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45DFF470" w14:textId="425F58C3"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(0.67, 1.74</w:t>
            </w:r>
            <w:r w:rsidR="00530BCB" w:rsidRPr="00445293">
              <w:rPr>
                <w:rFonts w:ascii="Calibri" w:eastAsia="Times New Roman" w:hAnsi="Calibri" w:cs="Calibri"/>
                <w:color w:val="000000"/>
              </w:rPr>
              <w:t>)</w:t>
            </w:r>
          </w:p>
        </w:tc>
      </w:tr>
      <w:tr w:rsidR="00530BCB" w:rsidRPr="00445293" w14:paraId="0B84402F" w14:textId="77777777" w:rsidTr="001A106F">
        <w:trPr>
          <w:trHeight w:val="300"/>
        </w:trPr>
        <w:tc>
          <w:tcPr>
            <w:tcW w:w="1995" w:type="dxa"/>
            <w:tcBorders>
              <w:top w:val="nil"/>
              <w:left w:val="nil"/>
              <w:bottom w:val="nil"/>
              <w:right w:val="nil"/>
            </w:tcBorders>
            <w:shd w:val="clear" w:color="auto" w:fill="auto"/>
            <w:noWrap/>
            <w:vAlign w:val="bottom"/>
          </w:tcPr>
          <w:p w14:paraId="15760CC8"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6CD51B63"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468890C9" w14:textId="77777777" w:rsidR="00530BCB" w:rsidRPr="00445293" w:rsidRDefault="00530BCB"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tcPr>
          <w:p w14:paraId="0027578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565840" w14:textId="77777777" w:rsidR="00530BCB" w:rsidRPr="00445293" w:rsidRDefault="00530BCB" w:rsidP="00445293">
            <w:pPr>
              <w:spacing w:after="0" w:line="240" w:lineRule="auto"/>
              <w:rPr>
                <w:rFonts w:ascii="Calibri" w:eastAsia="Times New Roman" w:hAnsi="Calibri" w:cs="Calibri"/>
                <w:color w:val="000000"/>
              </w:rPr>
            </w:pPr>
          </w:p>
        </w:tc>
      </w:tr>
      <w:tr w:rsidR="00530BCB"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06142ACE" w:rsidR="00530BCB" w:rsidRPr="00445293" w:rsidRDefault="00530BCB" w:rsidP="001E1F35">
            <w:pPr>
              <w:spacing w:after="0" w:line="240" w:lineRule="auto"/>
              <w:rPr>
                <w:rFonts w:ascii="Calibri" w:eastAsia="Times New Roman" w:hAnsi="Calibri" w:cs="Calibri"/>
                <w:color w:val="000000"/>
              </w:rPr>
            </w:pPr>
            <w:r w:rsidRPr="00445293">
              <w:rPr>
                <w:rFonts w:ascii="Calibri" w:eastAsia="Times New Roman" w:hAnsi="Calibri" w:cs="Calibri"/>
                <w:color w:val="000000"/>
              </w:rPr>
              <w:t>1.</w:t>
            </w:r>
            <w:r w:rsidR="001E1F35">
              <w:rPr>
                <w:rFonts w:ascii="Calibri" w:eastAsia="Times New Roman" w:hAnsi="Calibri" w:cs="Calibri"/>
                <w:color w:val="000000"/>
              </w:rPr>
              <w:t>45 (1.33, 1.59</w:t>
            </w:r>
            <w:r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hideMark/>
          </w:tcPr>
          <w:p w14:paraId="16ECF38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5B1F6FF6"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1.22 (1.05, 1.42</w:t>
            </w:r>
            <w:r w:rsidR="00530BCB" w:rsidRPr="00445293">
              <w:rPr>
                <w:rFonts w:ascii="Calibri" w:eastAsia="Times New Roman" w:hAnsi="Calibri" w:cs="Calibri"/>
                <w:color w:val="000000"/>
              </w:rPr>
              <w:t>)</w:t>
            </w:r>
          </w:p>
        </w:tc>
      </w:tr>
      <w:tr w:rsidR="00530BCB" w:rsidRPr="00445293" w14:paraId="332354BE" w14:textId="77777777" w:rsidTr="002A3B6A">
        <w:trPr>
          <w:trHeight w:val="300"/>
        </w:trPr>
        <w:tc>
          <w:tcPr>
            <w:tcW w:w="1995" w:type="dxa"/>
            <w:tcBorders>
              <w:top w:val="nil"/>
              <w:left w:val="nil"/>
              <w:right w:val="nil"/>
            </w:tcBorders>
            <w:shd w:val="clear" w:color="auto" w:fill="auto"/>
            <w:noWrap/>
            <w:vAlign w:val="bottom"/>
            <w:hideMark/>
          </w:tcPr>
          <w:p w14:paraId="4E788537" w14:textId="050877E8"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right w:val="nil"/>
            </w:tcBorders>
            <w:shd w:val="clear" w:color="auto" w:fill="auto"/>
            <w:noWrap/>
            <w:vAlign w:val="bottom"/>
            <w:hideMark/>
          </w:tcPr>
          <w:p w14:paraId="009B6407"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right w:val="nil"/>
            </w:tcBorders>
            <w:shd w:val="clear" w:color="auto" w:fill="auto"/>
            <w:noWrap/>
            <w:vAlign w:val="bottom"/>
            <w:hideMark/>
          </w:tcPr>
          <w:p w14:paraId="64591A3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right w:val="nil"/>
            </w:tcBorders>
            <w:shd w:val="clear" w:color="auto" w:fill="auto"/>
            <w:noWrap/>
            <w:vAlign w:val="bottom"/>
            <w:hideMark/>
          </w:tcPr>
          <w:p w14:paraId="49506AC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right w:val="nil"/>
            </w:tcBorders>
            <w:shd w:val="clear" w:color="auto" w:fill="auto"/>
            <w:noWrap/>
            <w:vAlign w:val="bottom"/>
            <w:hideMark/>
          </w:tcPr>
          <w:p w14:paraId="2D1C563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530BCB" w:rsidRPr="00445293" w14:paraId="0CD1F3ED" w14:textId="77777777" w:rsidTr="002A3B6A">
        <w:trPr>
          <w:trHeight w:val="300"/>
        </w:trPr>
        <w:tc>
          <w:tcPr>
            <w:tcW w:w="1995" w:type="dxa"/>
            <w:tcBorders>
              <w:top w:val="nil"/>
              <w:left w:val="nil"/>
              <w:bottom w:val="single" w:sz="4" w:space="0" w:color="auto"/>
              <w:right w:val="nil"/>
            </w:tcBorders>
            <w:shd w:val="clear" w:color="auto" w:fill="auto"/>
            <w:noWrap/>
            <w:vAlign w:val="bottom"/>
            <w:hideMark/>
          </w:tcPr>
          <w:p w14:paraId="6D76C6AD"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single" w:sz="4" w:space="0" w:color="auto"/>
              <w:right w:val="nil"/>
            </w:tcBorders>
            <w:shd w:val="clear" w:color="auto" w:fill="auto"/>
            <w:noWrap/>
            <w:vAlign w:val="bottom"/>
            <w:hideMark/>
          </w:tcPr>
          <w:p w14:paraId="00B0C9E5"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single" w:sz="4" w:space="0" w:color="auto"/>
              <w:right w:val="nil"/>
            </w:tcBorders>
            <w:shd w:val="clear" w:color="auto" w:fill="auto"/>
            <w:noWrap/>
            <w:vAlign w:val="bottom"/>
            <w:hideMark/>
          </w:tcPr>
          <w:p w14:paraId="193E1103" w14:textId="6CFF7F2E"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1.36 (1.27, 1.4</w:t>
            </w:r>
            <w:r w:rsidR="00530BCB" w:rsidRPr="00445293">
              <w:rPr>
                <w:rFonts w:ascii="Calibri" w:eastAsia="Times New Roman" w:hAnsi="Calibri" w:cs="Calibri"/>
                <w:color w:val="000000"/>
              </w:rPr>
              <w:t>5)</w:t>
            </w:r>
          </w:p>
        </w:tc>
        <w:tc>
          <w:tcPr>
            <w:tcW w:w="360" w:type="dxa"/>
            <w:tcBorders>
              <w:top w:val="nil"/>
              <w:left w:val="nil"/>
              <w:bottom w:val="single" w:sz="4" w:space="0" w:color="auto"/>
              <w:right w:val="nil"/>
            </w:tcBorders>
            <w:shd w:val="clear" w:color="auto" w:fill="auto"/>
            <w:noWrap/>
            <w:vAlign w:val="bottom"/>
            <w:hideMark/>
          </w:tcPr>
          <w:p w14:paraId="7D1F6A1E"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nil"/>
            </w:tcBorders>
            <w:shd w:val="clear" w:color="auto" w:fill="auto"/>
            <w:noWrap/>
            <w:vAlign w:val="bottom"/>
            <w:hideMark/>
          </w:tcPr>
          <w:p w14:paraId="3936F7EC" w14:textId="7F5C4AAA"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(0.96, 1.22</w:t>
            </w:r>
            <w:r w:rsidR="00530BCB" w:rsidRPr="00445293">
              <w:rPr>
                <w:rFonts w:ascii="Calibri" w:eastAsia="Times New Roman" w:hAnsi="Calibri" w:cs="Calibri"/>
                <w:color w:val="000000"/>
              </w:rPr>
              <w:t>)</w:t>
            </w:r>
          </w:p>
        </w:tc>
      </w:tr>
    </w:tbl>
    <w:p w14:paraId="63EC4E52" w14:textId="498D0543" w:rsidR="00AE2294" w:rsidRDefault="00F33453">
      <w:pPr>
        <w:rPr>
          <w:rFonts w:asciiTheme="majorHAnsi" w:hAnsiTheme="majorHAnsi"/>
          <w:sz w:val="24"/>
          <w:szCs w:val="24"/>
        </w:rPr>
      </w:pPr>
      <w:r w:rsidRPr="0060330C">
        <w:rPr>
          <w:rFonts w:asciiTheme="majorHAnsi" w:hAnsiTheme="majorHAnsi"/>
          <w:sz w:val="20"/>
          <w:szCs w:val="24"/>
        </w:rPr>
        <w:t>* Number of households</w:t>
      </w:r>
      <w:r w:rsidR="00AE2294">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34974B03" w:rsidR="009E5DF8" w:rsidRDefault="00A844AE"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7C32C628" wp14:editId="61F2A455">
            <wp:extent cx="5729605" cy="5729605"/>
            <wp:effectExtent l="0" t="0" r="4445" b="4445"/>
            <wp:docPr id="1" name="Picture 1" descr="C:\Classes\AppliedBiostat\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572960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 2.  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w:t>
      </w:r>
      <w:r w:rsidR="00555D4D">
        <w:rPr>
          <w:rFonts w:asciiTheme="majorHAnsi" w:hAnsiTheme="majorHAnsi"/>
          <w:sz w:val="24"/>
          <w:szCs w:val="24"/>
        </w:rPr>
        <w:t xml:space="preserve"> we simulated</w:t>
      </w:r>
      <w:r w:rsidR="00442B92">
        <w:rPr>
          <w:rFonts w:asciiTheme="majorHAnsi" w:hAnsiTheme="majorHAnsi"/>
          <w:sz w:val="24"/>
          <w:szCs w:val="24"/>
        </w:rPr>
        <w:t xml:space="preserve"> in the bottom panel. The epidemic-prone site shows better targeting of interventions than the endemic site for both interventions.</w:t>
      </w:r>
    </w:p>
    <w:sectPr w:rsidR="00572645" w:rsidRPr="00810140" w:rsidSect="00512062">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84959" w14:textId="77777777" w:rsidR="00C91125" w:rsidRDefault="00C91125" w:rsidP="00512062">
      <w:pPr>
        <w:spacing w:after="0" w:line="240" w:lineRule="auto"/>
      </w:pPr>
      <w:r>
        <w:separator/>
      </w:r>
    </w:p>
  </w:endnote>
  <w:endnote w:type="continuationSeparator" w:id="0">
    <w:p w14:paraId="1D537BA9" w14:textId="77777777" w:rsidR="00C91125" w:rsidRDefault="00C91125" w:rsidP="00512062">
      <w:pPr>
        <w:spacing w:after="0" w:line="240" w:lineRule="auto"/>
      </w:pPr>
      <w:r>
        <w:continuationSeparator/>
      </w:r>
    </w:p>
  </w:endnote>
  <w:endnote w:type="continuationNotice" w:id="1">
    <w:p w14:paraId="0AA19929" w14:textId="77777777" w:rsidR="00C91125" w:rsidRDefault="00C911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025ACE">
          <w:rPr>
            <w:noProof/>
          </w:rPr>
          <w:t>13</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5923E" w14:textId="77777777" w:rsidR="00C91125" w:rsidRDefault="00C91125" w:rsidP="00512062">
      <w:pPr>
        <w:spacing w:after="0" w:line="240" w:lineRule="auto"/>
      </w:pPr>
      <w:r>
        <w:separator/>
      </w:r>
    </w:p>
  </w:footnote>
  <w:footnote w:type="continuationSeparator" w:id="0">
    <w:p w14:paraId="4D698E55" w14:textId="77777777" w:rsidR="00C91125" w:rsidRDefault="00C91125" w:rsidP="00512062">
      <w:pPr>
        <w:spacing w:after="0" w:line="240" w:lineRule="auto"/>
      </w:pPr>
      <w:r>
        <w:continuationSeparator/>
      </w:r>
    </w:p>
  </w:footnote>
  <w:footnote w:type="continuationNotice" w:id="1">
    <w:p w14:paraId="66716BE5" w14:textId="77777777" w:rsidR="00C91125" w:rsidRDefault="00C91125">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62"/>
    <w:rsid w:val="000015C5"/>
    <w:rsid w:val="000210AA"/>
    <w:rsid w:val="00024844"/>
    <w:rsid w:val="00025ACE"/>
    <w:rsid w:val="000313FC"/>
    <w:rsid w:val="00032931"/>
    <w:rsid w:val="00041389"/>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1F35"/>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75D6"/>
    <w:rsid w:val="002A3B6A"/>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14FC9"/>
    <w:rsid w:val="00316B74"/>
    <w:rsid w:val="003243DB"/>
    <w:rsid w:val="00327D79"/>
    <w:rsid w:val="003310F8"/>
    <w:rsid w:val="003316D9"/>
    <w:rsid w:val="003375AB"/>
    <w:rsid w:val="003442B9"/>
    <w:rsid w:val="00352A55"/>
    <w:rsid w:val="00362DD5"/>
    <w:rsid w:val="0036747F"/>
    <w:rsid w:val="003759F1"/>
    <w:rsid w:val="00375A11"/>
    <w:rsid w:val="0038146F"/>
    <w:rsid w:val="00381903"/>
    <w:rsid w:val="003823A0"/>
    <w:rsid w:val="00390641"/>
    <w:rsid w:val="00395F85"/>
    <w:rsid w:val="003A72CB"/>
    <w:rsid w:val="003A7A63"/>
    <w:rsid w:val="003A7C93"/>
    <w:rsid w:val="003C1217"/>
    <w:rsid w:val="003C1287"/>
    <w:rsid w:val="003C2F73"/>
    <w:rsid w:val="003C4323"/>
    <w:rsid w:val="003C50EC"/>
    <w:rsid w:val="003C7BA6"/>
    <w:rsid w:val="003D2C67"/>
    <w:rsid w:val="003D7A33"/>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30BCB"/>
    <w:rsid w:val="00544408"/>
    <w:rsid w:val="00552FEA"/>
    <w:rsid w:val="00555D4D"/>
    <w:rsid w:val="005612B1"/>
    <w:rsid w:val="005652AF"/>
    <w:rsid w:val="00572645"/>
    <w:rsid w:val="00580F77"/>
    <w:rsid w:val="00583BBC"/>
    <w:rsid w:val="00586872"/>
    <w:rsid w:val="005A0044"/>
    <w:rsid w:val="005A10C1"/>
    <w:rsid w:val="005A1E22"/>
    <w:rsid w:val="005A2908"/>
    <w:rsid w:val="005A2D59"/>
    <w:rsid w:val="005A5D47"/>
    <w:rsid w:val="005A65E5"/>
    <w:rsid w:val="005A66B7"/>
    <w:rsid w:val="005B1BBC"/>
    <w:rsid w:val="005B46C6"/>
    <w:rsid w:val="005B46E0"/>
    <w:rsid w:val="005D3563"/>
    <w:rsid w:val="005D391D"/>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43CAA"/>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5454"/>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A52E1"/>
    <w:rsid w:val="008B2A14"/>
    <w:rsid w:val="008D4160"/>
    <w:rsid w:val="008D6479"/>
    <w:rsid w:val="008E6FD9"/>
    <w:rsid w:val="008F09BE"/>
    <w:rsid w:val="008F3633"/>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25DA"/>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158E8"/>
    <w:rsid w:val="00A22335"/>
    <w:rsid w:val="00A2517A"/>
    <w:rsid w:val="00A26190"/>
    <w:rsid w:val="00A369C7"/>
    <w:rsid w:val="00A51DB4"/>
    <w:rsid w:val="00A642ED"/>
    <w:rsid w:val="00A668B8"/>
    <w:rsid w:val="00A70129"/>
    <w:rsid w:val="00A7243D"/>
    <w:rsid w:val="00A808A4"/>
    <w:rsid w:val="00A844AE"/>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30FA"/>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1125"/>
    <w:rsid w:val="00C93508"/>
    <w:rsid w:val="00C97A8D"/>
    <w:rsid w:val="00C97BE3"/>
    <w:rsid w:val="00CA18B5"/>
    <w:rsid w:val="00CA4665"/>
    <w:rsid w:val="00CB2043"/>
    <w:rsid w:val="00CB4543"/>
    <w:rsid w:val="00CB7A04"/>
    <w:rsid w:val="00CC211C"/>
    <w:rsid w:val="00CC725D"/>
    <w:rsid w:val="00CD29DB"/>
    <w:rsid w:val="00CD2FCB"/>
    <w:rsid w:val="00CD7FA3"/>
    <w:rsid w:val="00CE6D41"/>
    <w:rsid w:val="00CF5066"/>
    <w:rsid w:val="00D04CBE"/>
    <w:rsid w:val="00D10A50"/>
    <w:rsid w:val="00D20E31"/>
    <w:rsid w:val="00D260BB"/>
    <w:rsid w:val="00D32C38"/>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DF32B6"/>
    <w:rsid w:val="00E12B8C"/>
    <w:rsid w:val="00E14FAC"/>
    <w:rsid w:val="00E1505F"/>
    <w:rsid w:val="00E16D1E"/>
    <w:rsid w:val="00E25D8C"/>
    <w:rsid w:val="00E3597B"/>
    <w:rsid w:val="00E548AA"/>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9083C"/>
    <w:rsid w:val="00F9243B"/>
    <w:rsid w:val="00F9287E"/>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15:docId w15:val="{A9712F79-3E45-47FF-9CCE-E195600D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923731343">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653606189">
      <w:bodyDiv w:val="1"/>
      <w:marLeft w:val="0"/>
      <w:marRight w:val="0"/>
      <w:marTop w:val="0"/>
      <w:marBottom w:val="0"/>
      <w:divBdr>
        <w:top w:val="none" w:sz="0" w:space="0" w:color="auto"/>
        <w:left w:val="none" w:sz="0" w:space="0" w:color="auto"/>
        <w:bottom w:val="none" w:sz="0" w:space="0" w:color="auto"/>
        <w:right w:val="none" w:sz="0" w:space="0" w:color="auto"/>
      </w:divBdr>
      <w:divsChild>
        <w:div w:id="776411504">
          <w:marLeft w:val="0"/>
          <w:marRight w:val="0"/>
          <w:marTop w:val="0"/>
          <w:marBottom w:val="0"/>
          <w:divBdr>
            <w:top w:val="none" w:sz="0" w:space="0" w:color="auto"/>
            <w:left w:val="none" w:sz="0" w:space="0" w:color="auto"/>
            <w:bottom w:val="none" w:sz="0" w:space="0" w:color="auto"/>
            <w:right w:val="none" w:sz="0" w:space="0" w:color="auto"/>
          </w:divBdr>
          <w:divsChild>
            <w:div w:id="794637167">
              <w:marLeft w:val="0"/>
              <w:marRight w:val="0"/>
              <w:marTop w:val="0"/>
              <w:marBottom w:val="0"/>
              <w:divBdr>
                <w:top w:val="none" w:sz="0" w:space="0" w:color="auto"/>
                <w:left w:val="none" w:sz="0" w:space="0" w:color="auto"/>
                <w:bottom w:val="none" w:sz="0" w:space="0" w:color="auto"/>
                <w:right w:val="none" w:sz="0" w:space="0" w:color="auto"/>
              </w:divBdr>
              <w:divsChild>
                <w:div w:id="1795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pdaac.usgs.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AN.R-project.org/package=raster" TargetMode="External"/><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C04BC-49AA-42B0-961A-7FB50AFB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Dominic</cp:lastModifiedBy>
  <cp:revision>6</cp:revision>
  <dcterms:created xsi:type="dcterms:W3CDTF">2015-04-08T16:29:00Z</dcterms:created>
  <dcterms:modified xsi:type="dcterms:W3CDTF">2015-04-08T19:39:00Z</dcterms:modified>
</cp:coreProperties>
</file>