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rsidR="004029FA" w:rsidRPr="00411D5E" w:rsidRDefault="004029FA" w:rsidP="00FD6868">
      <w:pPr>
        <w:spacing w:after="0" w:line="480" w:lineRule="auto"/>
        <w:rPr>
          <w:rFonts w:asciiTheme="majorHAnsi" w:hAnsiTheme="majorHAnsi"/>
          <w:sz w:val="24"/>
          <w:szCs w:val="24"/>
        </w:rPr>
      </w:pPr>
    </w:p>
    <w:p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Pr="00411D5E">
        <w:rPr>
          <w:rFonts w:asciiTheme="majorHAnsi" w:hAnsiTheme="majorHAnsi"/>
          <w:sz w:val="24"/>
          <w:szCs w:val="24"/>
          <w:vertAlign w:val="superscript"/>
        </w:rPr>
        <w:t>1</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1"/>
      </w:r>
    </w:p>
    <w:p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Pr="00411D5E">
        <w:rPr>
          <w:rFonts w:asciiTheme="majorHAnsi" w:hAnsiTheme="majorHAnsi"/>
          <w:sz w:val="24"/>
          <w:szCs w:val="24"/>
          <w:vertAlign w:val="superscript"/>
        </w:rPr>
        <w:t>2</w:t>
      </w:r>
    </w:p>
    <w:p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Pr="00411D5E">
        <w:rPr>
          <w:rFonts w:asciiTheme="majorHAnsi" w:hAnsiTheme="majorHAnsi"/>
          <w:sz w:val="24"/>
          <w:szCs w:val="24"/>
          <w:vertAlign w:val="superscript"/>
        </w:rPr>
        <w:t>2</w:t>
      </w:r>
    </w:p>
    <w:p w:rsidR="00411D5E" w:rsidRPr="00411D5E" w:rsidRDefault="00411D5E" w:rsidP="00FD6868">
      <w:pPr>
        <w:spacing w:after="0" w:line="480" w:lineRule="auto"/>
        <w:rPr>
          <w:rFonts w:asciiTheme="majorHAnsi" w:hAnsiTheme="majorHAnsi"/>
          <w:sz w:val="24"/>
          <w:szCs w:val="24"/>
          <w:vertAlign w:val="superscript"/>
        </w:rPr>
      </w:pPr>
    </w:p>
    <w:p w:rsidR="00411D5E" w:rsidRP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1</w:t>
      </w:r>
      <w:r w:rsidRPr="00411D5E">
        <w:rPr>
          <w:rFonts w:asciiTheme="majorHAnsi" w:hAnsiTheme="majorHAnsi"/>
          <w:sz w:val="24"/>
          <w:szCs w:val="24"/>
        </w:rPr>
        <w:t>University of Arizona Graduate Interdisciplinary Program in Statistics</w:t>
      </w:r>
    </w:p>
    <w:p w:rsid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2</w:t>
      </w:r>
      <w:r w:rsidRPr="00411D5E">
        <w:rPr>
          <w:rFonts w:asciiTheme="majorHAnsi" w:hAnsiTheme="majorHAnsi"/>
          <w:sz w:val="24"/>
          <w:szCs w:val="24"/>
        </w:rPr>
        <w:t>University of Arizona Mel &amp; Enid Zuckerman College of Public Health</w:t>
      </w:r>
    </w:p>
    <w:p w:rsidR="00411D5E" w:rsidRDefault="00411D5E" w:rsidP="00FD6868">
      <w:pPr>
        <w:spacing w:after="0" w:line="480" w:lineRule="auto"/>
        <w:rPr>
          <w:rFonts w:asciiTheme="majorHAnsi" w:hAnsiTheme="majorHAnsi"/>
          <w:sz w:val="24"/>
          <w:szCs w:val="24"/>
        </w:rPr>
      </w:pPr>
    </w:p>
    <w:p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ILLN, IRS, Prevention, </w:t>
      </w:r>
    </w:p>
    <w:p w:rsidR="00411D5E" w:rsidRDefault="00411D5E" w:rsidP="00FD6868">
      <w:pPr>
        <w:spacing w:after="0" w:line="480" w:lineRule="auto"/>
        <w:rPr>
          <w:rFonts w:asciiTheme="majorHAnsi" w:hAnsiTheme="majorHAnsi"/>
          <w:sz w:val="24"/>
          <w:szCs w:val="24"/>
        </w:rPr>
      </w:pPr>
    </w:p>
    <w:p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p>
    <w:p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p>
    <w:p w:rsidR="004029FA" w:rsidRDefault="004029FA" w:rsidP="00FD6868">
      <w:pPr>
        <w:spacing w:after="0" w:line="480" w:lineRule="auto"/>
        <w:rPr>
          <w:rFonts w:asciiTheme="majorHAnsi" w:hAnsiTheme="majorHAnsi"/>
          <w:sz w:val="24"/>
          <w:szCs w:val="24"/>
        </w:rPr>
      </w:pPr>
      <w:r>
        <w:rPr>
          <w:rFonts w:asciiTheme="majorHAnsi" w:hAnsiTheme="majorHAnsi"/>
          <w:sz w:val="24"/>
          <w:szCs w:val="24"/>
        </w:rPr>
        <w:br w:type="page"/>
      </w:r>
    </w:p>
    <w:p w:rsidR="00411D5E" w:rsidRDefault="00A0415F" w:rsidP="00FD6868">
      <w:pPr>
        <w:spacing w:after="0" w:line="480" w:lineRule="auto"/>
        <w:ind w:firstLine="720"/>
        <w:rPr>
          <w:rFonts w:asciiTheme="majorHAnsi" w:hAnsiTheme="majorHAnsi"/>
          <w:sz w:val="24"/>
          <w:szCs w:val="24"/>
        </w:rPr>
      </w:pPr>
      <w:bookmarkStart w:id="0" w:name="_GoBack"/>
      <w:r>
        <w:rPr>
          <w:rFonts w:asciiTheme="majorHAnsi" w:hAnsiTheme="majorHAnsi"/>
          <w:sz w:val="24"/>
          <w:szCs w:val="24"/>
        </w:rPr>
        <w:lastRenderedPageBreak/>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The government of Kenya developed the “National MALARIA Strategy 2009-2017” in response to this threat.</w:t>
      </w:r>
      <w:r w:rsidR="001A6802">
        <w:rPr>
          <w:rFonts w:asciiTheme="majorHAnsi" w:hAnsiTheme="majorHAnsi"/>
          <w:sz w:val="24"/>
          <w:szCs w:val="24"/>
          <w:vertAlign w:val="superscript"/>
        </w:rPr>
        <w:t>2</w:t>
      </w:r>
      <w:r w:rsidR="00101127">
        <w:rPr>
          <w:rFonts w:asciiTheme="majorHAnsi" w:hAnsiTheme="majorHAnsi"/>
          <w:sz w:val="24"/>
          <w:szCs w:val="24"/>
        </w:rPr>
        <w:t xml:space="preserve"> This strategy outlined 6 objectives the first of which is “to have at least 80% of people living in malaria risk areas using appropriate malaria preventive interventions.” </w:t>
      </w:r>
      <w:r w:rsidR="00CB2043">
        <w:rPr>
          <w:rFonts w:asciiTheme="majorHAnsi" w:hAnsiTheme="majorHAnsi"/>
          <w:sz w:val="24"/>
          <w:szCs w:val="24"/>
        </w:rPr>
        <w:t xml:space="preserve">The two primary non-pharmaceutical interventions identified in the plan are Indoor Residual Spraying (IRS) and Long Lasting Insecticidal Nets (ILLNs).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mass distribution of ILLNs</w:t>
      </w:r>
      <w:r w:rsidR="00ED163F">
        <w:rPr>
          <w:rFonts w:asciiTheme="majorHAnsi" w:hAnsiTheme="majorHAnsi"/>
          <w:sz w:val="24"/>
          <w:szCs w:val="24"/>
        </w:rPr>
        <w:t xml:space="preserve"> areas where malaria is either endemic (western lowlands) or epidemic-prone</w:t>
      </w:r>
      <w:r w:rsidR="00583BBC">
        <w:rPr>
          <w:rFonts w:asciiTheme="majorHAnsi" w:hAnsiTheme="majorHAnsi"/>
          <w:sz w:val="24"/>
          <w:szCs w:val="24"/>
        </w:rPr>
        <w:t xml:space="preserve"> (western highlands) </w:t>
      </w:r>
      <w:r w:rsidR="0096131B">
        <w:rPr>
          <w:rFonts w:asciiTheme="majorHAnsi" w:hAnsiTheme="majorHAnsi"/>
          <w:sz w:val="24"/>
          <w:szCs w:val="24"/>
        </w:rPr>
        <w:t>followed by</w:t>
      </w:r>
      <w:r w:rsidR="00583BBC">
        <w:rPr>
          <w:rFonts w:asciiTheme="majorHAnsi" w:hAnsiTheme="majorHAnsi"/>
          <w:sz w:val="24"/>
          <w:szCs w:val="24"/>
        </w:rPr>
        <w:t xml:space="preserve"> routine distribution of ILLNs to pregnant women and children under 1 year of age</w:t>
      </w:r>
      <w:r w:rsidR="0096131B">
        <w:rPr>
          <w:rFonts w:asciiTheme="majorHAnsi" w:hAnsiTheme="majorHAnsi"/>
          <w:sz w:val="24"/>
          <w:szCs w:val="24"/>
        </w:rPr>
        <w:t xml:space="preserve"> and a subsidized sale of ILLNs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in followed by focalized treatment in epidemic-prone areas.</w:t>
      </w:r>
    </w:p>
    <w:p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604CAE">
        <w:rPr>
          <w:rFonts w:asciiTheme="majorHAnsi" w:hAnsiTheme="majorHAnsi"/>
          <w:sz w:val="24"/>
          <w:szCs w:val="24"/>
        </w:rPr>
        <w:t xml:space="preserve"> </w:t>
      </w:r>
      <w:r>
        <w:rPr>
          <w:rFonts w:asciiTheme="majorHAnsi" w:hAnsiTheme="majorHAnsi"/>
          <w:sz w:val="24"/>
          <w:szCs w:val="24"/>
        </w:rPr>
        <w:t xml:space="preserve">(WHO) 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66BE0">
        <w:rPr>
          <w:rFonts w:asciiTheme="majorHAnsi" w:hAnsiTheme="majorHAnsi"/>
          <w:sz w:val="24"/>
          <w:szCs w:val="24"/>
        </w:rPr>
        <w:t xml:space="preserve">health cost borne by this group.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targeting interventions at those with the highest risk of infections</w:t>
      </w:r>
      <w:r w:rsidR="00266BE0">
        <w:rPr>
          <w:rFonts w:asciiTheme="majorHAnsi" w:hAnsiTheme="majorHAnsi"/>
          <w:sz w:val="24"/>
          <w:szCs w:val="24"/>
        </w:rPr>
        <w:t>.</w:t>
      </w:r>
      <w:r w:rsidR="004C573C">
        <w:rPr>
          <w:rFonts w:asciiTheme="majorHAnsi" w:hAnsiTheme="majorHAnsi"/>
          <w:sz w:val="24"/>
          <w:szCs w:val="24"/>
          <w:vertAlign w:val="superscript"/>
        </w:rPr>
        <w:t>3</w:t>
      </w:r>
      <w:r w:rsidR="00327D79">
        <w:rPr>
          <w:rFonts w:asciiTheme="majorHAnsi" w:hAnsiTheme="majorHAnsi"/>
          <w:sz w:val="24"/>
          <w:szCs w:val="24"/>
        </w:rPr>
        <w:t xml:space="preserve">  Moreover, remotely-sensed topographic data has been previously validated as a tool for assessing risk of malaria infection.</w:t>
      </w:r>
      <w:r w:rsidR="004C573C">
        <w:rPr>
          <w:rFonts w:asciiTheme="majorHAnsi" w:hAnsiTheme="majorHAnsi"/>
          <w:sz w:val="24"/>
          <w:szCs w:val="24"/>
          <w:vertAlign w:val="superscript"/>
        </w:rPr>
        <w:t>4,5</w:t>
      </w:r>
      <w:r w:rsidR="00F93E9B">
        <w:rPr>
          <w:rFonts w:asciiTheme="majorHAnsi" w:hAnsiTheme="majorHAnsi"/>
          <w:sz w:val="24"/>
          <w:szCs w:val="24"/>
        </w:rPr>
        <w:t xml:space="preserve"> Our primary objective was to use topographic data, combined with household surveys of intervention use, to determine if existing protocols of intervention administration simultaneously targeted households with high health risk and high infection risk. Since intervention administration differed between the epidemic-prone and endemic regions we also sought to compare the distribution of interventions between these two regions.</w:t>
      </w:r>
    </w:p>
    <w:p w:rsidR="009E5A16" w:rsidRPr="009E5A16" w:rsidRDefault="00DE451E" w:rsidP="009E5A16">
      <w:pPr>
        <w:spacing w:after="0" w:line="480" w:lineRule="auto"/>
        <w:ind w:firstLine="720"/>
        <w:rPr>
          <w:rFonts w:asciiTheme="majorHAnsi" w:hAnsiTheme="majorHAnsi"/>
          <w:sz w:val="24"/>
          <w:szCs w:val="24"/>
        </w:rPr>
      </w:pPr>
      <w:r>
        <w:rPr>
          <w:rFonts w:asciiTheme="majorHAnsi" w:hAnsiTheme="majorHAnsi"/>
          <w:sz w:val="24"/>
          <w:szCs w:val="24"/>
        </w:rPr>
        <w:lastRenderedPageBreak/>
        <w:t>To gather information on intervention use we obtained</w:t>
      </w:r>
      <w:r w:rsidR="00463B6E" w:rsidRPr="00463B6E">
        <w:rPr>
          <w:rFonts w:asciiTheme="majorHAnsi" w:hAnsiTheme="majorHAnsi"/>
          <w:sz w:val="24"/>
          <w:szCs w:val="24"/>
        </w:rPr>
        <w:t xml:space="preserve"> individual surve</w:t>
      </w:r>
      <w:r w:rsidR="000B4C5A">
        <w:rPr>
          <w:rFonts w:asciiTheme="majorHAnsi" w:hAnsiTheme="majorHAnsi"/>
          <w:sz w:val="24"/>
          <w:szCs w:val="24"/>
        </w:rPr>
        <w:t>y data of 17,823 members of 3,98</w:t>
      </w:r>
      <w:r w:rsidR="00463B6E" w:rsidRPr="00463B6E">
        <w:rPr>
          <w:rFonts w:asciiTheme="majorHAnsi" w:hAnsiTheme="majorHAnsi"/>
          <w:sz w:val="24"/>
          <w:szCs w:val="24"/>
        </w:rPr>
        <w:t xml:space="preserve">4 households at two sites in Kenya. These two sites represent </w:t>
      </w:r>
      <w:r w:rsidR="00463B6E">
        <w:rPr>
          <w:rFonts w:asciiTheme="majorHAnsi" w:hAnsiTheme="majorHAnsi"/>
          <w:sz w:val="24"/>
          <w:szCs w:val="24"/>
        </w:rPr>
        <w:t>the western highland (</w:t>
      </w:r>
      <w:r w:rsidR="00FD6868">
        <w:rPr>
          <w:rFonts w:asciiTheme="majorHAnsi" w:hAnsiTheme="majorHAnsi"/>
          <w:sz w:val="24"/>
          <w:szCs w:val="24"/>
        </w:rPr>
        <w:t>hereafter “</w:t>
      </w:r>
      <w:r w:rsidR="00463B6E">
        <w:rPr>
          <w:rFonts w:asciiTheme="majorHAnsi" w:hAnsiTheme="majorHAnsi"/>
          <w:sz w:val="24"/>
          <w:szCs w:val="24"/>
        </w:rPr>
        <w:t>epidemic-prone</w:t>
      </w:r>
      <w:r w:rsidR="00FD6868">
        <w:rPr>
          <w:rFonts w:asciiTheme="majorHAnsi" w:hAnsiTheme="majorHAnsi"/>
          <w:sz w:val="24"/>
          <w:szCs w:val="24"/>
        </w:rPr>
        <w:t>”</w:t>
      </w:r>
      <w:r w:rsidR="000B4C5A">
        <w:rPr>
          <w:rFonts w:asciiTheme="majorHAnsi" w:hAnsiTheme="majorHAnsi"/>
          <w:sz w:val="24"/>
          <w:szCs w:val="24"/>
        </w:rPr>
        <w:t>, N=3380</w:t>
      </w:r>
      <w:r w:rsidR="00463B6E">
        <w:rPr>
          <w:rFonts w:asciiTheme="majorHAnsi" w:hAnsiTheme="majorHAnsi"/>
          <w:sz w:val="24"/>
          <w:szCs w:val="24"/>
        </w:rPr>
        <w:t>)</w:t>
      </w:r>
      <w:r w:rsidR="00463B6E" w:rsidRPr="00463B6E">
        <w:rPr>
          <w:rFonts w:asciiTheme="majorHAnsi" w:hAnsiTheme="majorHAnsi"/>
          <w:sz w:val="24"/>
          <w:szCs w:val="24"/>
        </w:rPr>
        <w:t xml:space="preserve"> and </w:t>
      </w:r>
      <w:r w:rsidR="00463B6E">
        <w:rPr>
          <w:rFonts w:asciiTheme="majorHAnsi" w:hAnsiTheme="majorHAnsi"/>
          <w:sz w:val="24"/>
          <w:szCs w:val="24"/>
        </w:rPr>
        <w:t>lowland</w:t>
      </w:r>
      <w:r w:rsidR="00463B6E" w:rsidRPr="00463B6E">
        <w:rPr>
          <w:rFonts w:asciiTheme="majorHAnsi" w:hAnsiTheme="majorHAnsi"/>
          <w:sz w:val="24"/>
          <w:szCs w:val="24"/>
        </w:rPr>
        <w:t xml:space="preserve"> </w:t>
      </w:r>
      <w:r w:rsidR="00463B6E">
        <w:rPr>
          <w:rFonts w:asciiTheme="majorHAnsi" w:hAnsiTheme="majorHAnsi"/>
          <w:sz w:val="24"/>
          <w:szCs w:val="24"/>
        </w:rPr>
        <w:t>(</w:t>
      </w:r>
      <w:r w:rsidR="00FD6868">
        <w:rPr>
          <w:rFonts w:asciiTheme="majorHAnsi" w:hAnsiTheme="majorHAnsi"/>
          <w:sz w:val="24"/>
          <w:szCs w:val="24"/>
        </w:rPr>
        <w:t>hereafter “</w:t>
      </w:r>
      <w:r w:rsidR="00463B6E">
        <w:rPr>
          <w:rFonts w:asciiTheme="majorHAnsi" w:hAnsiTheme="majorHAnsi"/>
          <w:sz w:val="24"/>
          <w:szCs w:val="24"/>
        </w:rPr>
        <w:t>endemic</w:t>
      </w:r>
      <w:r w:rsidR="00FD6868">
        <w:rPr>
          <w:rFonts w:asciiTheme="majorHAnsi" w:hAnsiTheme="majorHAnsi"/>
          <w:sz w:val="24"/>
          <w:szCs w:val="24"/>
        </w:rPr>
        <w:t>”</w:t>
      </w:r>
      <w:r w:rsidR="000B4C5A">
        <w:rPr>
          <w:rFonts w:asciiTheme="majorHAnsi" w:hAnsiTheme="majorHAnsi"/>
          <w:sz w:val="24"/>
          <w:szCs w:val="24"/>
        </w:rPr>
        <w:t>, N=604</w:t>
      </w:r>
      <w:r w:rsidR="00463B6E">
        <w:rPr>
          <w:rFonts w:asciiTheme="majorHAnsi" w:hAnsiTheme="majorHAnsi"/>
          <w:sz w:val="24"/>
          <w:szCs w:val="24"/>
        </w:rPr>
        <w:t xml:space="preserve">) </w:t>
      </w:r>
      <w:r w:rsidR="00463B6E" w:rsidRPr="00463B6E">
        <w:rPr>
          <w:rFonts w:asciiTheme="majorHAnsi" w:hAnsiTheme="majorHAnsi"/>
          <w:sz w:val="24"/>
          <w:szCs w:val="24"/>
        </w:rPr>
        <w:t xml:space="preserve">populations. 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 At the time of the survey the epidemic-prone site had</w:t>
      </w:r>
      <w:r w:rsidR="00463B6E" w:rsidRPr="00463B6E">
        <w:rPr>
          <w:rFonts w:asciiTheme="majorHAnsi" w:hAnsiTheme="majorHAnsi"/>
          <w:sz w:val="24"/>
          <w:szCs w:val="24"/>
        </w:rPr>
        <w:t xml:space="preserve"> more prevalent </w:t>
      </w:r>
      <w:r w:rsidR="00463B6E">
        <w:rPr>
          <w:rFonts w:asciiTheme="majorHAnsi" w:hAnsiTheme="majorHAnsi"/>
          <w:sz w:val="24"/>
          <w:szCs w:val="24"/>
        </w:rPr>
        <w:t>LLIN usage whereas the endemic site had</w:t>
      </w:r>
      <w:r w:rsidR="00463B6E" w:rsidRPr="00463B6E">
        <w:rPr>
          <w:rFonts w:asciiTheme="majorHAnsi" w:hAnsiTheme="majorHAnsi"/>
          <w:sz w:val="24"/>
          <w:szCs w:val="24"/>
        </w:rPr>
        <w:t xml:space="preserve"> more prevalent </w:t>
      </w:r>
      <w:r w:rsidR="00463B6E">
        <w:rPr>
          <w:rFonts w:asciiTheme="majorHAnsi" w:hAnsiTheme="majorHAnsi"/>
          <w:sz w:val="24"/>
          <w:szCs w:val="24"/>
        </w:rPr>
        <w:t>IRS</w:t>
      </w:r>
      <w:r w:rsidR="000B4C5A">
        <w:rPr>
          <w:rFonts w:asciiTheme="majorHAnsi" w:hAnsiTheme="majorHAnsi"/>
          <w:sz w:val="24"/>
          <w:szCs w:val="24"/>
        </w:rPr>
        <w:t>. Each occupant of the 3,98</w:t>
      </w:r>
      <w:r w:rsidR="00463B6E" w:rsidRPr="00463B6E">
        <w:rPr>
          <w:rFonts w:asciiTheme="majorHAnsi" w:hAnsiTheme="majorHAnsi"/>
          <w:sz w:val="24"/>
          <w:szCs w:val="24"/>
        </w:rPr>
        <w:t xml:space="preserve">4 households was interviewed about </w:t>
      </w:r>
      <w:r w:rsidR="00463B6E">
        <w:rPr>
          <w:rFonts w:asciiTheme="majorHAnsi" w:hAnsiTheme="majorHAnsi"/>
          <w:sz w:val="24"/>
          <w:szCs w:val="24"/>
        </w:rPr>
        <w:t>LLIN</w:t>
      </w:r>
      <w:r w:rsidR="00463B6E" w:rsidRPr="00463B6E">
        <w:rPr>
          <w:rFonts w:asciiTheme="majorHAnsi" w:hAnsiTheme="majorHAnsi"/>
          <w:sz w:val="24"/>
          <w:szCs w:val="24"/>
        </w:rPr>
        <w:t xml:space="preserve"> usage and household </w:t>
      </w:r>
      <w:r w:rsidR="00463B6E">
        <w:rPr>
          <w:rFonts w:asciiTheme="majorHAnsi" w:hAnsiTheme="majorHAnsi"/>
          <w:sz w:val="24"/>
          <w:szCs w:val="24"/>
        </w:rPr>
        <w:t>IRS</w:t>
      </w:r>
      <w:r w:rsidR="00463B6E" w:rsidRPr="00463B6E">
        <w:rPr>
          <w:rFonts w:asciiTheme="majorHAnsi" w:hAnsiTheme="majorHAnsi"/>
          <w:sz w:val="24"/>
          <w:szCs w:val="24"/>
        </w:rPr>
        <w:t>. Additional information for each participant was also collected such as age, sex, and relation to the head of the household.</w:t>
      </w:r>
      <w:r w:rsidR="00BF1A99">
        <w:rPr>
          <w:rFonts w:asciiTheme="majorHAnsi" w:hAnsiTheme="majorHAnsi"/>
          <w:sz w:val="24"/>
          <w:szCs w:val="24"/>
        </w:rPr>
        <w:t xml:space="preserve">  Since </w:t>
      </w:r>
      <w:r w:rsidR="00381903">
        <w:rPr>
          <w:rFonts w:asciiTheme="majorHAnsi" w:hAnsiTheme="majorHAnsi"/>
          <w:sz w:val="24"/>
          <w:szCs w:val="24"/>
        </w:rPr>
        <w:t xml:space="preserve">both </w:t>
      </w:r>
      <w:r w:rsidR="00BF1A99">
        <w:rPr>
          <w:rFonts w:asciiTheme="majorHAnsi" w:hAnsiTheme="majorHAnsi"/>
          <w:sz w:val="24"/>
          <w:szCs w:val="24"/>
        </w:rPr>
        <w:t xml:space="preserve">interventions </w:t>
      </w:r>
      <w:r w:rsidR="00381903">
        <w:rPr>
          <w:rFonts w:asciiTheme="majorHAnsi" w:hAnsiTheme="majorHAnsi"/>
          <w:sz w:val="24"/>
          <w:szCs w:val="24"/>
        </w:rPr>
        <w:t xml:space="preserve">under investigation </w:t>
      </w:r>
      <w:r w:rsidR="00BF1A99">
        <w:rPr>
          <w:rFonts w:asciiTheme="majorHAnsi" w:hAnsiTheme="majorHAnsi"/>
          <w:sz w:val="24"/>
          <w:szCs w:val="24"/>
        </w:rPr>
        <w:t xml:space="preserve">are administered at the household level </w:t>
      </w:r>
      <w:r w:rsidR="00BF1A99" w:rsidRPr="00BF1A99">
        <w:rPr>
          <w:rFonts w:asciiTheme="majorHAnsi" w:hAnsiTheme="majorHAnsi"/>
          <w:sz w:val="24"/>
          <w:szCs w:val="24"/>
        </w:rPr>
        <w:t>we summarized the information from the individual surveys into household attributes.</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w:t>
      </w:r>
      <w:proofErr w:type="gramStart"/>
      <w:r w:rsidR="00381903" w:rsidRPr="00381903">
        <w:rPr>
          <w:rFonts w:asciiTheme="majorHAnsi" w:hAnsiTheme="majorHAnsi"/>
          <w:sz w:val="24"/>
          <w:szCs w:val="24"/>
        </w:rPr>
        <w:t>under</w:t>
      </w:r>
      <w:proofErr w:type="gramEnd"/>
      <w:r w:rsidR="00381903" w:rsidRPr="00381903">
        <w:rPr>
          <w:rFonts w:asciiTheme="majorHAnsi" w:hAnsiTheme="majorHAnsi"/>
          <w:sz w:val="24"/>
          <w:szCs w:val="24"/>
        </w:rPr>
        <w:t xml:space="preserve"> 5, and the number of individuals over 65. We also determined if each house had received a </w:t>
      </w:r>
      <w:r w:rsidR="00381903">
        <w:rPr>
          <w:rFonts w:asciiTheme="majorHAnsi" w:hAnsiTheme="majorHAnsi"/>
          <w:sz w:val="24"/>
          <w:szCs w:val="24"/>
        </w:rPr>
        <w:t>LLIN or IRS</w:t>
      </w:r>
      <w:r w:rsidR="00381903" w:rsidRPr="00381903">
        <w:rPr>
          <w:rFonts w:asciiTheme="majorHAnsi" w:hAnsiTheme="majorHAnsi"/>
          <w:sz w:val="24"/>
          <w:szCs w:val="24"/>
        </w:rPr>
        <w:t>. Since responses among household members were not consistent we assigned a treatment to the house if any member of the house responded affirmatively.</w:t>
      </w:r>
      <w:r w:rsidR="009E5A16">
        <w:rPr>
          <w:rFonts w:asciiTheme="majorHAnsi" w:hAnsiTheme="majorHAnsi"/>
          <w:sz w:val="24"/>
          <w:szCs w:val="24"/>
        </w:rPr>
        <w:t xml:space="preserve">  </w:t>
      </w:r>
      <w:r w:rsidR="009E5A16" w:rsidRPr="009E5A16">
        <w:rPr>
          <w:rFonts w:asciiTheme="majorHAnsi" w:hAnsiTheme="majorHAnsi"/>
          <w:sz w:val="24"/>
          <w:szCs w:val="24"/>
        </w:rPr>
        <w:t>We assigned an age-based health risk score (age-based risk hereafter) to each household with the following formula:</w:t>
      </w:r>
    </w:p>
    <w:p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w:t>
      </w:r>
      <w:proofErr w:type="gramStart"/>
      <w:r w:rsidRPr="009E5A16">
        <w:rPr>
          <w:rFonts w:asciiTheme="majorHAnsi" w:hAnsiTheme="majorHAnsi"/>
          <w:sz w:val="24"/>
          <w:szCs w:val="24"/>
        </w:rPr>
        <w:t>=(</w:t>
      </w:r>
      <w:proofErr w:type="gramEnd"/>
      <w:r w:rsidRPr="009E5A16">
        <w:rPr>
          <w:rFonts w:asciiTheme="majorHAnsi" w:hAnsiTheme="majorHAnsi"/>
          <w:sz w:val="24"/>
          <w:szCs w:val="24"/>
        </w:rPr>
        <w:t>2×Children≤1)+(1&lt;Children≤5)+(Adults&gt;65)</w:t>
      </w:r>
    </w:p>
    <w:p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t>We assigned twice the weight to children under 1 since they have the highest risk of the categories.</w:t>
      </w:r>
      <w:r w:rsidR="00B63FF2">
        <w:rPr>
          <w:rFonts w:asciiTheme="majorHAnsi" w:hAnsiTheme="majorHAnsi"/>
          <w:sz w:val="24"/>
          <w:szCs w:val="24"/>
          <w:vertAlign w:val="superscript"/>
        </w:rPr>
        <w:t>6</w:t>
      </w:r>
      <w:proofErr w:type="gramStart"/>
      <w:r w:rsidR="00B63FF2">
        <w:rPr>
          <w:rFonts w:asciiTheme="majorHAnsi" w:hAnsiTheme="majorHAnsi"/>
          <w:sz w:val="24"/>
          <w:szCs w:val="24"/>
          <w:vertAlign w:val="superscript"/>
        </w:rPr>
        <w:t>,7</w:t>
      </w:r>
      <w:proofErr w:type="gramEnd"/>
    </w:p>
    <w:p w:rsidR="009E5A16" w:rsidRDefault="00FD6868" w:rsidP="00FD6868">
      <w:pPr>
        <w:spacing w:after="0" w:line="480" w:lineRule="auto"/>
        <w:ind w:firstLine="720"/>
        <w:rPr>
          <w:rFonts w:asciiTheme="majorHAnsi" w:hAnsiTheme="majorHAnsi"/>
          <w:sz w:val="24"/>
          <w:szCs w:val="24"/>
        </w:rPr>
      </w:pPr>
      <w:r>
        <w:rPr>
          <w:rFonts w:asciiTheme="majorHAnsi" w:hAnsiTheme="majorHAnsi"/>
          <w:sz w:val="24"/>
          <w:szCs w:val="24"/>
        </w:rPr>
        <w:t>To determine infection risk, w</w:t>
      </w:r>
      <w:r w:rsidRPr="00FD6868">
        <w:rPr>
          <w:rFonts w:asciiTheme="majorHAnsi" w:hAnsiTheme="majorHAnsi"/>
          <w:sz w:val="24"/>
          <w:szCs w:val="24"/>
        </w:rPr>
        <w:t>e utilized 90 meter resolution elevation data from the National Aeronautics and Space Administration (NASA) Shuttle Radar Topography Mission (SRTM).</w:t>
      </w:r>
      <w:r w:rsidR="005A66B7">
        <w:rPr>
          <w:rFonts w:asciiTheme="majorHAnsi" w:hAnsiTheme="majorHAnsi"/>
          <w:sz w:val="24"/>
          <w:szCs w:val="24"/>
          <w:vertAlign w:val="superscript"/>
        </w:rPr>
        <w:t>8</w:t>
      </w:r>
      <w:r w:rsidRPr="00FD6868">
        <w:rPr>
          <w:rFonts w:asciiTheme="majorHAnsi" w:hAnsiTheme="majorHAnsi"/>
          <w:sz w:val="24"/>
          <w:szCs w:val="24"/>
        </w:rPr>
        <w:t xml:space="preserve"> </w:t>
      </w:r>
      <w:proofErr w:type="gramStart"/>
      <w:r w:rsidRPr="00FD6868">
        <w:rPr>
          <w:rFonts w:asciiTheme="majorHAnsi" w:hAnsiTheme="majorHAnsi"/>
          <w:sz w:val="24"/>
          <w:szCs w:val="24"/>
        </w:rPr>
        <w:t>The</w:t>
      </w:r>
      <w:proofErr w:type="gramEnd"/>
      <w:r w:rsidRPr="00FD6868">
        <w:rPr>
          <w:rFonts w:asciiTheme="majorHAnsi" w:hAnsiTheme="majorHAnsi"/>
          <w:sz w:val="24"/>
          <w:szCs w:val="24"/>
        </w:rPr>
        <w:t xml:space="preserve"> </w:t>
      </w:r>
      <w:r>
        <w:rPr>
          <w:rFonts w:asciiTheme="majorHAnsi" w:hAnsiTheme="majorHAnsi"/>
          <w:sz w:val="24"/>
          <w:szCs w:val="24"/>
        </w:rPr>
        <w:t>epidemic-prone</w:t>
      </w:r>
      <w:r w:rsidRPr="00FD6868">
        <w:rPr>
          <w:rFonts w:asciiTheme="majorHAnsi" w:hAnsiTheme="majorHAnsi"/>
          <w:sz w:val="24"/>
          <w:szCs w:val="24"/>
        </w:rPr>
        <w:t xml:space="preserve"> site was sufficiently covered by tile number 43-12 but we utilized two adjacent tiles (43-13 and 44-13) in order to eliminate possible edge effects f</w:t>
      </w:r>
      <w:r>
        <w:rPr>
          <w:rFonts w:asciiTheme="majorHAnsi" w:hAnsiTheme="majorHAnsi"/>
          <w:sz w:val="24"/>
          <w:szCs w:val="24"/>
        </w:rPr>
        <w:t>or eastern households at the endemic</w:t>
      </w:r>
      <w:r w:rsidRPr="00FD6868">
        <w:rPr>
          <w:rFonts w:asciiTheme="majorHAnsi" w:hAnsiTheme="majorHAnsi"/>
          <w:sz w:val="24"/>
          <w:szCs w:val="24"/>
        </w:rPr>
        <w:t xml:space="preserve"> site.</w:t>
      </w:r>
      <w:r w:rsidR="002428B4">
        <w:rPr>
          <w:rFonts w:asciiTheme="majorHAnsi" w:hAnsiTheme="majorHAnsi"/>
          <w:sz w:val="24"/>
          <w:szCs w:val="24"/>
        </w:rPr>
        <w:t xml:space="preserve">  </w:t>
      </w:r>
      <w:r w:rsidR="007E3102" w:rsidRPr="007E3102">
        <w:rPr>
          <w:rFonts w:asciiTheme="majorHAnsi" w:hAnsiTheme="majorHAnsi"/>
          <w:sz w:val="24"/>
          <w:szCs w:val="24"/>
        </w:rPr>
        <w:t>We assigned each household a risk for exposure to mosquitoes (</w:t>
      </w:r>
      <w:r w:rsidR="007E3102">
        <w:rPr>
          <w:rFonts w:asciiTheme="majorHAnsi" w:hAnsiTheme="majorHAnsi"/>
          <w:sz w:val="24"/>
          <w:szCs w:val="24"/>
        </w:rPr>
        <w:t>infection</w:t>
      </w:r>
      <w:r w:rsidR="007E3102" w:rsidRPr="007E3102">
        <w:rPr>
          <w:rFonts w:asciiTheme="majorHAnsi" w:hAnsiTheme="majorHAnsi"/>
          <w:sz w:val="24"/>
          <w:szCs w:val="24"/>
        </w:rPr>
        <w:t xml:space="preserve"> risk hereafter) by deriving a continuous risk </w:t>
      </w:r>
      <w:r w:rsidR="007E3102" w:rsidRPr="007E3102">
        <w:rPr>
          <w:rFonts w:asciiTheme="majorHAnsi" w:hAnsiTheme="majorHAnsi"/>
          <w:sz w:val="24"/>
          <w:szCs w:val="24"/>
        </w:rPr>
        <w:lastRenderedPageBreak/>
        <w:t xml:space="preserve">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w:t>
      </w:r>
      <w:proofErr w:type="spellStart"/>
      <w:r w:rsidR="0085045E">
        <w:rPr>
          <w:rFonts w:asciiTheme="majorHAnsi" w:hAnsiTheme="majorHAnsi"/>
          <w:sz w:val="24"/>
          <w:szCs w:val="24"/>
        </w:rPr>
        <w:t>SDMTools</w:t>
      </w:r>
      <w:proofErr w:type="spellEnd"/>
      <w:r w:rsidR="0085045E">
        <w:rPr>
          <w:rFonts w:asciiTheme="majorHAnsi" w:hAnsiTheme="majorHAnsi"/>
          <w:sz w:val="24"/>
          <w:szCs w:val="24"/>
        </w:rPr>
        <w:t xml:space="preserve">”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5A66B7">
        <w:rPr>
          <w:rFonts w:asciiTheme="majorHAnsi" w:hAnsiTheme="majorHAnsi"/>
          <w:sz w:val="24"/>
          <w:szCs w:val="24"/>
          <w:vertAlign w:val="superscript"/>
        </w:rPr>
        <w:t>9,10,11</w:t>
      </w:r>
      <w:r w:rsidR="00810140">
        <w:rPr>
          <w:rFonts w:asciiTheme="majorHAnsi" w:hAnsiTheme="majorHAnsi"/>
          <w:sz w:val="24"/>
          <w:szCs w:val="24"/>
          <w:vertAlign w:val="superscript"/>
        </w:rPr>
        <w:t>,12</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rsidR="00202E31" w:rsidRDefault="003D2C67" w:rsidP="00FD6868">
      <w:pPr>
        <w:spacing w:after="0" w:line="480" w:lineRule="auto"/>
        <w:ind w:firstLine="720"/>
        <w:rPr>
          <w:rFonts w:asciiTheme="majorHAnsi" w:hAnsiTheme="majorHAnsi"/>
          <w:sz w:val="24"/>
          <w:szCs w:val="24"/>
        </w:rPr>
      </w:pPr>
      <w:r w:rsidRPr="003D2C67">
        <w:rPr>
          <w:rFonts w:asciiTheme="majorHAnsi" w:hAnsiTheme="majorHAnsi"/>
          <w:sz w:val="24"/>
          <w:szCs w:val="24"/>
        </w:rPr>
        <w:t>The odds of receiving either a</w:t>
      </w:r>
      <w:r w:rsidR="002F7082">
        <w:rPr>
          <w:rFonts w:asciiTheme="majorHAnsi" w:hAnsiTheme="majorHAnsi"/>
          <w:sz w:val="24"/>
          <w:szCs w:val="24"/>
        </w:rPr>
        <w:t>n LLIN</w:t>
      </w:r>
      <w:r w:rsidRPr="003D2C67">
        <w:rPr>
          <w:rFonts w:asciiTheme="majorHAnsi" w:hAnsiTheme="majorHAnsi"/>
          <w:sz w:val="24"/>
          <w:szCs w:val="24"/>
        </w:rPr>
        <w:t xml:space="preserve"> </w:t>
      </w:r>
      <w:r w:rsidR="002F7082">
        <w:rPr>
          <w:rFonts w:asciiTheme="majorHAnsi" w:hAnsiTheme="majorHAnsi"/>
          <w:sz w:val="24"/>
          <w:szCs w:val="24"/>
        </w:rPr>
        <w:t>or IRS</w:t>
      </w:r>
      <w:r w:rsidRPr="003D2C67">
        <w:rPr>
          <w:rFonts w:asciiTheme="majorHAnsi" w:hAnsiTheme="majorHAnsi"/>
          <w:sz w:val="24"/>
          <w:szCs w:val="24"/>
        </w:rPr>
        <w:t xml:space="preserve"> are higher for households with higher combined risk, but only at the </w:t>
      </w:r>
      <w:r>
        <w:rPr>
          <w:rFonts w:asciiTheme="majorHAnsi" w:hAnsiTheme="majorHAnsi"/>
          <w:sz w:val="24"/>
          <w:szCs w:val="24"/>
        </w:rPr>
        <w:t>epidemic-prone</w:t>
      </w:r>
      <w:r w:rsidRPr="003D2C67">
        <w:rPr>
          <w:rFonts w:asciiTheme="majorHAnsi" w:hAnsiTheme="majorHAnsi"/>
          <w:sz w:val="24"/>
          <w:szCs w:val="24"/>
        </w:rPr>
        <w:t xml:space="preserve"> site (table 1). For each 1 standard</w:t>
      </w:r>
      <w:r>
        <w:rPr>
          <w:rFonts w:asciiTheme="majorHAnsi" w:hAnsiTheme="majorHAnsi"/>
          <w:sz w:val="24"/>
          <w:szCs w:val="24"/>
        </w:rPr>
        <w:t xml:space="preserve"> deviation increase in combined-</w:t>
      </w:r>
      <w:r w:rsidRPr="003D2C67">
        <w:rPr>
          <w:rFonts w:asciiTheme="majorHAnsi" w:hAnsiTheme="majorHAnsi"/>
          <w:sz w:val="24"/>
          <w:szCs w:val="24"/>
        </w:rPr>
        <w:t xml:space="preserve">risk at the </w:t>
      </w:r>
      <w:r>
        <w:rPr>
          <w:rFonts w:asciiTheme="majorHAnsi" w:hAnsiTheme="majorHAnsi"/>
          <w:sz w:val="24"/>
          <w:szCs w:val="24"/>
        </w:rPr>
        <w:t>epidemic-prone</w:t>
      </w:r>
      <w:r w:rsidRPr="003D2C67">
        <w:rPr>
          <w:rFonts w:asciiTheme="majorHAnsi" w:hAnsiTheme="majorHAnsi"/>
          <w:sz w:val="24"/>
          <w:szCs w:val="24"/>
        </w:rPr>
        <w:t xml:space="preserve"> site the </w:t>
      </w:r>
      <w:r>
        <w:rPr>
          <w:rFonts w:asciiTheme="majorHAnsi" w:hAnsiTheme="majorHAnsi"/>
          <w:sz w:val="24"/>
          <w:szCs w:val="24"/>
        </w:rPr>
        <w:t xml:space="preserve">probability of receiving an LLIN </w:t>
      </w:r>
      <w:r w:rsidRPr="003D2C67">
        <w:rPr>
          <w:rFonts w:asciiTheme="majorHAnsi" w:hAnsiTheme="majorHAnsi"/>
          <w:sz w:val="24"/>
          <w:szCs w:val="24"/>
        </w:rPr>
        <w:t xml:space="preserve">increases 27% (Odds Ratio (OR): 1.27, 95% </w:t>
      </w:r>
      <w:r>
        <w:rPr>
          <w:rFonts w:asciiTheme="majorHAnsi" w:hAnsiTheme="majorHAnsi"/>
          <w:sz w:val="24"/>
          <w:szCs w:val="24"/>
        </w:rPr>
        <w:t>CI</w:t>
      </w:r>
      <w:r w:rsidRPr="003D2C67">
        <w:rPr>
          <w:rFonts w:asciiTheme="majorHAnsi" w:hAnsiTheme="majorHAnsi"/>
          <w:sz w:val="24"/>
          <w:szCs w:val="24"/>
        </w:rPr>
        <w:t xml:space="preserve">: 1.18, 1.35) and the </w:t>
      </w:r>
      <w:r w:rsidRPr="003D2C67">
        <w:rPr>
          <w:rFonts w:asciiTheme="majorHAnsi" w:hAnsiTheme="majorHAnsi"/>
          <w:sz w:val="24"/>
          <w:szCs w:val="24"/>
        </w:rPr>
        <w:lastRenderedPageBreak/>
        <w:t xml:space="preserve">probability of </w:t>
      </w:r>
      <w:r>
        <w:rPr>
          <w:rFonts w:asciiTheme="majorHAnsi" w:hAnsiTheme="majorHAnsi"/>
          <w:sz w:val="24"/>
          <w:szCs w:val="24"/>
        </w:rPr>
        <w:t>IRS</w:t>
      </w:r>
      <w:r w:rsidRPr="003D2C67">
        <w:rPr>
          <w:rFonts w:asciiTheme="majorHAnsi" w:hAnsiTheme="majorHAnsi"/>
          <w:sz w:val="24"/>
          <w:szCs w:val="24"/>
        </w:rPr>
        <w:t xml:space="preserve"> increases 15% (OR: 1.15, 95% CI: 1.03, 1.29). At the </w:t>
      </w:r>
      <w:r>
        <w:rPr>
          <w:rFonts w:asciiTheme="majorHAnsi" w:hAnsiTheme="majorHAnsi"/>
          <w:sz w:val="24"/>
          <w:szCs w:val="24"/>
        </w:rPr>
        <w:t xml:space="preserve">endemic </w:t>
      </w:r>
      <w:r w:rsidRPr="003D2C67">
        <w:rPr>
          <w:rFonts w:asciiTheme="majorHAnsi" w:hAnsiTheme="majorHAnsi"/>
          <w:sz w:val="24"/>
          <w:szCs w:val="24"/>
        </w:rPr>
        <w:t>site, we found no preferential administration of ei</w:t>
      </w:r>
      <w:r>
        <w:rPr>
          <w:rFonts w:asciiTheme="majorHAnsi" w:hAnsiTheme="majorHAnsi"/>
          <w:sz w:val="24"/>
          <w:szCs w:val="24"/>
        </w:rPr>
        <w:t>ther treatment to high combined-</w:t>
      </w:r>
      <w:r w:rsidRPr="003D2C67">
        <w:rPr>
          <w:rFonts w:asciiTheme="majorHAnsi" w:hAnsiTheme="majorHAnsi"/>
          <w:sz w:val="24"/>
          <w:szCs w:val="24"/>
        </w:rPr>
        <w:t xml:space="preserve">risk households. We found some evidence, from the fitting of a restricted cubic spline, of a non-linear relationship between the log-odds of net use and combined risk at the </w:t>
      </w:r>
      <w:r w:rsidR="00202E31">
        <w:rPr>
          <w:rFonts w:asciiTheme="majorHAnsi" w:hAnsiTheme="majorHAnsi"/>
          <w:sz w:val="24"/>
          <w:szCs w:val="24"/>
        </w:rPr>
        <w:t>endemic</w:t>
      </w:r>
      <w:r w:rsidRPr="003D2C67">
        <w:rPr>
          <w:rFonts w:asciiTheme="majorHAnsi" w:hAnsiTheme="majorHAnsi"/>
          <w:sz w:val="24"/>
          <w:szCs w:val="24"/>
        </w:rPr>
        <w:t xml:space="preserve"> site. However, modelling the mean risk for each risk </w:t>
      </w:r>
      <w:proofErr w:type="spellStart"/>
      <w:r w:rsidRPr="003D2C67">
        <w:rPr>
          <w:rFonts w:asciiTheme="majorHAnsi" w:hAnsiTheme="majorHAnsi"/>
          <w:sz w:val="24"/>
          <w:szCs w:val="24"/>
        </w:rPr>
        <w:t>quantile</w:t>
      </w:r>
      <w:proofErr w:type="spellEnd"/>
      <w:r w:rsidRPr="003D2C67">
        <w:rPr>
          <w:rFonts w:asciiTheme="majorHAnsi" w:hAnsiTheme="majorHAnsi"/>
          <w:sz w:val="24"/>
          <w:szCs w:val="24"/>
        </w:rPr>
        <w:t xml:space="preserve"> did not change our results.</w:t>
      </w:r>
    </w:p>
    <w:p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probability of </w:t>
      </w:r>
      <w:r w:rsidR="004D477C">
        <w:rPr>
          <w:rFonts w:asciiTheme="majorHAnsi" w:hAnsiTheme="majorHAnsi"/>
          <w:sz w:val="24"/>
          <w:szCs w:val="24"/>
        </w:rPr>
        <w:t>ILLN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actually significantly less likely to receive </w:t>
      </w:r>
      <w:r w:rsidR="00B9651F">
        <w:rPr>
          <w:rFonts w:asciiTheme="majorHAnsi" w:hAnsiTheme="majorHAnsi"/>
          <w:sz w:val="24"/>
          <w:szCs w:val="24"/>
        </w:rPr>
        <w:t>IRS</w:t>
      </w:r>
      <w:r w:rsidRPr="00202E31">
        <w:rPr>
          <w:rFonts w:asciiTheme="majorHAnsi" w:hAnsiTheme="majorHAnsi"/>
          <w:sz w:val="24"/>
          <w:szCs w:val="24"/>
        </w:rPr>
        <w:t xml:space="preserve"> (OR: 0.35, 95% CI: 0.14, 0.83).</w:t>
      </w:r>
    </w:p>
    <w:p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 xml:space="preserve">6% of households reported IRS.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rsidR="00A642ED" w:rsidRDefault="00713946"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 xml:space="preserve">Previous research on the use of TWI for prediction of malaria has been performed at sites similar to our epidemic-prone </w:t>
      </w:r>
      <w:r w:rsidR="00CC725D">
        <w:rPr>
          <w:rFonts w:asciiTheme="majorHAnsi" w:hAnsiTheme="majorHAnsi"/>
          <w:sz w:val="24"/>
          <w:szCs w:val="24"/>
        </w:rPr>
        <w:lastRenderedPageBreak/>
        <w:t>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FA1090">
        <w:rPr>
          <w:rFonts w:asciiTheme="majorHAnsi" w:hAnsiTheme="majorHAnsi"/>
          <w:sz w:val="24"/>
          <w:szCs w:val="24"/>
          <w:vertAlign w:val="superscript"/>
        </w:rPr>
        <w:t>12</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  For large scale applications of TWI comparing households in different topographical regions care should be taken to account for terrain differences.</w:t>
      </w:r>
    </w:p>
    <w:p w:rsidR="00CC725D"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D53072">
        <w:rPr>
          <w:rFonts w:asciiTheme="majorHAnsi" w:hAnsiTheme="majorHAnsi"/>
          <w:sz w:val="24"/>
          <w:szCs w:val="24"/>
        </w:rPr>
        <w:t xml:space="preserve">. The incorporation of a targeted administration could have potentially left only very low-risk households untreated.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and the widespread availability of elevation data provided by the USGS, we believe the incorporation of TWI for identifying households with high infection risk can improve current protocols of intervention administration.</w:t>
      </w:r>
    </w:p>
    <w:bookmarkEnd w:id="0"/>
    <w:p w:rsidR="00CC725D" w:rsidRDefault="00CC725D">
      <w:pPr>
        <w:rPr>
          <w:rFonts w:asciiTheme="majorHAnsi" w:hAnsiTheme="majorHAnsi"/>
          <w:sz w:val="24"/>
          <w:szCs w:val="24"/>
        </w:rPr>
      </w:pPr>
      <w:r>
        <w:rPr>
          <w:rFonts w:asciiTheme="majorHAnsi" w:hAnsiTheme="majorHAnsi"/>
          <w:sz w:val="24"/>
          <w:szCs w:val="24"/>
        </w:rPr>
        <w:br w:type="page"/>
      </w:r>
    </w:p>
    <w:p w:rsidR="00327D79" w:rsidRDefault="00327D79" w:rsidP="00FD6868">
      <w:pPr>
        <w:spacing w:after="0" w:line="480" w:lineRule="auto"/>
        <w:ind w:firstLine="720"/>
        <w:rPr>
          <w:rFonts w:asciiTheme="majorHAnsi" w:hAnsiTheme="majorHAnsi"/>
          <w:sz w:val="24"/>
          <w:szCs w:val="24"/>
        </w:rPr>
      </w:pPr>
    </w:p>
    <w:p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rsidR="001A6802" w:rsidRPr="005A66B7" w:rsidRDefault="001A6802"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MOH 2005</w:t>
      </w:r>
    </w:p>
    <w:p w:rsidR="001A6802" w:rsidRPr="005A66B7" w:rsidRDefault="001A6802"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MOPH 2009</w:t>
      </w:r>
    </w:p>
    <w:p w:rsidR="004C573C" w:rsidRPr="005A66B7" w:rsidRDefault="004C573C" w:rsidP="005A66B7">
      <w:pPr>
        <w:pStyle w:val="ListParagraph"/>
        <w:numPr>
          <w:ilvl w:val="0"/>
          <w:numId w:val="4"/>
        </w:numPr>
        <w:rPr>
          <w:rFonts w:asciiTheme="majorHAnsi" w:hAnsiTheme="majorHAnsi"/>
          <w:sz w:val="24"/>
          <w:szCs w:val="24"/>
        </w:rPr>
      </w:pPr>
      <w:proofErr w:type="spellStart"/>
      <w:r w:rsidRPr="005A66B7">
        <w:rPr>
          <w:rFonts w:asciiTheme="majorHAnsi" w:hAnsiTheme="majorHAnsi"/>
          <w:sz w:val="24"/>
          <w:szCs w:val="24"/>
        </w:rPr>
        <w:t>Bousema</w:t>
      </w:r>
      <w:proofErr w:type="spellEnd"/>
      <w:r w:rsidRPr="005A66B7">
        <w:rPr>
          <w:rFonts w:asciiTheme="majorHAnsi" w:hAnsiTheme="majorHAnsi"/>
          <w:sz w:val="24"/>
          <w:szCs w:val="24"/>
        </w:rPr>
        <w:t xml:space="preserve"> T, Griffin JT, </w:t>
      </w:r>
      <w:proofErr w:type="spellStart"/>
      <w:r w:rsidRPr="005A66B7">
        <w:rPr>
          <w:rFonts w:asciiTheme="majorHAnsi" w:hAnsiTheme="majorHAnsi"/>
          <w:sz w:val="24"/>
          <w:szCs w:val="24"/>
        </w:rPr>
        <w:t>Sauerwein</w:t>
      </w:r>
      <w:proofErr w:type="spellEnd"/>
      <w:r w:rsidRPr="005A66B7">
        <w:rPr>
          <w:rFonts w:asciiTheme="majorHAnsi" w:hAnsiTheme="majorHAnsi"/>
          <w:sz w:val="24"/>
          <w:szCs w:val="24"/>
        </w:rPr>
        <w:t xml:space="preserve"> RW, Smith DL, </w:t>
      </w:r>
      <w:proofErr w:type="spellStart"/>
      <w:r w:rsidRPr="005A66B7">
        <w:rPr>
          <w:rFonts w:asciiTheme="majorHAnsi" w:hAnsiTheme="majorHAnsi"/>
          <w:sz w:val="24"/>
          <w:szCs w:val="24"/>
        </w:rPr>
        <w:t>Churcher</w:t>
      </w:r>
      <w:proofErr w:type="spellEnd"/>
      <w:r w:rsidRPr="005A66B7">
        <w:rPr>
          <w:rFonts w:asciiTheme="majorHAnsi" w:hAnsiTheme="majorHAnsi"/>
          <w:sz w:val="24"/>
          <w:szCs w:val="24"/>
        </w:rPr>
        <w:t xml:space="preserve"> TS, et al. 2012. Hitting Hotspots: Spatial Targeting of Malaria for Control and Elimination. </w:t>
      </w:r>
      <w:proofErr w:type="spellStart"/>
      <w:r w:rsidRPr="005A66B7">
        <w:rPr>
          <w:rFonts w:asciiTheme="majorHAnsi" w:hAnsiTheme="majorHAnsi"/>
          <w:sz w:val="24"/>
          <w:szCs w:val="24"/>
        </w:rPr>
        <w:t>PLoS</w:t>
      </w:r>
      <w:proofErr w:type="spellEnd"/>
      <w:r w:rsidRPr="005A66B7">
        <w:rPr>
          <w:rFonts w:asciiTheme="majorHAnsi" w:hAnsiTheme="majorHAnsi"/>
          <w:sz w:val="24"/>
          <w:szCs w:val="24"/>
        </w:rPr>
        <w:t xml:space="preserve"> Med 9(1): e1001165. doi:10.1371/journal.pmed.1001165</w:t>
      </w:r>
    </w:p>
    <w:p w:rsidR="009E5A16" w:rsidRPr="005A66B7" w:rsidRDefault="009E5A16"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 xml:space="preserve">Cohen, J.M., K.C. Ernst, K.A. </w:t>
      </w:r>
      <w:proofErr w:type="spellStart"/>
      <w:r w:rsidRPr="005A66B7">
        <w:rPr>
          <w:rFonts w:asciiTheme="majorHAnsi" w:hAnsiTheme="majorHAnsi"/>
          <w:sz w:val="24"/>
          <w:szCs w:val="24"/>
        </w:rPr>
        <w:t>Linblade</w:t>
      </w:r>
      <w:proofErr w:type="spellEnd"/>
      <w:r w:rsidRPr="005A66B7">
        <w:rPr>
          <w:rFonts w:asciiTheme="majorHAnsi" w:hAnsiTheme="majorHAnsi"/>
          <w:sz w:val="24"/>
          <w:szCs w:val="24"/>
        </w:rPr>
        <w:t xml:space="preserve">, J.M. </w:t>
      </w:r>
      <w:proofErr w:type="spellStart"/>
      <w:r w:rsidRPr="005A66B7">
        <w:rPr>
          <w:rFonts w:asciiTheme="majorHAnsi" w:hAnsiTheme="majorHAnsi"/>
          <w:sz w:val="24"/>
          <w:szCs w:val="24"/>
        </w:rPr>
        <w:t>Vulule</w:t>
      </w:r>
      <w:proofErr w:type="spellEnd"/>
      <w:r w:rsidRPr="005A66B7">
        <w:rPr>
          <w:rFonts w:asciiTheme="majorHAnsi" w:hAnsiTheme="majorHAnsi"/>
          <w:sz w:val="24"/>
          <w:szCs w:val="24"/>
        </w:rPr>
        <w:t xml:space="preserve">, C.C. John, and M. Wilson. 2008.   Topography-derived wetness indices are associated </w:t>
      </w:r>
      <w:proofErr w:type="gramStart"/>
      <w:r w:rsidRPr="005A66B7">
        <w:rPr>
          <w:rFonts w:asciiTheme="majorHAnsi" w:hAnsiTheme="majorHAnsi"/>
          <w:sz w:val="24"/>
          <w:szCs w:val="24"/>
        </w:rPr>
        <w:t>with  household</w:t>
      </w:r>
      <w:proofErr w:type="gramEnd"/>
      <w:r w:rsidRPr="005A66B7">
        <w:rPr>
          <w:rFonts w:asciiTheme="majorHAnsi" w:hAnsiTheme="majorHAnsi"/>
          <w:sz w:val="24"/>
          <w:szCs w:val="24"/>
        </w:rPr>
        <w:t>-level malaria risk in two communities in the western Kenyan highlands.  Malaria Journal 7: 40.</w:t>
      </w:r>
    </w:p>
    <w:p w:rsidR="009E5A16" w:rsidRPr="005A66B7" w:rsidRDefault="009E5A16"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 xml:space="preserve">Cohen, J.M., K.C. Ernst, K.A. </w:t>
      </w:r>
      <w:proofErr w:type="spellStart"/>
      <w:r w:rsidRPr="005A66B7">
        <w:rPr>
          <w:rFonts w:asciiTheme="majorHAnsi" w:hAnsiTheme="majorHAnsi"/>
          <w:sz w:val="24"/>
          <w:szCs w:val="24"/>
        </w:rPr>
        <w:t>Linblade</w:t>
      </w:r>
      <w:proofErr w:type="spellEnd"/>
      <w:r w:rsidRPr="005A66B7">
        <w:rPr>
          <w:rFonts w:asciiTheme="majorHAnsi" w:hAnsiTheme="majorHAnsi"/>
          <w:sz w:val="24"/>
          <w:szCs w:val="24"/>
        </w:rPr>
        <w:t xml:space="preserve">, J.M. </w:t>
      </w:r>
      <w:proofErr w:type="spellStart"/>
      <w:r w:rsidRPr="005A66B7">
        <w:rPr>
          <w:rFonts w:asciiTheme="majorHAnsi" w:hAnsiTheme="majorHAnsi"/>
          <w:sz w:val="24"/>
          <w:szCs w:val="24"/>
        </w:rPr>
        <w:t>Vulule</w:t>
      </w:r>
      <w:proofErr w:type="spellEnd"/>
      <w:r w:rsidRPr="005A66B7">
        <w:rPr>
          <w:rFonts w:asciiTheme="majorHAnsi" w:hAnsiTheme="majorHAnsi"/>
          <w:sz w:val="24"/>
          <w:szCs w:val="24"/>
        </w:rPr>
        <w:t>, C.C. John, and M. Wilson.  2010.  Local topographic wetness indices predict household malaria risk better than land-use and land-cover in the western Kenya highlands.  Malaria Journal 9: 328.</w:t>
      </w:r>
    </w:p>
    <w:p w:rsidR="009E5A16" w:rsidRPr="005A66B7" w:rsidRDefault="009E5A16"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 xml:space="preserve">Gupta, S., R.W. Snow, C.A. Donnelly, K. Marsh, and C. </w:t>
      </w:r>
      <w:proofErr w:type="spellStart"/>
      <w:r w:rsidRPr="005A66B7">
        <w:rPr>
          <w:rFonts w:asciiTheme="majorHAnsi" w:hAnsiTheme="majorHAnsi"/>
          <w:sz w:val="24"/>
          <w:szCs w:val="24"/>
        </w:rPr>
        <w:t>Newbold</w:t>
      </w:r>
      <w:proofErr w:type="spellEnd"/>
      <w:r w:rsidRPr="005A66B7">
        <w:rPr>
          <w:rFonts w:asciiTheme="majorHAnsi" w:hAnsiTheme="majorHAnsi"/>
          <w:sz w:val="24"/>
          <w:szCs w:val="24"/>
        </w:rPr>
        <w:t>. 1999. Immunity to non-cerebral severe malaria is acquired after one or two infections. Nature Medicine 5: 340-343.</w:t>
      </w:r>
    </w:p>
    <w:p w:rsidR="004C573C" w:rsidRPr="005A66B7" w:rsidRDefault="004C573C"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 xml:space="preserve">Snow RW, Craig M, </w:t>
      </w:r>
      <w:proofErr w:type="spellStart"/>
      <w:r w:rsidRPr="005A66B7">
        <w:rPr>
          <w:rFonts w:asciiTheme="majorHAnsi" w:hAnsiTheme="majorHAnsi"/>
          <w:sz w:val="24"/>
          <w:szCs w:val="24"/>
        </w:rPr>
        <w:t>Deichmann</w:t>
      </w:r>
      <w:proofErr w:type="spellEnd"/>
      <w:r w:rsidRPr="005A66B7">
        <w:rPr>
          <w:rFonts w:asciiTheme="majorHAnsi" w:hAnsiTheme="majorHAnsi"/>
          <w:sz w:val="24"/>
          <w:szCs w:val="24"/>
        </w:rPr>
        <w:t xml:space="preserve"> U, Marsh K, 1999. Estimating mortality, morbidity and disability due to malaria among Africa's non-pregnant population. Bull. World Health Organ. 77(8): 624-640.</w:t>
      </w:r>
    </w:p>
    <w:p w:rsidR="005A66B7" w:rsidRDefault="005A66B7"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9" w:history="1">
        <w:r w:rsidRPr="00DB3F71">
          <w:rPr>
            <w:rStyle w:val="Hyperlink"/>
            <w:rFonts w:asciiTheme="majorHAnsi" w:hAnsiTheme="majorHAnsi"/>
            <w:sz w:val="24"/>
            <w:szCs w:val="24"/>
          </w:rPr>
          <w:t>http://lpdaac.usgs.gov</w:t>
        </w:r>
      </w:hyperlink>
    </w:p>
    <w:p w:rsidR="005A66B7" w:rsidRPr="005A66B7" w:rsidRDefault="005A66B7" w:rsidP="005A66B7">
      <w:pPr>
        <w:pStyle w:val="ListParagraph"/>
        <w:numPr>
          <w:ilvl w:val="0"/>
          <w:numId w:val="4"/>
        </w:numPr>
        <w:rPr>
          <w:rFonts w:asciiTheme="majorHAnsi" w:hAnsiTheme="majorHAnsi"/>
          <w:sz w:val="24"/>
          <w:szCs w:val="24"/>
        </w:rPr>
      </w:pPr>
      <w:r w:rsidRPr="005A66B7">
        <w:rPr>
          <w:rFonts w:asciiTheme="majorHAnsi" w:hAnsiTheme="majorHAnsi"/>
          <w:sz w:val="24"/>
          <w:szCs w:val="24"/>
        </w:rPr>
        <w:t xml:space="preserve">R Core Team, 2014. R: A language and environment for statistical computing. R Foundation for Statistical Computing, Vienna, Austria. URL </w:t>
      </w:r>
      <w:hyperlink r:id="rId10"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rsidR="005A66B7" w:rsidRPr="005A66B7" w:rsidRDefault="005A66B7" w:rsidP="005A66B7">
      <w:pPr>
        <w:pStyle w:val="ListParagraph"/>
        <w:numPr>
          <w:ilvl w:val="0"/>
          <w:numId w:val="4"/>
        </w:numPr>
        <w:rPr>
          <w:rFonts w:asciiTheme="majorHAnsi" w:hAnsiTheme="majorHAnsi"/>
          <w:sz w:val="24"/>
          <w:szCs w:val="24"/>
        </w:rPr>
      </w:pPr>
      <w:proofErr w:type="spellStart"/>
      <w:r w:rsidRPr="005A66B7">
        <w:rPr>
          <w:rFonts w:asciiTheme="majorHAnsi" w:hAnsiTheme="majorHAnsi"/>
          <w:sz w:val="24"/>
          <w:szCs w:val="24"/>
        </w:rPr>
        <w:t>VanDerWal</w:t>
      </w:r>
      <w:proofErr w:type="spellEnd"/>
      <w:r w:rsidRPr="005A66B7">
        <w:rPr>
          <w:rFonts w:asciiTheme="majorHAnsi" w:hAnsiTheme="majorHAnsi"/>
          <w:sz w:val="24"/>
          <w:szCs w:val="24"/>
        </w:rPr>
        <w:t xml:space="preserve"> J, Lorena F, </w:t>
      </w:r>
      <w:proofErr w:type="spellStart"/>
      <w:r w:rsidRPr="005A66B7">
        <w:rPr>
          <w:rFonts w:asciiTheme="majorHAnsi" w:hAnsiTheme="majorHAnsi"/>
          <w:sz w:val="24"/>
          <w:szCs w:val="24"/>
        </w:rPr>
        <w:t>Januchowski</w:t>
      </w:r>
      <w:proofErr w:type="spellEnd"/>
      <w:r w:rsidRPr="005A66B7">
        <w:rPr>
          <w:rFonts w:asciiTheme="majorHAnsi" w:hAnsiTheme="majorHAnsi"/>
          <w:sz w:val="24"/>
          <w:szCs w:val="24"/>
        </w:rPr>
        <w:t xml:space="preserve"> S, Shoo L, </w:t>
      </w:r>
      <w:proofErr w:type="spellStart"/>
      <w:r w:rsidRPr="005A66B7">
        <w:rPr>
          <w:rFonts w:asciiTheme="majorHAnsi" w:hAnsiTheme="majorHAnsi"/>
          <w:sz w:val="24"/>
          <w:szCs w:val="24"/>
        </w:rPr>
        <w:t>Storlie</w:t>
      </w:r>
      <w:proofErr w:type="spellEnd"/>
      <w:r w:rsidRPr="005A66B7">
        <w:rPr>
          <w:rFonts w:asciiTheme="majorHAnsi" w:hAnsiTheme="majorHAnsi"/>
          <w:sz w:val="24"/>
          <w:szCs w:val="24"/>
        </w:rPr>
        <w:t xml:space="preserve"> C, 2014. </w:t>
      </w:r>
      <w:proofErr w:type="spellStart"/>
      <w:r w:rsidRPr="005A66B7">
        <w:rPr>
          <w:rFonts w:asciiTheme="majorHAnsi" w:hAnsiTheme="majorHAnsi"/>
          <w:sz w:val="24"/>
          <w:szCs w:val="24"/>
        </w:rPr>
        <w:t>SDMTools</w:t>
      </w:r>
      <w:proofErr w:type="spellEnd"/>
      <w:r w:rsidRPr="005A66B7">
        <w:rPr>
          <w:rFonts w:asciiTheme="majorHAnsi" w:hAnsiTheme="majorHAnsi"/>
          <w:sz w:val="24"/>
          <w:szCs w:val="24"/>
        </w:rPr>
        <w:t>:  Species Distribution Modelling Tools: Tools for processing data associated with species distribution modelling exercises. R package version 1.1-221. http://CRAN.R-project.org/package=SDMTools</w:t>
      </w:r>
    </w:p>
    <w:p w:rsidR="005A66B7" w:rsidRPr="005A66B7" w:rsidRDefault="005A66B7" w:rsidP="005A66B7">
      <w:pPr>
        <w:pStyle w:val="ListParagraph"/>
        <w:numPr>
          <w:ilvl w:val="0"/>
          <w:numId w:val="4"/>
        </w:numPr>
        <w:rPr>
          <w:rFonts w:asciiTheme="majorHAnsi" w:hAnsiTheme="majorHAnsi"/>
          <w:sz w:val="24"/>
          <w:szCs w:val="24"/>
        </w:rPr>
      </w:pPr>
      <w:proofErr w:type="spellStart"/>
      <w:r w:rsidRPr="005A66B7">
        <w:rPr>
          <w:rFonts w:asciiTheme="majorHAnsi" w:hAnsiTheme="majorHAnsi"/>
          <w:sz w:val="24"/>
          <w:szCs w:val="24"/>
        </w:rPr>
        <w:t>Hijmans</w:t>
      </w:r>
      <w:proofErr w:type="spellEnd"/>
      <w:r w:rsidRPr="005A66B7">
        <w:rPr>
          <w:rFonts w:asciiTheme="majorHAnsi" w:hAnsiTheme="majorHAnsi"/>
          <w:sz w:val="24"/>
          <w:szCs w:val="24"/>
        </w:rPr>
        <w:t xml:space="preserve"> RJ, 2015. </w:t>
      </w:r>
      <w:proofErr w:type="gramStart"/>
      <w:r w:rsidRPr="005A66B7">
        <w:rPr>
          <w:rFonts w:asciiTheme="majorHAnsi" w:hAnsiTheme="majorHAnsi"/>
          <w:sz w:val="24"/>
          <w:szCs w:val="24"/>
        </w:rPr>
        <w:t>raster</w:t>
      </w:r>
      <w:proofErr w:type="gramEnd"/>
      <w:r w:rsidRPr="005A66B7">
        <w:rPr>
          <w:rFonts w:asciiTheme="majorHAnsi" w:hAnsiTheme="majorHAnsi"/>
          <w:sz w:val="24"/>
          <w:szCs w:val="24"/>
        </w:rPr>
        <w:t xml:space="preserve">: Geographic data analysis and modeling. R package version 2.3-24. </w:t>
      </w:r>
      <w:hyperlink r:id="rId11" w:history="1">
        <w:r w:rsidRPr="005A66B7">
          <w:rPr>
            <w:rStyle w:val="Hyperlink"/>
            <w:rFonts w:asciiTheme="majorHAnsi" w:hAnsiTheme="majorHAnsi"/>
            <w:sz w:val="24"/>
            <w:szCs w:val="24"/>
          </w:rPr>
          <w:t>http://CRAN.R-project.org/package=raster</w:t>
        </w:r>
      </w:hyperlink>
    </w:p>
    <w:p w:rsidR="005A66B7" w:rsidRDefault="00810140" w:rsidP="00810140">
      <w:pPr>
        <w:pStyle w:val="ListParagraph"/>
        <w:numPr>
          <w:ilvl w:val="0"/>
          <w:numId w:val="4"/>
        </w:numPr>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proofErr w:type="spellStart"/>
      <w:r w:rsidRPr="00810140">
        <w:rPr>
          <w:rFonts w:asciiTheme="majorHAnsi" w:hAnsiTheme="majorHAnsi"/>
          <w:sz w:val="24"/>
          <w:szCs w:val="24"/>
        </w:rPr>
        <w:t>Zinko</w:t>
      </w:r>
      <w:proofErr w:type="spellEnd"/>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proofErr w:type="gramStart"/>
      <w:r>
        <w:rPr>
          <w:rFonts w:asciiTheme="majorHAnsi" w:hAnsiTheme="majorHAnsi"/>
          <w:sz w:val="24"/>
          <w:szCs w:val="24"/>
        </w:rPr>
        <w:t>,2006</w:t>
      </w:r>
      <w:proofErr w:type="gramEnd"/>
      <w:r>
        <w:rPr>
          <w:rFonts w:asciiTheme="majorHAnsi" w:hAnsiTheme="majorHAnsi"/>
          <w:sz w:val="24"/>
          <w:szCs w:val="24"/>
        </w:rPr>
        <w:t>.</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w:t>
      </w:r>
      <w:r w:rsidRPr="00810140">
        <w:rPr>
          <w:rFonts w:asciiTheme="majorHAnsi" w:hAnsiTheme="majorHAnsi"/>
          <w:sz w:val="24"/>
          <w:szCs w:val="24"/>
        </w:rPr>
        <w:t xml:space="preserve"> </w:t>
      </w:r>
      <w:r w:rsidRPr="00810140">
        <w:rPr>
          <w:rFonts w:asciiTheme="majorHAnsi" w:hAnsiTheme="majorHAnsi"/>
          <w:sz w:val="24"/>
          <w:szCs w:val="24"/>
        </w:rPr>
        <w:t>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rsidR="003A7A63" w:rsidRDefault="003A7A63">
      <w:pPr>
        <w:rPr>
          <w:rFonts w:asciiTheme="majorHAnsi" w:hAnsiTheme="majorHAnsi"/>
          <w:sz w:val="24"/>
          <w:szCs w:val="24"/>
        </w:rPr>
      </w:pPr>
      <w:r>
        <w:rPr>
          <w:rFonts w:asciiTheme="majorHAnsi" w:hAnsiTheme="majorHAnsi"/>
          <w:sz w:val="24"/>
          <w:szCs w:val="24"/>
        </w:rPr>
        <w:br w:type="page"/>
      </w:r>
    </w:p>
    <w:p w:rsidR="00810140" w:rsidRPr="00810140" w:rsidRDefault="003A7A63" w:rsidP="003A7A63">
      <w:pPr>
        <w:pStyle w:val="ListParagraph"/>
        <w:spacing w:line="480" w:lineRule="auto"/>
        <w:ind w:left="360"/>
        <w:rPr>
          <w:rFonts w:asciiTheme="majorHAnsi" w:hAnsiTheme="majorHAnsi"/>
          <w:sz w:val="24"/>
          <w:szCs w:val="24"/>
        </w:rPr>
      </w:pPr>
      <w:proofErr w:type="gramStart"/>
      <w:r w:rsidRPr="003A7A63">
        <w:rPr>
          <w:rFonts w:asciiTheme="majorHAnsi" w:hAnsiTheme="majorHAnsi"/>
          <w:sz w:val="24"/>
          <w:szCs w:val="24"/>
        </w:rPr>
        <w:lastRenderedPageBreak/>
        <w:t>Table 1.</w:t>
      </w:r>
      <w:proofErr w:type="gramEnd"/>
      <w:r w:rsidRPr="003A7A63">
        <w:rPr>
          <w:rFonts w:asciiTheme="majorHAnsi" w:hAnsiTheme="majorHAnsi"/>
          <w:sz w:val="24"/>
          <w:szCs w:val="24"/>
        </w:rPr>
        <w:t xml:space="preserve"> </w:t>
      </w:r>
      <w:proofErr w:type="gramStart"/>
      <w:r w:rsidRPr="003A7A63">
        <w:rPr>
          <w:rFonts w:asciiTheme="majorHAnsi" w:hAnsiTheme="majorHAnsi"/>
          <w:sz w:val="24"/>
          <w:szCs w:val="24"/>
        </w:rPr>
        <w:t>Odds of receiving a treatment as a function of combined risk.</w:t>
      </w:r>
      <w:proofErr w:type="gramEnd"/>
      <w:r w:rsidRPr="003A7A63">
        <w:rPr>
          <w:rFonts w:asciiTheme="majorHAnsi" w:hAnsiTheme="majorHAnsi"/>
          <w:sz w:val="24"/>
          <w:szCs w:val="24"/>
        </w:rPr>
        <w:t xml:space="preserve">  Odds ratios represent the effect of an increase of 1 standard deviation in the combined risk measure.</w:t>
      </w:r>
    </w:p>
    <w:sectPr w:rsidR="00810140" w:rsidRPr="00810140" w:rsidSect="00512062">
      <w:footerReference w:type="default" r:id="rId1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90E" w:rsidRDefault="00E8290E" w:rsidP="00512062">
      <w:pPr>
        <w:spacing w:after="0" w:line="240" w:lineRule="auto"/>
      </w:pPr>
      <w:r>
        <w:separator/>
      </w:r>
    </w:p>
  </w:endnote>
  <w:endnote w:type="continuationSeparator" w:id="0">
    <w:p w:rsidR="00E8290E" w:rsidRDefault="00E8290E" w:rsidP="0051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12134"/>
      <w:docPartObj>
        <w:docPartGallery w:val="Page Numbers (Bottom of Page)"/>
        <w:docPartUnique/>
      </w:docPartObj>
    </w:sdtPr>
    <w:sdtEndPr>
      <w:rPr>
        <w:noProof/>
      </w:rPr>
    </w:sdtEndPr>
    <w:sdtContent>
      <w:p w:rsidR="00512062" w:rsidRDefault="00512062">
        <w:pPr>
          <w:pStyle w:val="Footer"/>
          <w:jc w:val="center"/>
        </w:pPr>
        <w:r>
          <w:fldChar w:fldCharType="begin"/>
        </w:r>
        <w:r>
          <w:instrText xml:space="preserve"> PAGE   \* MERGEFORMAT </w:instrText>
        </w:r>
        <w:r>
          <w:fldChar w:fldCharType="separate"/>
        </w:r>
        <w:r w:rsidR="002B0F18">
          <w:rPr>
            <w:noProof/>
          </w:rPr>
          <w:t>7</w:t>
        </w:r>
        <w:r>
          <w:rPr>
            <w:noProof/>
          </w:rPr>
          <w:fldChar w:fldCharType="end"/>
        </w:r>
      </w:p>
    </w:sdtContent>
  </w:sdt>
  <w:p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90E" w:rsidRDefault="00E8290E" w:rsidP="00512062">
      <w:pPr>
        <w:spacing w:after="0" w:line="240" w:lineRule="auto"/>
      </w:pPr>
      <w:r>
        <w:separator/>
      </w:r>
    </w:p>
  </w:footnote>
  <w:footnote w:type="continuationSeparator" w:id="0">
    <w:p w:rsidR="00E8290E" w:rsidRDefault="00E8290E" w:rsidP="00512062">
      <w:pPr>
        <w:spacing w:after="0" w:line="240" w:lineRule="auto"/>
      </w:pPr>
      <w:r>
        <w:continuationSeparator/>
      </w:r>
    </w:p>
  </w:footnote>
  <w:footnote w:id="1">
    <w:p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62"/>
    <w:rsid w:val="000015C5"/>
    <w:rsid w:val="00024844"/>
    <w:rsid w:val="000313FC"/>
    <w:rsid w:val="00032931"/>
    <w:rsid w:val="00042631"/>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4E8D"/>
    <w:rsid w:val="001651A5"/>
    <w:rsid w:val="0018465E"/>
    <w:rsid w:val="00192513"/>
    <w:rsid w:val="001A31D6"/>
    <w:rsid w:val="001A6802"/>
    <w:rsid w:val="001B1444"/>
    <w:rsid w:val="001B4BF6"/>
    <w:rsid w:val="001B5664"/>
    <w:rsid w:val="001C1186"/>
    <w:rsid w:val="001C1C44"/>
    <w:rsid w:val="001C5D5A"/>
    <w:rsid w:val="001D0EB6"/>
    <w:rsid w:val="001E20D3"/>
    <w:rsid w:val="001E737D"/>
    <w:rsid w:val="00202E31"/>
    <w:rsid w:val="002428B4"/>
    <w:rsid w:val="00243EED"/>
    <w:rsid w:val="00245E4D"/>
    <w:rsid w:val="002513CA"/>
    <w:rsid w:val="002539DB"/>
    <w:rsid w:val="002550D2"/>
    <w:rsid w:val="002572EA"/>
    <w:rsid w:val="0026218E"/>
    <w:rsid w:val="00264055"/>
    <w:rsid w:val="00266BE0"/>
    <w:rsid w:val="00271517"/>
    <w:rsid w:val="002A740A"/>
    <w:rsid w:val="002B0F18"/>
    <w:rsid w:val="002C10F3"/>
    <w:rsid w:val="002C513D"/>
    <w:rsid w:val="002C6C2A"/>
    <w:rsid w:val="002D2079"/>
    <w:rsid w:val="002D4539"/>
    <w:rsid w:val="002D5EEB"/>
    <w:rsid w:val="002E1407"/>
    <w:rsid w:val="002E451D"/>
    <w:rsid w:val="002F1438"/>
    <w:rsid w:val="002F7082"/>
    <w:rsid w:val="003045E2"/>
    <w:rsid w:val="00316B74"/>
    <w:rsid w:val="003243DB"/>
    <w:rsid w:val="00327D79"/>
    <w:rsid w:val="003310F8"/>
    <w:rsid w:val="003316D9"/>
    <w:rsid w:val="003375AB"/>
    <w:rsid w:val="00352A55"/>
    <w:rsid w:val="00362DD5"/>
    <w:rsid w:val="0036747F"/>
    <w:rsid w:val="003759F1"/>
    <w:rsid w:val="00375A11"/>
    <w:rsid w:val="0038146F"/>
    <w:rsid w:val="00381903"/>
    <w:rsid w:val="00390641"/>
    <w:rsid w:val="00395F85"/>
    <w:rsid w:val="003A72CB"/>
    <w:rsid w:val="003A7A63"/>
    <w:rsid w:val="003A7C93"/>
    <w:rsid w:val="003C1217"/>
    <w:rsid w:val="003C1287"/>
    <w:rsid w:val="003C4323"/>
    <w:rsid w:val="003C50EC"/>
    <w:rsid w:val="003D2C67"/>
    <w:rsid w:val="003E2860"/>
    <w:rsid w:val="003F0FE5"/>
    <w:rsid w:val="003F3EF6"/>
    <w:rsid w:val="003F5120"/>
    <w:rsid w:val="0040095E"/>
    <w:rsid w:val="004029FA"/>
    <w:rsid w:val="00405989"/>
    <w:rsid w:val="00411D5E"/>
    <w:rsid w:val="00415D10"/>
    <w:rsid w:val="00421A22"/>
    <w:rsid w:val="004236B7"/>
    <w:rsid w:val="00430AC5"/>
    <w:rsid w:val="0043643F"/>
    <w:rsid w:val="004466ED"/>
    <w:rsid w:val="0045440F"/>
    <w:rsid w:val="00460331"/>
    <w:rsid w:val="00460733"/>
    <w:rsid w:val="00463B6E"/>
    <w:rsid w:val="0047448B"/>
    <w:rsid w:val="004A00C3"/>
    <w:rsid w:val="004A122F"/>
    <w:rsid w:val="004B28E7"/>
    <w:rsid w:val="004C2E04"/>
    <w:rsid w:val="004C573C"/>
    <w:rsid w:val="004D0A87"/>
    <w:rsid w:val="004D2C11"/>
    <w:rsid w:val="004D477C"/>
    <w:rsid w:val="004D743A"/>
    <w:rsid w:val="004E0DA6"/>
    <w:rsid w:val="004E11AF"/>
    <w:rsid w:val="004E31C7"/>
    <w:rsid w:val="004E7BC5"/>
    <w:rsid w:val="004F1794"/>
    <w:rsid w:val="005020F3"/>
    <w:rsid w:val="00511587"/>
    <w:rsid w:val="00512062"/>
    <w:rsid w:val="0051517D"/>
    <w:rsid w:val="005303A6"/>
    <w:rsid w:val="00544408"/>
    <w:rsid w:val="00552FEA"/>
    <w:rsid w:val="005612B1"/>
    <w:rsid w:val="005652AF"/>
    <w:rsid w:val="00583BBC"/>
    <w:rsid w:val="005A0044"/>
    <w:rsid w:val="005A1E22"/>
    <w:rsid w:val="005A2908"/>
    <w:rsid w:val="005A5D47"/>
    <w:rsid w:val="005A65E5"/>
    <w:rsid w:val="005A66B7"/>
    <w:rsid w:val="005B46C6"/>
    <w:rsid w:val="005B46E0"/>
    <w:rsid w:val="005D3563"/>
    <w:rsid w:val="00604CAE"/>
    <w:rsid w:val="00605FC2"/>
    <w:rsid w:val="0061171C"/>
    <w:rsid w:val="00612AC8"/>
    <w:rsid w:val="00623F37"/>
    <w:rsid w:val="00631367"/>
    <w:rsid w:val="006319C4"/>
    <w:rsid w:val="00643221"/>
    <w:rsid w:val="0065301E"/>
    <w:rsid w:val="00653492"/>
    <w:rsid w:val="00665591"/>
    <w:rsid w:val="006873B5"/>
    <w:rsid w:val="00690D74"/>
    <w:rsid w:val="00690F48"/>
    <w:rsid w:val="00691B4A"/>
    <w:rsid w:val="006924C7"/>
    <w:rsid w:val="00694C89"/>
    <w:rsid w:val="00695381"/>
    <w:rsid w:val="006A61DC"/>
    <w:rsid w:val="006B362D"/>
    <w:rsid w:val="006C2AAE"/>
    <w:rsid w:val="006C36B1"/>
    <w:rsid w:val="006C785D"/>
    <w:rsid w:val="006E23E8"/>
    <w:rsid w:val="006F5879"/>
    <w:rsid w:val="00713946"/>
    <w:rsid w:val="007365FE"/>
    <w:rsid w:val="007422DF"/>
    <w:rsid w:val="0075577B"/>
    <w:rsid w:val="00761743"/>
    <w:rsid w:val="00761EA4"/>
    <w:rsid w:val="00765C9A"/>
    <w:rsid w:val="0077436D"/>
    <w:rsid w:val="00774E3E"/>
    <w:rsid w:val="00792EE4"/>
    <w:rsid w:val="00797EF7"/>
    <w:rsid w:val="007A007A"/>
    <w:rsid w:val="007A0F4A"/>
    <w:rsid w:val="007A1634"/>
    <w:rsid w:val="007B05AB"/>
    <w:rsid w:val="007B354E"/>
    <w:rsid w:val="007B506F"/>
    <w:rsid w:val="007B652C"/>
    <w:rsid w:val="007D0AAB"/>
    <w:rsid w:val="007D3F26"/>
    <w:rsid w:val="007E3102"/>
    <w:rsid w:val="00800259"/>
    <w:rsid w:val="00800C32"/>
    <w:rsid w:val="00802AF8"/>
    <w:rsid w:val="00810140"/>
    <w:rsid w:val="00831633"/>
    <w:rsid w:val="00832BE7"/>
    <w:rsid w:val="0085045E"/>
    <w:rsid w:val="00855DF0"/>
    <w:rsid w:val="00861AA2"/>
    <w:rsid w:val="00864F9E"/>
    <w:rsid w:val="00866143"/>
    <w:rsid w:val="00887E53"/>
    <w:rsid w:val="00892FDA"/>
    <w:rsid w:val="008A0DC2"/>
    <w:rsid w:val="008D4160"/>
    <w:rsid w:val="008E6FD9"/>
    <w:rsid w:val="008F09BE"/>
    <w:rsid w:val="008F60C1"/>
    <w:rsid w:val="009221B1"/>
    <w:rsid w:val="009243E8"/>
    <w:rsid w:val="00940B67"/>
    <w:rsid w:val="00951AA4"/>
    <w:rsid w:val="00951BE3"/>
    <w:rsid w:val="00953D85"/>
    <w:rsid w:val="009572CC"/>
    <w:rsid w:val="00957CBF"/>
    <w:rsid w:val="0096131B"/>
    <w:rsid w:val="00962158"/>
    <w:rsid w:val="00981404"/>
    <w:rsid w:val="009960F6"/>
    <w:rsid w:val="00997AAB"/>
    <w:rsid w:val="009A1916"/>
    <w:rsid w:val="009A7755"/>
    <w:rsid w:val="009C186F"/>
    <w:rsid w:val="009C795D"/>
    <w:rsid w:val="009D6635"/>
    <w:rsid w:val="009E10C0"/>
    <w:rsid w:val="009E5793"/>
    <w:rsid w:val="009E5A16"/>
    <w:rsid w:val="00A0021E"/>
    <w:rsid w:val="00A0415F"/>
    <w:rsid w:val="00A07E13"/>
    <w:rsid w:val="00A158DE"/>
    <w:rsid w:val="00A2517A"/>
    <w:rsid w:val="00A26190"/>
    <w:rsid w:val="00A369C7"/>
    <w:rsid w:val="00A51DB4"/>
    <w:rsid w:val="00A642ED"/>
    <w:rsid w:val="00A668B8"/>
    <w:rsid w:val="00A70129"/>
    <w:rsid w:val="00AA2B4B"/>
    <w:rsid w:val="00AA7120"/>
    <w:rsid w:val="00AB2F38"/>
    <w:rsid w:val="00AB3F16"/>
    <w:rsid w:val="00AB40AE"/>
    <w:rsid w:val="00AC262F"/>
    <w:rsid w:val="00AC54E2"/>
    <w:rsid w:val="00AD1C0B"/>
    <w:rsid w:val="00AF4874"/>
    <w:rsid w:val="00AF58D7"/>
    <w:rsid w:val="00B03E23"/>
    <w:rsid w:val="00B13C75"/>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5FAA"/>
    <w:rsid w:val="00B9651F"/>
    <w:rsid w:val="00BA274A"/>
    <w:rsid w:val="00BA3E6D"/>
    <w:rsid w:val="00BB67B8"/>
    <w:rsid w:val="00BC2054"/>
    <w:rsid w:val="00BC2FE0"/>
    <w:rsid w:val="00BC6771"/>
    <w:rsid w:val="00BD4114"/>
    <w:rsid w:val="00BD4B1C"/>
    <w:rsid w:val="00BD6525"/>
    <w:rsid w:val="00BE130E"/>
    <w:rsid w:val="00BF1A99"/>
    <w:rsid w:val="00C06A7E"/>
    <w:rsid w:val="00C1491D"/>
    <w:rsid w:val="00C14BCD"/>
    <w:rsid w:val="00C1552F"/>
    <w:rsid w:val="00C17F0E"/>
    <w:rsid w:val="00C2130D"/>
    <w:rsid w:val="00C34801"/>
    <w:rsid w:val="00C379A9"/>
    <w:rsid w:val="00C47AF7"/>
    <w:rsid w:val="00C55C49"/>
    <w:rsid w:val="00C644D6"/>
    <w:rsid w:val="00C71E8B"/>
    <w:rsid w:val="00C75B27"/>
    <w:rsid w:val="00C93508"/>
    <w:rsid w:val="00C97A8D"/>
    <w:rsid w:val="00CA18B5"/>
    <w:rsid w:val="00CA4665"/>
    <w:rsid w:val="00CB2043"/>
    <w:rsid w:val="00CB4543"/>
    <w:rsid w:val="00CB7A04"/>
    <w:rsid w:val="00CC211C"/>
    <w:rsid w:val="00CC725D"/>
    <w:rsid w:val="00CD29DB"/>
    <w:rsid w:val="00CD7FA3"/>
    <w:rsid w:val="00CE6D41"/>
    <w:rsid w:val="00CF5066"/>
    <w:rsid w:val="00D10A50"/>
    <w:rsid w:val="00D20E31"/>
    <w:rsid w:val="00D260BB"/>
    <w:rsid w:val="00D32C38"/>
    <w:rsid w:val="00D5029B"/>
    <w:rsid w:val="00D53072"/>
    <w:rsid w:val="00D71004"/>
    <w:rsid w:val="00D7512F"/>
    <w:rsid w:val="00D759DA"/>
    <w:rsid w:val="00D86DB6"/>
    <w:rsid w:val="00DA6559"/>
    <w:rsid w:val="00DA7574"/>
    <w:rsid w:val="00DB6193"/>
    <w:rsid w:val="00DD3239"/>
    <w:rsid w:val="00DE451E"/>
    <w:rsid w:val="00DE54F0"/>
    <w:rsid w:val="00DF0EC7"/>
    <w:rsid w:val="00E12B8C"/>
    <w:rsid w:val="00E14FAC"/>
    <w:rsid w:val="00E1505F"/>
    <w:rsid w:val="00E16D1E"/>
    <w:rsid w:val="00E25D8C"/>
    <w:rsid w:val="00E3597B"/>
    <w:rsid w:val="00E5781D"/>
    <w:rsid w:val="00E61152"/>
    <w:rsid w:val="00E65653"/>
    <w:rsid w:val="00E6790A"/>
    <w:rsid w:val="00E6799F"/>
    <w:rsid w:val="00E76412"/>
    <w:rsid w:val="00E771AB"/>
    <w:rsid w:val="00E8038D"/>
    <w:rsid w:val="00E8290E"/>
    <w:rsid w:val="00E82AD4"/>
    <w:rsid w:val="00EA33B2"/>
    <w:rsid w:val="00EA66BD"/>
    <w:rsid w:val="00EB1510"/>
    <w:rsid w:val="00EB3CF3"/>
    <w:rsid w:val="00EB438D"/>
    <w:rsid w:val="00EC00ED"/>
    <w:rsid w:val="00EC778F"/>
    <w:rsid w:val="00ED163F"/>
    <w:rsid w:val="00ED3922"/>
    <w:rsid w:val="00ED5969"/>
    <w:rsid w:val="00ED5FE6"/>
    <w:rsid w:val="00ED6BAC"/>
    <w:rsid w:val="00EE69A1"/>
    <w:rsid w:val="00EE7930"/>
    <w:rsid w:val="00EF77E7"/>
    <w:rsid w:val="00F1146C"/>
    <w:rsid w:val="00F11FB0"/>
    <w:rsid w:val="00F15D78"/>
    <w:rsid w:val="00F26192"/>
    <w:rsid w:val="00F33A9D"/>
    <w:rsid w:val="00F36508"/>
    <w:rsid w:val="00F51F17"/>
    <w:rsid w:val="00F61FB6"/>
    <w:rsid w:val="00F64854"/>
    <w:rsid w:val="00F72B4A"/>
    <w:rsid w:val="00F748B9"/>
    <w:rsid w:val="00F9083C"/>
    <w:rsid w:val="00F9243B"/>
    <w:rsid w:val="00F93E9B"/>
    <w:rsid w:val="00FA1090"/>
    <w:rsid w:val="00FA4D27"/>
    <w:rsid w:val="00FB1C9D"/>
    <w:rsid w:val="00FB59E3"/>
    <w:rsid w:val="00FC144C"/>
    <w:rsid w:val="00FC1CD6"/>
    <w:rsid w:val="00FC237C"/>
    <w:rsid w:val="00FC3700"/>
    <w:rsid w:val="00FC37E8"/>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raster" TargetMode="External"/><Relationship Id="rId5" Type="http://schemas.openxmlformats.org/officeDocument/2006/relationships/settings" Target="settings.xml"/><Relationship Id="rId10" Type="http://schemas.openxmlformats.org/officeDocument/2006/relationships/hyperlink" Target="http://www.R-project.org/" TargetMode="External"/><Relationship Id="rId4" Type="http://schemas.microsoft.com/office/2007/relationships/stylesWithEffects" Target="stylesWithEffects.xml"/><Relationship Id="rId9" Type="http://schemas.openxmlformats.org/officeDocument/2006/relationships/hyperlink" Target="http://lpdaac.usg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18983-2DA6-41A5-947E-4C1D69905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8</Pages>
  <Words>1940</Words>
  <Characters>10152</Characters>
  <Application>Microsoft Office Word</Application>
  <DocSecurity>0</DocSecurity>
  <Lines>267</Lines>
  <Paragraphs>163</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23</cp:revision>
  <dcterms:created xsi:type="dcterms:W3CDTF">2015-02-23T20:30:00Z</dcterms:created>
  <dcterms:modified xsi:type="dcterms:W3CDTF">2015-02-26T00:00:00Z</dcterms:modified>
</cp:coreProperties>
</file>