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4E3B8EAE"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4E57A799"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00291909">
        <w:rPr>
          <w:rFonts w:asciiTheme="majorHAnsi" w:hAnsiTheme="majorHAnsi"/>
          <w:sz w:val="24"/>
          <w:szCs w:val="24"/>
          <w:vertAlign w:val="superscript"/>
        </w:rPr>
        <w:t>1</w:t>
      </w:r>
    </w:p>
    <w:p w14:paraId="4D2BE744" w14:textId="705585E4"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00291909">
        <w:rPr>
          <w:rFonts w:asciiTheme="majorHAnsi" w:hAnsiTheme="majorHAnsi"/>
          <w:sz w:val="24"/>
          <w:szCs w:val="24"/>
          <w:vertAlign w:val="superscript"/>
        </w:rPr>
        <w:t>1</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4A239443" w14:textId="0323ED9D" w:rsidR="00411D5E" w:rsidRDefault="00291909" w:rsidP="00FD6868">
      <w:pPr>
        <w:spacing w:after="0" w:line="480" w:lineRule="auto"/>
        <w:rPr>
          <w:rFonts w:asciiTheme="majorHAnsi" w:hAnsiTheme="majorHAnsi"/>
          <w:sz w:val="24"/>
          <w:szCs w:val="24"/>
        </w:rPr>
      </w:pPr>
      <w:r>
        <w:rPr>
          <w:rFonts w:asciiTheme="majorHAnsi" w:hAnsiTheme="majorHAnsi"/>
          <w:sz w:val="24"/>
          <w:szCs w:val="24"/>
          <w:vertAlign w:val="superscript"/>
        </w:rPr>
        <w:t>1</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00411D5E" w:rsidRPr="00411D5E">
        <w:rPr>
          <w:rFonts w:asciiTheme="majorHAnsi" w:hAnsiTheme="majorHAnsi"/>
          <w:sz w:val="24"/>
          <w:szCs w:val="24"/>
        </w:rPr>
        <w:t xml:space="preserve">University of Arizona </w:t>
      </w:r>
    </w:p>
    <w:p w14:paraId="51FBA28F" w14:textId="77777777" w:rsidR="00411D5E" w:rsidRDefault="00411D5E" w:rsidP="00FD6868">
      <w:pPr>
        <w:spacing w:after="0" w:line="480" w:lineRule="auto"/>
        <w:rPr>
          <w:rFonts w:asciiTheme="majorHAnsi" w:hAnsiTheme="majorHAnsi"/>
          <w:sz w:val="24"/>
          <w:szCs w:val="24"/>
        </w:rPr>
      </w:pPr>
    </w:p>
    <w:p w14:paraId="3D982815" w14:textId="6C12CAF3"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Long lasting insecticid</w:t>
      </w:r>
      <w:r w:rsidR="00F11D1F">
        <w:rPr>
          <w:rFonts w:asciiTheme="majorHAnsi" w:hAnsiTheme="majorHAnsi"/>
          <w:sz w:val="24"/>
          <w:szCs w:val="24"/>
        </w:rPr>
        <w:t>al</w:t>
      </w:r>
      <w:r w:rsidR="00FD17CC">
        <w:rPr>
          <w:rFonts w:asciiTheme="majorHAnsi" w:hAnsiTheme="majorHAnsi"/>
          <w:sz w:val="24"/>
          <w:szCs w:val="24"/>
        </w:rPr>
        <w:t xml:space="preserve"> </w:t>
      </w:r>
      <w:r w:rsidR="00F9287E">
        <w:rPr>
          <w:rFonts w:asciiTheme="majorHAnsi" w:hAnsiTheme="majorHAnsi"/>
          <w:sz w:val="24"/>
          <w:szCs w:val="24"/>
        </w:rPr>
        <w:t>nets</w:t>
      </w:r>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xml:space="preserve">, </w:t>
      </w:r>
      <w:r w:rsidR="00FD17CC">
        <w:rPr>
          <w:rFonts w:asciiTheme="majorHAnsi" w:hAnsiTheme="majorHAnsi"/>
          <w:sz w:val="24"/>
          <w:szCs w:val="24"/>
        </w:rPr>
        <w:t>p</w:t>
      </w:r>
      <w:r>
        <w:rPr>
          <w:rFonts w:asciiTheme="majorHAnsi" w:hAnsiTheme="majorHAnsi"/>
          <w:sz w:val="24"/>
          <w:szCs w:val="24"/>
        </w:rPr>
        <w:t>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p>
    <w:p w14:paraId="5A26D59B" w14:textId="76779CA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5D391D">
        <w:rPr>
          <w:rFonts w:asciiTheme="majorHAnsi" w:hAnsiTheme="majorHAnsi"/>
          <w:sz w:val="24"/>
          <w:szCs w:val="24"/>
        </w:rPr>
        <w:t>1498</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212AD35B"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sidR="00526F35">
        <w:rPr>
          <w:rFonts w:asciiTheme="majorHAnsi" w:hAnsiTheme="majorHAnsi"/>
          <w:sz w:val="24"/>
          <w:szCs w:val="24"/>
        </w:rPr>
        <w:t xml:space="preserve">. </w:t>
      </w:r>
      <w:r>
        <w:rPr>
          <w:rFonts w:asciiTheme="majorHAnsi" w:hAnsiTheme="majorHAnsi"/>
          <w:sz w:val="24"/>
          <w:szCs w:val="24"/>
        </w:rPr>
        <w:t xml:space="preserve">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w:t>
      </w:r>
      <w:r w:rsidR="00526F35">
        <w:rPr>
          <w:rFonts w:asciiTheme="majorHAnsi" w:hAnsiTheme="majorHAnsi"/>
          <w:sz w:val="24"/>
          <w:szCs w:val="24"/>
        </w:rPr>
        <w:t xml:space="preserve"> </w:t>
      </w:r>
      <w:r>
        <w:rPr>
          <w:rFonts w:asciiTheme="majorHAnsi" w:hAnsiTheme="majorHAnsi"/>
          <w:sz w:val="24"/>
          <w:szCs w:val="24"/>
        </w:rPr>
        <w:t>However, previous research has identified the benefit of additionally targeting interventions at those with t</w:t>
      </w:r>
      <w:r w:rsidR="00526F35">
        <w:rPr>
          <w:rFonts w:asciiTheme="majorHAnsi" w:hAnsiTheme="majorHAnsi"/>
          <w:sz w:val="24"/>
          <w:szCs w:val="24"/>
        </w:rPr>
        <w:t xml:space="preserve">he highest risk of infections. </w:t>
      </w:r>
      <w:r>
        <w:rPr>
          <w:rFonts w:asciiTheme="majorHAnsi" w:hAnsiTheme="majorHAnsi"/>
          <w:sz w:val="24"/>
          <w:szCs w:val="24"/>
        </w:rPr>
        <w:t>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18363CC5"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Concerted efforts have been made in the past decade to reduce and in some cases eliminate malaria. Many national strategic plans to reduce or eliminate malaria are in their third generation.</w:t>
      </w:r>
      <w:r w:rsidR="00526F35">
        <w:rPr>
          <w:rFonts w:asciiTheme="majorHAnsi" w:hAnsiTheme="majorHAnsi"/>
          <w:sz w:val="24"/>
          <w:szCs w:val="24"/>
        </w:rPr>
        <w:t xml:space="preserve">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354C5362"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526F35">
        <w:rPr>
          <w:rFonts w:asciiTheme="majorHAnsi" w:hAnsiTheme="majorHAnsi"/>
          <w:sz w:val="24"/>
          <w:szCs w:val="24"/>
        </w:rPr>
        <w:t xml:space="preserve"> </w:t>
      </w:r>
      <w:r w:rsidR="00327D79">
        <w:rPr>
          <w:rFonts w:asciiTheme="majorHAnsi" w:hAnsiTheme="majorHAnsi"/>
          <w:sz w:val="24"/>
          <w:szCs w:val="24"/>
        </w:rPr>
        <w:t>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20F04BBE"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w:t>
      </w:r>
      <w:r w:rsidR="005D391D">
        <w:rPr>
          <w:rFonts w:asciiTheme="majorHAnsi" w:hAnsiTheme="majorHAnsi"/>
          <w:sz w:val="24"/>
          <w:szCs w:val="24"/>
        </w:rPr>
        <w:t>t including age and</w:t>
      </w:r>
      <w:r w:rsidRPr="00F11D1F">
        <w:rPr>
          <w:rFonts w:asciiTheme="majorHAnsi" w:hAnsiTheme="majorHAnsi"/>
          <w:sz w:val="24"/>
          <w:szCs w:val="24"/>
        </w:rPr>
        <w:t xml:space="preserve"> sex.</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w:t>
      </w:r>
      <w:r w:rsidR="00D42BB9">
        <w:rPr>
          <w:rFonts w:asciiTheme="majorHAnsi" w:hAnsiTheme="majorHAnsi"/>
          <w:sz w:val="24"/>
          <w:szCs w:val="24"/>
        </w:rPr>
        <w:t xml:space="preserve"> the University of Arizona and the Kenyan Medical Research Institute.</w:t>
      </w:r>
      <w:bookmarkStart w:id="0" w:name="_GoBack"/>
      <w:bookmarkEnd w:id="0"/>
      <w:r w:rsidR="00526F35">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bednet, the household was considered a bednet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For each unique house we calculated the number of individuals under 1, the number of individuals over 1 and under 5.</w:t>
      </w:r>
      <w:r w:rsidR="00526F35">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14:paraId="1EC3DC3F" w14:textId="50E88720"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Score=(2×Childr</w:t>
      </w:r>
      <w:r w:rsidR="00643CAA">
        <w:rPr>
          <w:rFonts w:asciiTheme="majorHAnsi" w:hAnsiTheme="majorHAnsi"/>
          <w:sz w:val="24"/>
          <w:szCs w:val="24"/>
        </w:rPr>
        <w:t>en≤1)+(1&lt;Children≤5)</w:t>
      </w:r>
    </w:p>
    <w:p w14:paraId="5AE51934" w14:textId="59D83148"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lastRenderedPageBreak/>
        <w:t>We assigned twice the weight to children under 1 since they have the highe</w:t>
      </w:r>
      <w:r w:rsidR="00053AC4">
        <w:rPr>
          <w:rFonts w:asciiTheme="majorHAnsi" w:hAnsiTheme="majorHAnsi"/>
          <w:sz w:val="24"/>
          <w:szCs w:val="24"/>
        </w:rPr>
        <w:t>r</w:t>
      </w:r>
      <w:r w:rsidRPr="009E5A16">
        <w:rPr>
          <w:rFonts w:asciiTheme="majorHAnsi" w:hAnsiTheme="majorHAnsi"/>
          <w:sz w:val="24"/>
          <w:szCs w:val="24"/>
        </w:rPr>
        <w:t xml:space="preserve"> ri</w:t>
      </w:r>
      <w:r w:rsidR="00053AC4">
        <w:rPr>
          <w:rFonts w:asciiTheme="majorHAnsi" w:hAnsiTheme="majorHAnsi"/>
          <w:sz w:val="24"/>
          <w:szCs w:val="24"/>
        </w:rPr>
        <w:t>sk</w:t>
      </w:r>
      <w:r w:rsidRPr="009E5A16">
        <w:rPr>
          <w:rFonts w:asciiTheme="majorHAnsi" w:hAnsiTheme="majorHAnsi"/>
          <w:sz w:val="24"/>
          <w:szCs w:val="24"/>
        </w:rPr>
        <w:t xml:space="preserve"> of the </w:t>
      </w:r>
      <w:r w:rsidR="00053AC4">
        <w:rPr>
          <w:rFonts w:asciiTheme="majorHAnsi" w:hAnsiTheme="majorHAnsi"/>
          <w:sz w:val="24"/>
          <w:szCs w:val="24"/>
        </w:rPr>
        <w:t xml:space="preserve">two </w:t>
      </w:r>
      <w:r w:rsidRPr="009E5A16">
        <w:rPr>
          <w:rFonts w:asciiTheme="majorHAnsi" w:hAnsiTheme="majorHAnsi"/>
          <w:sz w:val="24"/>
          <w:szCs w:val="24"/>
        </w:rPr>
        <w:t>categories.</w:t>
      </w:r>
      <w:r w:rsidR="007B5454">
        <w:rPr>
          <w:rFonts w:asciiTheme="majorHAnsi" w:hAnsiTheme="majorHAnsi"/>
          <w:sz w:val="24"/>
          <w:szCs w:val="24"/>
          <w:vertAlign w:val="superscript"/>
        </w:rPr>
        <w:t>7,8</w:t>
      </w:r>
    </w:p>
    <w:p w14:paraId="2204C233" w14:textId="503A055D"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r w:rsidR="007B5454">
        <w:rPr>
          <w:rFonts w:asciiTheme="majorHAnsi" w:hAnsiTheme="majorHAnsi"/>
          <w:sz w:val="24"/>
          <w:szCs w:val="24"/>
          <w:vertAlign w:val="superscript"/>
        </w:rPr>
        <w:t>9</w:t>
      </w:r>
      <w:r w:rsidR="007E3102" w:rsidRPr="007E3102">
        <w:rPr>
          <w:rFonts w:asciiTheme="majorHAnsi" w:hAnsiTheme="majorHAnsi"/>
          <w:sz w:val="24"/>
          <w:szCs w:val="24"/>
        </w:rPr>
        <w:t xml:space="preserve">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“SDMTools”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7B5454">
        <w:rPr>
          <w:rFonts w:asciiTheme="majorHAnsi" w:hAnsiTheme="majorHAnsi"/>
          <w:sz w:val="24"/>
          <w:szCs w:val="24"/>
          <w:vertAlign w:val="superscript"/>
        </w:rPr>
        <w:t>10,11,12</w:t>
      </w:r>
      <w:r w:rsidR="007E3102" w:rsidRPr="007E3102">
        <w:rPr>
          <w:rFonts w:asciiTheme="majorHAnsi" w:hAnsiTheme="majorHAnsi"/>
          <w:sz w:val="24"/>
          <w:szCs w:val="24"/>
        </w:rPr>
        <w:t xml:space="preserve"> </w:t>
      </w:r>
      <w:r w:rsidR="002F7082">
        <w:rPr>
          <w:rFonts w:asciiTheme="majorHAnsi" w:hAnsiTheme="majorHAnsi"/>
          <w:sz w:val="24"/>
          <w:szCs w:val="24"/>
        </w:rPr>
        <w:t>We restricted our TWI measurements to identify areas with low water out-flow by including a measure of local aspect variance.</w:t>
      </w:r>
      <w:r w:rsidR="00526F35">
        <w:rPr>
          <w:rFonts w:asciiTheme="majorHAnsi" w:hAnsiTheme="majorHAnsi"/>
          <w:sz w:val="24"/>
          <w:szCs w:val="24"/>
        </w:rPr>
        <w:t xml:space="preserv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4F3BF651"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w:t>
      </w:r>
      <w:r w:rsidR="00526F35">
        <w:rPr>
          <w:rFonts w:asciiTheme="majorHAnsi" w:hAnsiTheme="majorHAnsi"/>
          <w:sz w:val="24"/>
          <w:szCs w:val="24"/>
        </w:rPr>
        <w:t xml:space="preserve"> </w:t>
      </w:r>
      <w:r w:rsidR="003D2C67">
        <w:rPr>
          <w:rFonts w:asciiTheme="majorHAnsi" w:hAnsiTheme="majorHAnsi"/>
          <w:sz w:val="24"/>
          <w:szCs w:val="24"/>
        </w:rPr>
        <w:t>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w:t>
      </w:r>
      <w:r w:rsidR="00EE5B93">
        <w:rPr>
          <w:rFonts w:asciiTheme="majorHAnsi" w:hAnsiTheme="majorHAnsi"/>
          <w:sz w:val="24"/>
          <w:szCs w:val="24"/>
        </w:rPr>
        <w:lastRenderedPageBreak/>
        <w:t>linearity assumption.</w:t>
      </w:r>
      <w:r w:rsidR="00526F35">
        <w:rPr>
          <w:rFonts w:asciiTheme="majorHAnsi" w:hAnsiTheme="majorHAnsi"/>
          <w:sz w:val="24"/>
          <w:szCs w:val="24"/>
        </w:rPr>
        <w:t xml:space="preserve">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29042801"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Figure 1 shows the estimated risk surface for both sites.</w:t>
      </w:r>
      <w:r w:rsidR="00526F35">
        <w:rPr>
          <w:rFonts w:asciiTheme="majorHAnsi" w:hAnsiTheme="majorHAnsi"/>
          <w:sz w:val="24"/>
          <w:szCs w:val="24"/>
        </w:rPr>
        <w:t xml:space="preserve">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w:t>
      </w:r>
      <w:r w:rsidR="00A844AE">
        <w:rPr>
          <w:rFonts w:asciiTheme="majorHAnsi" w:hAnsiTheme="majorHAnsi"/>
          <w:sz w:val="24"/>
          <w:szCs w:val="24"/>
        </w:rPr>
        <w:t>45</w:t>
      </w:r>
      <w:r w:rsidR="003D2C67" w:rsidRPr="003D2C67">
        <w:rPr>
          <w:rFonts w:asciiTheme="majorHAnsi" w:hAnsiTheme="majorHAnsi"/>
          <w:sz w:val="24"/>
          <w:szCs w:val="24"/>
        </w:rPr>
        <w:t>% (Odds Ratio (OR): 1</w:t>
      </w:r>
      <w:r w:rsidR="00A844AE">
        <w:rPr>
          <w:rFonts w:asciiTheme="majorHAnsi" w:hAnsiTheme="majorHAnsi"/>
          <w:sz w:val="24"/>
          <w:szCs w:val="24"/>
        </w:rPr>
        <w:t>.45</w:t>
      </w:r>
      <w:r w:rsidR="003D2C67" w:rsidRPr="003D2C67">
        <w:rPr>
          <w:rFonts w:asciiTheme="majorHAnsi" w:hAnsiTheme="majorHAnsi"/>
          <w:sz w:val="24"/>
          <w:szCs w:val="24"/>
        </w:rPr>
        <w:t xml:space="preserve">, 95% </w:t>
      </w:r>
      <w:r w:rsidR="003D2C67">
        <w:rPr>
          <w:rFonts w:asciiTheme="majorHAnsi" w:hAnsiTheme="majorHAnsi"/>
          <w:sz w:val="24"/>
          <w:szCs w:val="24"/>
        </w:rPr>
        <w:t>CI</w:t>
      </w:r>
      <w:r w:rsidR="00A844AE">
        <w:rPr>
          <w:rFonts w:asciiTheme="majorHAnsi" w:hAnsiTheme="majorHAnsi"/>
          <w:sz w:val="24"/>
          <w:szCs w:val="24"/>
        </w:rPr>
        <w:t>: 1.33, 1.59</w:t>
      </w:r>
      <w:r w:rsidR="003D2C67" w:rsidRPr="003D2C67">
        <w:rPr>
          <w:rFonts w:asciiTheme="majorHAnsi" w:hAnsiTheme="majorHAnsi"/>
          <w:sz w:val="24"/>
          <w:szCs w:val="24"/>
        </w:rPr>
        <w:t xml:space="preserve">)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A844AE">
        <w:rPr>
          <w:rFonts w:asciiTheme="majorHAnsi" w:hAnsiTheme="majorHAnsi"/>
          <w:sz w:val="24"/>
          <w:szCs w:val="24"/>
        </w:rPr>
        <w:t>22% (OR: 1.22, 95% CI: 1.05, 1.42</w:t>
      </w:r>
      <w:r w:rsidR="003D2C67" w:rsidRPr="003D2C67">
        <w:rPr>
          <w:rFonts w:asciiTheme="majorHAnsi" w:hAnsiTheme="majorHAnsi"/>
          <w:sz w:val="24"/>
          <w:szCs w:val="24"/>
        </w:rPr>
        <w:t xml:space="preserve">).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w:t>
      </w:r>
      <w:r w:rsidR="00A844AE">
        <w:rPr>
          <w:rFonts w:asciiTheme="majorHAnsi" w:hAnsiTheme="majorHAnsi"/>
          <w:sz w:val="24"/>
          <w:szCs w:val="24"/>
        </w:rPr>
        <w:t xml:space="preserve"> statistically significant</w:t>
      </w:r>
      <w:r w:rsidR="003D2C67" w:rsidRPr="003D2C67">
        <w:rPr>
          <w:rFonts w:asciiTheme="majorHAnsi" w:hAnsiTheme="majorHAnsi"/>
          <w:sz w:val="24"/>
          <w:szCs w:val="24"/>
        </w:rPr>
        <w:t xml:space="preserve"> preferential administration of ei</w:t>
      </w:r>
      <w:r w:rsidR="003D2C67">
        <w:rPr>
          <w:rFonts w:asciiTheme="majorHAnsi" w:hAnsiTheme="majorHAnsi"/>
          <w:sz w:val="24"/>
          <w:szCs w:val="24"/>
        </w:rPr>
        <w:t xml:space="preserve">ther </w:t>
      </w:r>
      <w:r w:rsidR="005D391D">
        <w:rPr>
          <w:rFonts w:asciiTheme="majorHAnsi" w:hAnsiTheme="majorHAnsi"/>
          <w:sz w:val="24"/>
          <w:szCs w:val="24"/>
        </w:rPr>
        <w:t>intervention</w:t>
      </w:r>
      <w:r w:rsidR="00C468EE">
        <w:rPr>
          <w:rFonts w:asciiTheme="majorHAnsi" w:hAnsiTheme="majorHAnsi"/>
          <w:sz w:val="24"/>
          <w:szCs w:val="24"/>
        </w:rPr>
        <w:t xml:space="preserve">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 xml:space="preserve">tile did not change </w:t>
      </w:r>
      <w:r w:rsidR="003442B9">
        <w:rPr>
          <w:rFonts w:asciiTheme="majorHAnsi" w:hAnsiTheme="majorHAnsi"/>
          <w:sz w:val="24"/>
          <w:szCs w:val="24"/>
        </w:rPr>
        <w:t xml:space="preserve">the interpretation of </w:t>
      </w:r>
      <w:r w:rsidR="003D2C67" w:rsidRPr="003D2C67">
        <w:rPr>
          <w:rFonts w:asciiTheme="majorHAnsi" w:hAnsiTheme="majorHAnsi"/>
          <w:sz w:val="24"/>
          <w:szCs w:val="24"/>
        </w:rPr>
        <w:t>our results.</w:t>
      </w:r>
    </w:p>
    <w:p w14:paraId="7F2F5B29" w14:textId="4A49FC64"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00A844AE">
        <w:rPr>
          <w:rFonts w:asciiTheme="majorHAnsi" w:hAnsiTheme="majorHAnsi"/>
          <w:sz w:val="24"/>
          <w:szCs w:val="24"/>
        </w:rPr>
        <w:t xml:space="preserve"> (OR: 0.34</w:t>
      </w:r>
      <w:r w:rsidRPr="00202E31">
        <w:rPr>
          <w:rFonts w:asciiTheme="majorHAnsi" w:hAnsiTheme="majorHAnsi"/>
          <w:sz w:val="24"/>
          <w:szCs w:val="24"/>
        </w:rPr>
        <w:t>, 95% CI: 0.14, 0.83).</w:t>
      </w:r>
    </w:p>
    <w:p w14:paraId="56C93E23" w14:textId="3125E745"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w:t>
      </w:r>
      <w:r w:rsidR="00526F35">
        <w:rPr>
          <w:rFonts w:asciiTheme="majorHAnsi" w:hAnsiTheme="majorHAnsi"/>
          <w:sz w:val="24"/>
          <w:szCs w:val="24"/>
        </w:rPr>
        <w:t xml:space="preserve"> </w:t>
      </w:r>
      <w:r>
        <w:rPr>
          <w:rFonts w:asciiTheme="majorHAnsi" w:hAnsiTheme="majorHAnsi"/>
          <w:sz w:val="24"/>
          <w:szCs w:val="24"/>
        </w:rPr>
        <w:t>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6% of 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w:t>
      </w:r>
      <w:r w:rsidR="000B4C5A">
        <w:rPr>
          <w:rFonts w:asciiTheme="majorHAnsi" w:hAnsiTheme="majorHAnsi"/>
          <w:sz w:val="24"/>
          <w:szCs w:val="24"/>
        </w:rPr>
        <w:lastRenderedPageBreak/>
        <w:t>households</w:t>
      </w:r>
      <w:r w:rsidR="00713946">
        <w:rPr>
          <w:rFonts w:asciiTheme="majorHAnsi" w:hAnsiTheme="majorHAnsi"/>
          <w:sz w:val="24"/>
          <w:szCs w:val="24"/>
        </w:rPr>
        <w:t>. This result is in contrast to the epidemic-prone site where we found evidence of preferential administration of both LLINs and IRS (despite the relatively low occurrence of IRS).</w:t>
      </w:r>
      <w:r w:rsidR="00526F35">
        <w:rPr>
          <w:rFonts w:asciiTheme="majorHAnsi" w:hAnsiTheme="majorHAnsi"/>
          <w:sz w:val="24"/>
          <w:szCs w:val="24"/>
        </w:rPr>
        <w:t xml:space="preserve"> </w:t>
      </w:r>
    </w:p>
    <w:p w14:paraId="0161A381" w14:textId="28CEDEBD"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D6479">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w:t>
      </w:r>
      <w:r w:rsidR="00526F35">
        <w:rPr>
          <w:rFonts w:asciiTheme="majorHAnsi" w:hAnsiTheme="majorHAnsi"/>
          <w:sz w:val="24"/>
          <w:szCs w:val="24"/>
        </w:rPr>
        <w:t xml:space="preserve"> </w:t>
      </w:r>
      <w:r w:rsidR="00A642ED">
        <w:rPr>
          <w:rFonts w:asciiTheme="majorHAnsi" w:hAnsiTheme="majorHAnsi"/>
          <w:sz w:val="24"/>
          <w:szCs w:val="24"/>
        </w:rPr>
        <w:t>For large scale applications of TWI comparing households in different topographical regions care should be taken to account for terrain differences.</w:t>
      </w:r>
    </w:p>
    <w:p w14:paraId="19CA36BA" w14:textId="60F02821" w:rsidR="00CC725D" w:rsidRPr="005B1BBC" w:rsidRDefault="00526F35"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w:t>
      </w:r>
      <w:r>
        <w:rPr>
          <w:rFonts w:asciiTheme="majorHAnsi" w:hAnsiTheme="majorHAnsi"/>
          <w:sz w:val="24"/>
          <w:szCs w:val="24"/>
        </w:rPr>
        <w:t xml:space="preserve"> </w:t>
      </w:r>
      <w:r w:rsidR="00D53072">
        <w:rPr>
          <w:rFonts w:asciiTheme="majorHAnsi" w:hAnsiTheme="majorHAnsi"/>
          <w:sz w:val="24"/>
          <w:szCs w:val="24"/>
        </w:rPr>
        <w:t>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w:t>
      </w:r>
      <w:r>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D6479">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lastRenderedPageBreak/>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Schantz-Dunn J, Nour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r w:rsidRPr="00F0198F">
        <w:rPr>
          <w:rFonts w:asciiTheme="majorHAnsi" w:hAnsiTheme="majorHAnsi"/>
          <w:sz w:val="24"/>
          <w:szCs w:val="24"/>
        </w:rPr>
        <w:t>;2(3):186-192.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.nmcp.or .ke</w:t>
      </w:r>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Bousema T, Griffin JT, Sauerwein RW, Smith DL, Churcher TS, et al. 2012. Hitting Hotspots: Spatial Targeting of Malaria for Control and Elimination. PLoS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r w:rsidR="009E5A16" w:rsidRPr="005A66B7">
        <w:rPr>
          <w:rFonts w:asciiTheme="majorHAnsi" w:hAnsiTheme="majorHAnsi"/>
          <w:sz w:val="24"/>
          <w:szCs w:val="24"/>
        </w:rPr>
        <w:t>Linblade</w:t>
      </w:r>
      <w:r w:rsidR="00A158E8">
        <w:rPr>
          <w:rFonts w:asciiTheme="majorHAnsi" w:hAnsiTheme="majorHAnsi"/>
          <w:sz w:val="24"/>
          <w:szCs w:val="24"/>
        </w:rPr>
        <w:t xml:space="preserve"> KA</w:t>
      </w:r>
      <w:r w:rsidR="009E5A16" w:rsidRPr="005A66B7">
        <w:rPr>
          <w:rFonts w:asciiTheme="majorHAnsi" w:hAnsiTheme="majorHAnsi"/>
          <w:sz w:val="24"/>
          <w:szCs w:val="24"/>
        </w:rPr>
        <w:t>, Vulule</w:t>
      </w:r>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with  household-level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r w:rsidR="009E5A16" w:rsidRPr="005A66B7">
        <w:rPr>
          <w:rFonts w:asciiTheme="majorHAnsi" w:hAnsiTheme="majorHAnsi"/>
          <w:sz w:val="24"/>
          <w:szCs w:val="24"/>
        </w:rPr>
        <w:t>Linblade</w:t>
      </w:r>
      <w:r>
        <w:rPr>
          <w:rFonts w:asciiTheme="majorHAnsi" w:hAnsiTheme="majorHAnsi"/>
          <w:sz w:val="24"/>
          <w:szCs w:val="24"/>
        </w:rPr>
        <w:t xml:space="preserve"> KA, </w:t>
      </w:r>
      <w:r w:rsidR="009E5A16" w:rsidRPr="005A66B7">
        <w:rPr>
          <w:rFonts w:asciiTheme="majorHAnsi" w:hAnsiTheme="majorHAnsi"/>
          <w:sz w:val="24"/>
          <w:szCs w:val="24"/>
        </w:rPr>
        <w:t>Vulule</w:t>
      </w:r>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 xml:space="preserve">RW,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and Newbold</w:t>
      </w:r>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Snow RW, Craig M, Deichmann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8"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9"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VanDerWal J, Lorena F, Januchowski S, Shoo L, Storlie C, 2014. SDMTools: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Hijmans RJ, 2015. raster: Geographic data analysis and modeling. R package version 2.3-24. </w:t>
      </w:r>
      <w:hyperlink r:id="rId10"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r w:rsidRPr="00810140">
        <w:rPr>
          <w:rFonts w:asciiTheme="majorHAnsi" w:hAnsiTheme="majorHAnsi"/>
          <w:sz w:val="24"/>
          <w:szCs w:val="24"/>
        </w:rPr>
        <w:t>Zinko</w:t>
      </w:r>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Sovannaroth S, Dy Soley L, Ngor P, Mellor S, Roca-Feltrer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13:371. doi: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51F9C385"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1.33 (0.93, 1.90</w:t>
            </w:r>
            <w:r w:rsidR="00530BCB"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69FDBDE4"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1.10 (0.59, 2.03</w:t>
            </w:r>
            <w:r w:rsidR="00530BCB" w:rsidRPr="00445293">
              <w:rPr>
                <w:rFonts w:ascii="Calibri" w:eastAsia="Times New Roman" w:hAnsi="Calibri" w:cs="Calibri"/>
                <w:color w:val="000000"/>
              </w:rPr>
              <w:t>)</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7A81DC1D"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1.21 (0.94, 1.55</w:t>
            </w:r>
            <w:r w:rsidR="00530BCB" w:rsidRPr="00445293">
              <w:rPr>
                <w:rFonts w:ascii="Calibri" w:eastAsia="Times New Roman" w:hAnsi="Calibri" w:cs="Calibri"/>
                <w:color w:val="000000"/>
              </w:rPr>
              <w:t xml:space="preserve">)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25F58C3"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(0.67, 1.74</w:t>
            </w:r>
            <w:r w:rsidR="00530BCB" w:rsidRPr="00445293">
              <w:rPr>
                <w:rFonts w:ascii="Calibri" w:eastAsia="Times New Roman" w:hAnsi="Calibri" w:cs="Calibri"/>
                <w:color w:val="000000"/>
              </w:rPr>
              <w:t>)</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06142ACE" w:rsidR="00530BCB" w:rsidRPr="00445293" w:rsidRDefault="00530BCB" w:rsidP="001E1F35">
            <w:pPr>
              <w:spacing w:after="0" w:line="240" w:lineRule="auto"/>
              <w:rPr>
                <w:rFonts w:ascii="Calibri" w:eastAsia="Times New Roman" w:hAnsi="Calibri" w:cs="Calibri"/>
                <w:color w:val="000000"/>
              </w:rPr>
            </w:pPr>
            <w:r w:rsidRPr="00445293">
              <w:rPr>
                <w:rFonts w:ascii="Calibri" w:eastAsia="Times New Roman" w:hAnsi="Calibri" w:cs="Calibri"/>
                <w:color w:val="000000"/>
              </w:rPr>
              <w:t>1.</w:t>
            </w:r>
            <w:r w:rsidR="001E1F35">
              <w:rPr>
                <w:rFonts w:ascii="Calibri" w:eastAsia="Times New Roman" w:hAnsi="Calibri" w:cs="Calibri"/>
                <w:color w:val="000000"/>
              </w:rPr>
              <w:t>45 (1.33, 1.59</w:t>
            </w:r>
            <w:r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5B1F6FF6"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1.22 (1.05, 1.42</w:t>
            </w:r>
            <w:r w:rsidR="00530BCB" w:rsidRPr="00445293">
              <w:rPr>
                <w:rFonts w:ascii="Calibri" w:eastAsia="Times New Roman" w:hAnsi="Calibri" w:cs="Calibri"/>
                <w:color w:val="000000"/>
              </w:rPr>
              <w:t>)</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6CFF7F2E"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1.36 (1.27, 1.4</w:t>
            </w:r>
            <w:r w:rsidR="00530BCB" w:rsidRPr="00445293">
              <w:rPr>
                <w:rFonts w:ascii="Calibri" w:eastAsia="Times New Roman" w:hAnsi="Calibri" w:cs="Calibri"/>
                <w:color w:val="000000"/>
              </w:rPr>
              <w:t>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F5C4AAA"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(0.96, 1.22</w:t>
            </w:r>
            <w:r w:rsidR="00530BCB" w:rsidRPr="00445293">
              <w:rPr>
                <w:rFonts w:ascii="Calibri" w:eastAsia="Times New Roman" w:hAnsi="Calibri" w:cs="Calibri"/>
                <w:color w:val="000000"/>
              </w:rPr>
              <w:t>)</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34974B03" w:rsidR="009E5DF8" w:rsidRDefault="00A844AE"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7C32C628" wp14:editId="61F2A455">
            <wp:extent cx="5729605" cy="5729605"/>
            <wp:effectExtent l="0" t="0" r="4445" b="4445"/>
            <wp:docPr id="1" name="Picture 1" descr="C:\Classes\AppliedBiostat\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572960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 2.  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A7C70" w14:textId="77777777" w:rsidR="00202C75" w:rsidRDefault="00202C75" w:rsidP="00512062">
      <w:pPr>
        <w:spacing w:after="0" w:line="240" w:lineRule="auto"/>
      </w:pPr>
      <w:r>
        <w:separator/>
      </w:r>
    </w:p>
  </w:endnote>
  <w:endnote w:type="continuationSeparator" w:id="0">
    <w:p w14:paraId="10FC7885" w14:textId="77777777" w:rsidR="00202C75" w:rsidRDefault="00202C75" w:rsidP="00512062">
      <w:pPr>
        <w:spacing w:after="0" w:line="240" w:lineRule="auto"/>
      </w:pPr>
      <w:r>
        <w:continuationSeparator/>
      </w:r>
    </w:p>
  </w:endnote>
  <w:endnote w:type="continuationNotice" w:id="1">
    <w:p w14:paraId="0EE687A1" w14:textId="77777777" w:rsidR="00202C75" w:rsidRDefault="00202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526F35">
          <w:rPr>
            <w:noProof/>
          </w:rPr>
          <w:t>6</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92767" w14:textId="77777777" w:rsidR="00202C75" w:rsidRDefault="00202C75" w:rsidP="00512062">
      <w:pPr>
        <w:spacing w:after="0" w:line="240" w:lineRule="auto"/>
      </w:pPr>
      <w:r>
        <w:separator/>
      </w:r>
    </w:p>
  </w:footnote>
  <w:footnote w:type="continuationSeparator" w:id="0">
    <w:p w14:paraId="2B098F0C" w14:textId="77777777" w:rsidR="00202C75" w:rsidRDefault="00202C75" w:rsidP="00512062">
      <w:pPr>
        <w:spacing w:after="0" w:line="240" w:lineRule="auto"/>
      </w:pPr>
      <w:r>
        <w:continuationSeparator/>
      </w:r>
    </w:p>
  </w:footnote>
  <w:footnote w:type="continuationNotice" w:id="1">
    <w:p w14:paraId="2167C185" w14:textId="77777777" w:rsidR="00202C75" w:rsidRDefault="00202C75">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62"/>
    <w:rsid w:val="000015C5"/>
    <w:rsid w:val="000210AA"/>
    <w:rsid w:val="00024844"/>
    <w:rsid w:val="000313FC"/>
    <w:rsid w:val="00032931"/>
    <w:rsid w:val="00041389"/>
    <w:rsid w:val="00042631"/>
    <w:rsid w:val="00053AC4"/>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1F35"/>
    <w:rsid w:val="001E20D3"/>
    <w:rsid w:val="001E737D"/>
    <w:rsid w:val="00202C75"/>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1909"/>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07E52"/>
    <w:rsid w:val="00314FC9"/>
    <w:rsid w:val="00316B74"/>
    <w:rsid w:val="003243DB"/>
    <w:rsid w:val="00327D79"/>
    <w:rsid w:val="003310F8"/>
    <w:rsid w:val="003316D9"/>
    <w:rsid w:val="003375AB"/>
    <w:rsid w:val="003442B9"/>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26F35"/>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D391D"/>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43CAA"/>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5454"/>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D6479"/>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844AE"/>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0A0C"/>
    <w:rsid w:val="00CD29DB"/>
    <w:rsid w:val="00CD2FCB"/>
    <w:rsid w:val="00CD7FA3"/>
    <w:rsid w:val="00CE6D41"/>
    <w:rsid w:val="00CF5066"/>
    <w:rsid w:val="00D04CBE"/>
    <w:rsid w:val="00D10A50"/>
    <w:rsid w:val="00D20E31"/>
    <w:rsid w:val="00D260BB"/>
    <w:rsid w:val="00D32C38"/>
    <w:rsid w:val="00D42BB9"/>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DF32B6"/>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5B9"/>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74CC9"/>
    <w:rsid w:val="00F9083C"/>
    <w:rsid w:val="00F9243B"/>
    <w:rsid w:val="00F9287E"/>
    <w:rsid w:val="00F93E9B"/>
    <w:rsid w:val="00FA1090"/>
    <w:rsid w:val="00FA4D27"/>
    <w:rsid w:val="00FB1C9D"/>
    <w:rsid w:val="00FB59E3"/>
    <w:rsid w:val="00FC144C"/>
    <w:rsid w:val="00FC1CD6"/>
    <w:rsid w:val="00FC237C"/>
    <w:rsid w:val="00FC3700"/>
    <w:rsid w:val="00FC37E8"/>
    <w:rsid w:val="00FD17CC"/>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15:docId w15:val="{21DC199D-008A-4149-9A10-B78C29C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pdaac.usgs.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AN.R-project.org/package=raster" TargetMode="External"/><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2B0B0-6DD9-4F81-A911-4F86D491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Dominic</cp:lastModifiedBy>
  <cp:revision>2</cp:revision>
  <dcterms:created xsi:type="dcterms:W3CDTF">2015-04-28T20:53:00Z</dcterms:created>
  <dcterms:modified xsi:type="dcterms:W3CDTF">2015-04-28T20:53:00Z</dcterms:modified>
</cp:coreProperties>
</file>