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Biostat</w:t>
      </w:r>
      <w:r>
        <w:t xml:space="preserve"> </w:t>
      </w:r>
      <w:r>
        <w:t xml:space="preserve">Project</w:t>
      </w:r>
    </w:p>
    <w:p>
      <w:pPr>
        <w:pStyle w:val="Authors"/>
      </w:pPr>
      <w:r>
        <w:t xml:space="preserve">DominicLaRoche</w:t>
      </w:r>
    </w:p>
    <w:p>
      <w:pPr>
        <w:pStyle w:val="Date"/>
      </w:pPr>
      <w:r>
        <w:t xml:space="preserve">Monday,</w:t>
      </w:r>
      <w:r>
        <w:t xml:space="preserve"> </w:t>
      </w:r>
      <w:r>
        <w:t xml:space="preserve">September</w:t>
      </w:r>
      <w:r>
        <w:t xml:space="preserve"> </w:t>
      </w:r>
      <w:r>
        <w:t xml:space="preserve">08,</w:t>
      </w:r>
      <w:r>
        <w:t xml:space="preserve"> </w:t>
      </w:r>
      <w:r>
        <w:t xml:space="preserve">2014</w:t>
      </w:r>
    </w:p>
    <w:p>
      <w:r>
        <w:rPr>
          <w:b/>
        </w:rPr>
        <w:t xml:space="preserve">Project:</w:t>
      </w:r>
      <w:r>
        <w:t xml:space="preserve"> </w:t>
      </w:r>
      <w:r>
        <w:t xml:space="preserve">Are people at high risk for for poor outcomes from malaria infection being targeted for profalactic measures in Kenya?</w:t>
      </w:r>
    </w:p>
    <w:p>
      <w:r>
        <w:rPr>
          <w:b/>
        </w:rPr>
        <w:t xml:space="preserve">PI:</w:t>
      </w:r>
      <w:r>
        <w:t xml:space="preserve"> </w:t>
      </w:r>
      <w:r>
        <w:t xml:space="preserve">Dr. Kacey Earnst</w:t>
      </w:r>
    </w:p>
    <w:p>
      <w:r>
        <w:rPr>
          <w:b/>
        </w:rPr>
        <w:t xml:space="preserve">Statistician</w:t>
      </w:r>
      <w:r>
        <w:t xml:space="preserve"> </w:t>
      </w:r>
      <w:r>
        <w:t xml:space="preserve">Dominic D. LaRoche</w:t>
      </w:r>
    </w:p>
    <w:p>
      <w:r>
        <w:rPr>
          <w:b/>
        </w:rPr>
        <w:t xml:space="preserve">Date:</w:t>
      </w:r>
      <w:r>
        <w:t xml:space="preserve"> </w:t>
      </w:r>
      <w:r>
        <w:t xml:space="preserve">05 November, 2014</w:t>
      </w:r>
    </w:p>
    <w:p>
      <w:r>
        <w:rPr>
          <w:b/>
        </w:rPr>
        <w:t xml:space="preserve">Version:</w:t>
      </w:r>
      <w:r>
        <w:t xml:space="preserve"> </w:t>
      </w:r>
      <w:r>
        <w:t xml:space="preserve">1</w:t>
      </w:r>
    </w:p>
    <w:bookmarkStart w:id="21" w:name="introduction"/>
    <w:p>
      <w:pPr>
        <w:pStyle w:val="Heading1"/>
      </w:pPr>
      <w:r>
        <w:t xml:space="preserve">Introduction</w:t>
      </w:r>
    </w:p>
    <w:bookmarkEnd w:id="21"/>
    <w:p>
      <w:r>
        <w:t xml:space="preserve">Mosquitoes are a problematic transmission vector for a number of infectious diseases in tropical and sub-tropical regions throughout the globe. These diseases, such as malaria, can be particularly deadly for vulnerable populations with restricted access to healthcare. Several promising methods for mitigating the risk of infection from mosquitoes have been deployed in recent years in high risk areas. One popular mitigation tool is the use of bed nets which reduce the number of encounters with mosquitoes and the diseases they harbor. Another method for reducing the risk of mosquito born illnesses is the use of aerial pesticides to reduce the local mosquito population. Both of these methods have been employed in Kenya in recent years.</w:t>
      </w:r>
    </w:p>
    <w:p>
      <w:r>
        <w:t xml:space="preserve">Both bed nets and aerial spraying take time and money to deploy. Therefore, it is critical that treatments are first applied to populations at the highest risk of poor outcome from exposure to mosquitoes and only later applied to populations with low risk of poor outcome from exposure. Some measures have been taken to ensure at risk populaitons receive priority when admisitering treatment such as distributing bed nets to pregnant women or spraying households at high risk for mosquitoe encounters. However, it is unclear whether these measures are adequate in prioritizing mitigation for at risk populations. The purpose of this study is to determine whether individuals with the highest risk of poor outcome from exposure are more likely to receive a mitigating treatment.</w:t>
      </w:r>
    </w:p>
    <w:bookmarkStart w:id="22" w:name="data-description"/>
    <w:p>
      <w:pPr>
        <w:pStyle w:val="Heading1"/>
      </w:pPr>
      <w:r>
        <w:t xml:space="preserve">Data Description</w:t>
      </w:r>
    </w:p>
    <w:bookmarkEnd w:id="22"/>
    <w:bookmarkStart w:id="23" w:name="house-hold-data"/>
    <w:p>
      <w:pPr>
        <w:pStyle w:val="Heading2"/>
      </w:pPr>
      <w:r>
        <w:t xml:space="preserve">House Hold Data</w:t>
      </w:r>
    </w:p>
    <w:bookmarkEnd w:id="23"/>
    <w:p>
      <w:r>
        <w:t xml:space="preserve">The data are composed of 3,984 households at two sites in Kenya. These two sites represent high elevation and low elevation populations. Both sites have had partial treatment with both bed nets and aerial spraying. The high site has more prevalent bed net usage whereas the low site has more prevalent aerial spraying (figs. 2-5). Each occupant of the 3,984 households was interviewed about bed-net usage and household spraying for a total of 17,823 interviews. Additional information for each participant was also collected such as age, sex, and relation to the head of the household.</w:t>
      </w:r>
    </w:p>
    <w:tbl>
      <w:tblPr>
        <w:tblStyle w:val="TableNormal"/>
      </w:tblPr>
      <w:tblGrid/>
      <w:tr>
        <w:tc>
          <w:tcPr>
            <w:tcBorders>
              <w:bottom w:val="single"/>
            </w:tcBorders>
            <w:vAlign w:val="bottom"/>
          </w:tcPr>
          <w:p/>
        </w:tc>
        <w:tc>
          <w:tcPr>
            <w:tcBorders>
              <w:bottom w:val="single"/>
            </w:tcBorders>
            <w:vAlign w:val="bottom"/>
          </w:tcPr>
          <w:p/>
        </w:tc>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No %</w:t>
            </w:r>
          </w:p>
        </w:tc>
        <w:tc>
          <w:tcPr>
            <w:tcBorders>
              <w:bottom w:val="single"/>
            </w:tcBorders>
            <w:vAlign w:val="bottom"/>
          </w:tcPr>
          <w:p>
            <w:pPr>
              <w:pStyle w:val="Compact"/>
              <w:jc w:val="center"/>
            </w:pPr>
            <w:r>
              <w:t xml:space="preserve">Yes</w:t>
            </w:r>
          </w:p>
        </w:tc>
        <w:tc>
          <w:tcPr>
            <w:tcBorders>
              <w:bottom w:val="single"/>
            </w:tcBorders>
            <w:vAlign w:val="bottom"/>
          </w:tcPr>
          <w:p>
            <w:pPr>
              <w:pStyle w:val="Compact"/>
              <w:jc w:val="center"/>
            </w:pPr>
            <w:r>
              <w:t xml:space="preserve">Yes %</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Total %</w:t>
            </w:r>
          </w:p>
        </w:tc>
      </w:tr>
      <w:tr>
        <w:tc>
          <w:p>
            <w:pPr>
              <w:pStyle w:val="Compact"/>
              <w:jc w:val="center"/>
            </w:pPr>
            <w:r>
              <w:t xml:space="preserve">Variable</w:t>
            </w:r>
          </w:p>
        </w:tc>
        <w:tc>
          <w:p>
            <w:pPr>
              <w:pStyle w:val="Compact"/>
              <w:jc w:val="center"/>
            </w:pPr>
            <w:r>
              <w:t xml:space="preserve">Categories</w:t>
            </w:r>
          </w:p>
        </w:tc>
        <w:tc>
          <w:p>
            <w:pPr>
              <w:pStyle w:val="Compact"/>
              <w:jc w:val="center"/>
            </w:pPr>
            <w:r>
              <w:t xml:space="preserve">N</w:t>
            </w:r>
          </w:p>
        </w:tc>
        <w:tc>
          <w:p>
            <w:pPr>
              <w:pStyle w:val="Compact"/>
              <w:jc w:val="center"/>
            </w:pPr>
            <w:r>
              <w:t xml:space="preserve">%</w:t>
            </w:r>
          </w:p>
        </w:tc>
        <w:tc>
          <w:p>
            <w:pPr>
              <w:pStyle w:val="Compact"/>
              <w:jc w:val="center"/>
            </w:pPr>
            <w:r>
              <w:t xml:space="preserve">N</w:t>
            </w:r>
          </w:p>
        </w:tc>
        <w:tc>
          <w:p>
            <w:pPr>
              <w:pStyle w:val="Compact"/>
              <w:jc w:val="center"/>
            </w:pPr>
            <w:r>
              <w:t xml:space="preserve">%</w:t>
            </w:r>
          </w:p>
        </w:tc>
        <w:tc>
          <w:p>
            <w:pPr>
              <w:pStyle w:val="Compact"/>
              <w:jc w:val="center"/>
            </w:pPr>
            <w:r>
              <w:t xml:space="preserve">N</w:t>
            </w:r>
          </w:p>
        </w:tc>
        <w:tc>
          <w:p>
            <w:pPr>
              <w:pStyle w:val="Compact"/>
              <w:jc w:val="center"/>
            </w:pPr>
            <w:r>
              <w:t xml:space="preserve">%</w:t>
            </w:r>
          </w:p>
        </w:tc>
      </w:tr>
      <w:tr>
        <w:tc>
          <w:p>
            <w:pPr>
              <w:pStyle w:val="Compact"/>
              <w:jc w:val="center"/>
            </w:pPr>
            <w:r>
              <w:t xml:space="preserve">Under 5</w:t>
            </w:r>
          </w:p>
        </w:tc>
        <w:tc>
          <w:p>
            <w:pPr>
              <w:pStyle w:val="Compact"/>
              <w:jc w:val="center"/>
            </w:pPr>
            <w:r>
              <w:t xml:space="preserve">No</w:t>
            </w:r>
          </w:p>
        </w:tc>
        <w:tc>
          <w:p>
            <w:pPr>
              <w:pStyle w:val="Compact"/>
              <w:jc w:val="center"/>
            </w:pPr>
            <w:r>
              <w:t xml:space="preserve">1619</w:t>
            </w:r>
          </w:p>
        </w:tc>
        <w:tc>
          <w:p>
            <w:pPr>
              <w:pStyle w:val="Compact"/>
              <w:jc w:val="center"/>
            </w:pPr>
            <w:r>
              <w:t xml:space="preserve">58.4%</w:t>
            </w:r>
          </w:p>
        </w:tc>
        <w:tc>
          <w:p>
            <w:pPr>
              <w:pStyle w:val="Compact"/>
              <w:jc w:val="center"/>
            </w:pPr>
            <w:r>
              <w:t xml:space="preserve">589</w:t>
            </w:r>
          </w:p>
        </w:tc>
        <w:tc>
          <w:p>
            <w:pPr>
              <w:pStyle w:val="Compact"/>
              <w:jc w:val="center"/>
            </w:pPr>
            <w:r>
              <w:t xml:space="preserve">48.5%</w:t>
            </w:r>
          </w:p>
        </w:tc>
        <w:tc>
          <w:p>
            <w:pPr>
              <w:pStyle w:val="Compact"/>
              <w:jc w:val="center"/>
            </w:pPr>
            <w:r>
              <w:t xml:space="preserve">2208</w:t>
            </w:r>
          </w:p>
        </w:tc>
        <w:tc>
          <w:p>
            <w:pPr>
              <w:pStyle w:val="Compact"/>
              <w:jc w:val="center"/>
            </w:pPr>
            <w:r>
              <w:t xml:space="preserve">55.4%</w:t>
            </w:r>
          </w:p>
        </w:tc>
      </w:tr>
      <w:tr>
        <w:tc>
          <w:p/>
        </w:tc>
        <w:tc>
          <w:p>
            <w:pPr>
              <w:pStyle w:val="Compact"/>
              <w:jc w:val="center"/>
            </w:pPr>
            <w:r>
              <w:t xml:space="preserve">Yes</w:t>
            </w:r>
          </w:p>
        </w:tc>
        <w:tc>
          <w:p>
            <w:pPr>
              <w:pStyle w:val="Compact"/>
              <w:jc w:val="center"/>
            </w:pPr>
            <w:r>
              <w:t xml:space="preserve">1151</w:t>
            </w:r>
          </w:p>
        </w:tc>
        <w:tc>
          <w:p>
            <w:pPr>
              <w:pStyle w:val="Compact"/>
              <w:jc w:val="center"/>
            </w:pPr>
            <w:r>
              <w:t xml:space="preserve">41.6%</w:t>
            </w:r>
          </w:p>
        </w:tc>
        <w:tc>
          <w:p>
            <w:pPr>
              <w:pStyle w:val="Compact"/>
              <w:jc w:val="center"/>
            </w:pPr>
            <w:r>
              <w:t xml:space="preserve">625</w:t>
            </w:r>
          </w:p>
        </w:tc>
        <w:tc>
          <w:p>
            <w:pPr>
              <w:pStyle w:val="Compact"/>
              <w:jc w:val="center"/>
            </w:pPr>
            <w:r>
              <w:t xml:space="preserve">51.5%</w:t>
            </w:r>
          </w:p>
        </w:tc>
        <w:tc>
          <w:p>
            <w:pPr>
              <w:pStyle w:val="Compact"/>
              <w:jc w:val="center"/>
            </w:pPr>
            <w:r>
              <w:t xml:space="preserve">1776</w:t>
            </w:r>
          </w:p>
        </w:tc>
        <w:tc>
          <w:p>
            <w:pPr>
              <w:pStyle w:val="Compact"/>
              <w:jc w:val="center"/>
            </w:pPr>
            <w:r>
              <w:t xml:space="preserve">44.6%</w:t>
            </w:r>
          </w:p>
        </w:tc>
      </w:tr>
      <w:tr>
        <w:tc>
          <w:p/>
        </w:tc>
        <w:tc>
          <w:p/>
        </w:tc>
        <w:tc>
          <w:p/>
        </w:tc>
        <w:tc>
          <w:p/>
        </w:tc>
        <w:tc>
          <w:p/>
        </w:tc>
        <w:tc>
          <w:p/>
        </w:tc>
        <w:tc>
          <w:p/>
        </w:tc>
        <w:tc>
          <w:p/>
        </w:tc>
      </w:tr>
      <w:tr>
        <w:tc>
          <w:p>
            <w:pPr>
              <w:pStyle w:val="Compact"/>
              <w:jc w:val="center"/>
            </w:pPr>
            <w:r>
              <w:t xml:space="preserve">Under 1</w:t>
            </w:r>
          </w:p>
        </w:tc>
        <w:tc>
          <w:p>
            <w:pPr>
              <w:pStyle w:val="Compact"/>
              <w:jc w:val="center"/>
            </w:pPr>
            <w:r>
              <w:t xml:space="preserve">No</w:t>
            </w:r>
          </w:p>
        </w:tc>
        <w:tc>
          <w:p>
            <w:pPr>
              <w:pStyle w:val="Compact"/>
              <w:jc w:val="center"/>
            </w:pPr>
            <w:r>
              <w:t xml:space="preserve">2565</w:t>
            </w:r>
          </w:p>
        </w:tc>
        <w:tc>
          <w:p>
            <w:pPr>
              <w:pStyle w:val="Compact"/>
              <w:jc w:val="center"/>
            </w:pPr>
            <w:r>
              <w:t xml:space="preserve">92.6%</w:t>
            </w:r>
          </w:p>
        </w:tc>
        <w:tc>
          <w:p>
            <w:pPr>
              <w:pStyle w:val="Compact"/>
              <w:jc w:val="center"/>
            </w:pPr>
            <w:r>
              <w:t xml:space="preserve">1000</w:t>
            </w:r>
          </w:p>
        </w:tc>
        <w:tc>
          <w:p>
            <w:pPr>
              <w:pStyle w:val="Compact"/>
              <w:jc w:val="center"/>
            </w:pPr>
            <w:r>
              <w:t xml:space="preserve">82.4%</w:t>
            </w:r>
          </w:p>
        </w:tc>
        <w:tc>
          <w:p>
            <w:pPr>
              <w:pStyle w:val="Compact"/>
              <w:jc w:val="center"/>
            </w:pPr>
            <w:r>
              <w:t xml:space="preserve">3565</w:t>
            </w:r>
          </w:p>
        </w:tc>
        <w:tc>
          <w:p>
            <w:pPr>
              <w:pStyle w:val="Compact"/>
              <w:jc w:val="center"/>
            </w:pPr>
            <w:r>
              <w:t xml:space="preserve">89.5%</w:t>
            </w:r>
          </w:p>
        </w:tc>
      </w:tr>
      <w:tr>
        <w:tc>
          <w:p/>
        </w:tc>
        <w:tc>
          <w:p>
            <w:pPr>
              <w:pStyle w:val="Compact"/>
              <w:jc w:val="center"/>
            </w:pPr>
            <w:r>
              <w:t xml:space="preserve">Yes</w:t>
            </w:r>
          </w:p>
        </w:tc>
        <w:tc>
          <w:p>
            <w:pPr>
              <w:pStyle w:val="Compact"/>
              <w:jc w:val="center"/>
            </w:pPr>
            <w:r>
              <w:t xml:space="preserve">205</w:t>
            </w:r>
          </w:p>
        </w:tc>
        <w:tc>
          <w:p>
            <w:pPr>
              <w:pStyle w:val="Compact"/>
              <w:jc w:val="center"/>
            </w:pPr>
            <w:r>
              <w:t xml:space="preserve">7.4%</w:t>
            </w:r>
          </w:p>
        </w:tc>
        <w:tc>
          <w:p>
            <w:pPr>
              <w:pStyle w:val="Compact"/>
              <w:jc w:val="center"/>
            </w:pPr>
            <w:r>
              <w:t xml:space="preserve">214</w:t>
            </w:r>
          </w:p>
        </w:tc>
        <w:tc>
          <w:p>
            <w:pPr>
              <w:pStyle w:val="Compact"/>
              <w:jc w:val="center"/>
            </w:pPr>
            <w:r>
              <w:t xml:space="preserve">17.6%</w:t>
            </w:r>
          </w:p>
        </w:tc>
        <w:tc>
          <w:p>
            <w:pPr>
              <w:pStyle w:val="Compact"/>
              <w:jc w:val="center"/>
            </w:pPr>
            <w:r>
              <w:t xml:space="preserve">419</w:t>
            </w:r>
          </w:p>
        </w:tc>
        <w:tc>
          <w:p>
            <w:pPr>
              <w:pStyle w:val="Compact"/>
              <w:jc w:val="center"/>
            </w:pPr>
            <w:r>
              <w:t xml:space="preserve">10.5%</w:t>
            </w:r>
          </w:p>
        </w:tc>
      </w:tr>
      <w:tr>
        <w:tc>
          <w:p/>
        </w:tc>
        <w:tc>
          <w:p/>
        </w:tc>
        <w:tc>
          <w:p/>
        </w:tc>
        <w:tc>
          <w:p/>
        </w:tc>
        <w:tc>
          <w:p/>
        </w:tc>
        <w:tc>
          <w:p/>
        </w:tc>
        <w:tc>
          <w:p/>
        </w:tc>
        <w:tc>
          <w:p/>
        </w:tc>
      </w:tr>
      <w:tr>
        <w:tc>
          <w:p>
            <w:pPr>
              <w:pStyle w:val="Compact"/>
              <w:jc w:val="center"/>
            </w:pPr>
            <w:r>
              <w:t xml:space="preserve">Under 18</w:t>
            </w:r>
          </w:p>
        </w:tc>
        <w:tc>
          <w:p>
            <w:pPr>
              <w:pStyle w:val="Compact"/>
              <w:jc w:val="center"/>
            </w:pPr>
            <w:r>
              <w:t xml:space="preserve">No</w:t>
            </w:r>
          </w:p>
        </w:tc>
        <w:tc>
          <w:p>
            <w:pPr>
              <w:pStyle w:val="Compact"/>
              <w:jc w:val="center"/>
            </w:pPr>
            <w:r>
              <w:t xml:space="preserve">667</w:t>
            </w:r>
          </w:p>
        </w:tc>
        <w:tc>
          <w:p>
            <w:pPr>
              <w:pStyle w:val="Compact"/>
              <w:jc w:val="center"/>
            </w:pPr>
            <w:r>
              <w:t xml:space="preserve">24.1%</w:t>
            </w:r>
          </w:p>
        </w:tc>
        <w:tc>
          <w:p>
            <w:pPr>
              <w:pStyle w:val="Compact"/>
              <w:jc w:val="center"/>
            </w:pPr>
            <w:r>
              <w:t xml:space="preserve">166</w:t>
            </w:r>
          </w:p>
        </w:tc>
        <w:tc>
          <w:p>
            <w:pPr>
              <w:pStyle w:val="Compact"/>
              <w:jc w:val="center"/>
            </w:pPr>
            <w:r>
              <w:t xml:space="preserve">13.7%</w:t>
            </w:r>
          </w:p>
        </w:tc>
        <w:tc>
          <w:p>
            <w:pPr>
              <w:pStyle w:val="Compact"/>
              <w:jc w:val="center"/>
            </w:pPr>
            <w:r>
              <w:t xml:space="preserve">833</w:t>
            </w:r>
          </w:p>
        </w:tc>
        <w:tc>
          <w:p>
            <w:pPr>
              <w:pStyle w:val="Compact"/>
              <w:jc w:val="center"/>
            </w:pPr>
            <w:r>
              <w:t xml:space="preserve">20.9%</w:t>
            </w:r>
          </w:p>
        </w:tc>
      </w:tr>
      <w:tr>
        <w:tc>
          <w:p/>
        </w:tc>
        <w:tc>
          <w:p>
            <w:pPr>
              <w:pStyle w:val="Compact"/>
              <w:jc w:val="center"/>
            </w:pPr>
            <w:r>
              <w:t xml:space="preserve">Yes</w:t>
            </w:r>
          </w:p>
        </w:tc>
        <w:tc>
          <w:p>
            <w:pPr>
              <w:pStyle w:val="Compact"/>
              <w:jc w:val="center"/>
            </w:pPr>
            <w:r>
              <w:t xml:space="preserve">2103</w:t>
            </w:r>
          </w:p>
        </w:tc>
        <w:tc>
          <w:p>
            <w:pPr>
              <w:pStyle w:val="Compact"/>
              <w:jc w:val="center"/>
            </w:pPr>
            <w:r>
              <w:t xml:space="preserve">75.9%</w:t>
            </w:r>
          </w:p>
        </w:tc>
        <w:tc>
          <w:p>
            <w:pPr>
              <w:pStyle w:val="Compact"/>
              <w:jc w:val="center"/>
            </w:pPr>
            <w:r>
              <w:t xml:space="preserve">1048</w:t>
            </w:r>
          </w:p>
        </w:tc>
        <w:tc>
          <w:p>
            <w:pPr>
              <w:pStyle w:val="Compact"/>
              <w:jc w:val="center"/>
            </w:pPr>
            <w:r>
              <w:t xml:space="preserve">86.3%</w:t>
            </w:r>
          </w:p>
        </w:tc>
        <w:tc>
          <w:p>
            <w:pPr>
              <w:pStyle w:val="Compact"/>
              <w:jc w:val="center"/>
            </w:pPr>
            <w:r>
              <w:t xml:space="preserve">3151</w:t>
            </w:r>
          </w:p>
        </w:tc>
        <w:tc>
          <w:p>
            <w:pPr>
              <w:pStyle w:val="Compact"/>
              <w:jc w:val="center"/>
            </w:pPr>
            <w:r>
              <w:t xml:space="preserve">79.1%</w:t>
            </w:r>
          </w:p>
        </w:tc>
      </w:tr>
      <w:tr>
        <w:tc>
          <w:p/>
        </w:tc>
        <w:tc>
          <w:p/>
        </w:tc>
        <w:tc>
          <w:p/>
        </w:tc>
        <w:tc>
          <w:p/>
        </w:tc>
        <w:tc>
          <w:p/>
        </w:tc>
        <w:tc>
          <w:p/>
        </w:tc>
        <w:tc>
          <w:p/>
        </w:tc>
        <w:tc>
          <w:p/>
        </w:tc>
      </w:tr>
      <w:tr>
        <w:tc>
          <w:p>
            <w:pPr>
              <w:pStyle w:val="Compact"/>
              <w:jc w:val="center"/>
            </w:pPr>
            <w:r>
              <w:t xml:space="preserve">Peripheral Family</w:t>
            </w:r>
          </w:p>
        </w:tc>
        <w:tc>
          <w:p>
            <w:pPr>
              <w:pStyle w:val="Compact"/>
              <w:jc w:val="center"/>
            </w:pPr>
            <w:r>
              <w:t xml:space="preserve">No</w:t>
            </w:r>
          </w:p>
        </w:tc>
        <w:tc>
          <w:p>
            <w:pPr>
              <w:pStyle w:val="Compact"/>
              <w:jc w:val="center"/>
            </w:pPr>
            <w:r>
              <w:t xml:space="preserve">2259</w:t>
            </w:r>
          </w:p>
        </w:tc>
        <w:tc>
          <w:p>
            <w:pPr>
              <w:pStyle w:val="Compact"/>
              <w:jc w:val="center"/>
            </w:pPr>
            <w:r>
              <w:t xml:space="preserve">81.6%</w:t>
            </w:r>
          </w:p>
        </w:tc>
        <w:tc>
          <w:p>
            <w:pPr>
              <w:pStyle w:val="Compact"/>
              <w:jc w:val="center"/>
            </w:pPr>
            <w:r>
              <w:t xml:space="preserve">1089</w:t>
            </w:r>
          </w:p>
        </w:tc>
        <w:tc>
          <w:p>
            <w:pPr>
              <w:pStyle w:val="Compact"/>
              <w:jc w:val="center"/>
            </w:pPr>
            <w:r>
              <w:t xml:space="preserve">89.7%</w:t>
            </w:r>
          </w:p>
        </w:tc>
        <w:tc>
          <w:p>
            <w:pPr>
              <w:pStyle w:val="Compact"/>
              <w:jc w:val="center"/>
            </w:pPr>
            <w:r>
              <w:t xml:space="preserve">3348</w:t>
            </w:r>
          </w:p>
        </w:tc>
        <w:tc>
          <w:p>
            <w:pPr>
              <w:pStyle w:val="Compact"/>
              <w:jc w:val="center"/>
            </w:pPr>
            <w:r>
              <w:t xml:space="preserve">84%</w:t>
            </w:r>
          </w:p>
        </w:tc>
      </w:tr>
      <w:tr>
        <w:tc>
          <w:p/>
        </w:tc>
        <w:tc>
          <w:p>
            <w:pPr>
              <w:pStyle w:val="Compact"/>
              <w:jc w:val="center"/>
            </w:pPr>
            <w:r>
              <w:t xml:space="preserve">Yes</w:t>
            </w:r>
          </w:p>
        </w:tc>
        <w:tc>
          <w:p>
            <w:pPr>
              <w:pStyle w:val="Compact"/>
              <w:jc w:val="center"/>
            </w:pPr>
            <w:r>
              <w:t xml:space="preserve">511</w:t>
            </w:r>
          </w:p>
        </w:tc>
        <w:tc>
          <w:p>
            <w:pPr>
              <w:pStyle w:val="Compact"/>
              <w:jc w:val="center"/>
            </w:pPr>
            <w:r>
              <w:t xml:space="preserve">18.4%</w:t>
            </w:r>
          </w:p>
        </w:tc>
        <w:tc>
          <w:p>
            <w:pPr>
              <w:pStyle w:val="Compact"/>
              <w:jc w:val="center"/>
            </w:pPr>
            <w:r>
              <w:t xml:space="preserve">125</w:t>
            </w:r>
          </w:p>
        </w:tc>
        <w:tc>
          <w:p>
            <w:pPr>
              <w:pStyle w:val="Compact"/>
              <w:jc w:val="center"/>
            </w:pPr>
            <w:r>
              <w:t xml:space="preserve">10.3%</w:t>
            </w:r>
          </w:p>
        </w:tc>
        <w:tc>
          <w:p>
            <w:pPr>
              <w:pStyle w:val="Compact"/>
              <w:jc w:val="center"/>
            </w:pPr>
            <w:r>
              <w:t xml:space="preserve">636</w:t>
            </w:r>
          </w:p>
        </w:tc>
        <w:tc>
          <w:p>
            <w:pPr>
              <w:pStyle w:val="Compact"/>
              <w:jc w:val="center"/>
            </w:pPr>
            <w:r>
              <w:t xml:space="preserve">16%</w:t>
            </w:r>
          </w:p>
        </w:tc>
      </w:tr>
      <w:tr>
        <w:tc>
          <w:p/>
        </w:tc>
        <w:tc>
          <w:p/>
        </w:tc>
        <w:tc>
          <w:p/>
        </w:tc>
        <w:tc>
          <w:p/>
        </w:tc>
        <w:tc>
          <w:p/>
        </w:tc>
        <w:tc>
          <w:p/>
        </w:tc>
        <w:tc>
          <w:p/>
        </w:tc>
        <w:tc>
          <w:p/>
        </w:tc>
      </w:tr>
      <w:tr>
        <w:tc>
          <w:p>
            <w:pPr>
              <w:pStyle w:val="Compact"/>
              <w:jc w:val="center"/>
            </w:pPr>
            <w:r>
              <w:t xml:space="preserve">House Sprayed</w:t>
            </w:r>
          </w:p>
        </w:tc>
        <w:tc>
          <w:p>
            <w:pPr>
              <w:pStyle w:val="Compact"/>
              <w:jc w:val="center"/>
            </w:pPr>
            <w:r>
              <w:t xml:space="preserve">No</w:t>
            </w:r>
          </w:p>
        </w:tc>
        <w:tc>
          <w:p>
            <w:pPr>
              <w:pStyle w:val="Compact"/>
              <w:jc w:val="center"/>
            </w:pPr>
            <w:r>
              <w:t xml:space="preserve">2626</w:t>
            </w:r>
          </w:p>
        </w:tc>
        <w:tc>
          <w:p>
            <w:pPr>
              <w:pStyle w:val="Compact"/>
              <w:jc w:val="center"/>
            </w:pPr>
            <w:r>
              <w:t xml:space="preserve">94.8%</w:t>
            </w:r>
          </w:p>
        </w:tc>
        <w:tc>
          <w:p>
            <w:pPr>
              <w:pStyle w:val="Compact"/>
              <w:jc w:val="center"/>
            </w:pPr>
            <w:r>
              <w:t xml:space="preserve">1093</w:t>
            </w:r>
          </w:p>
        </w:tc>
        <w:tc>
          <w:p>
            <w:pPr>
              <w:pStyle w:val="Compact"/>
              <w:jc w:val="center"/>
            </w:pPr>
            <w:r>
              <w:t xml:space="preserve">90%</w:t>
            </w:r>
          </w:p>
        </w:tc>
        <w:tc>
          <w:p>
            <w:pPr>
              <w:pStyle w:val="Compact"/>
              <w:jc w:val="center"/>
            </w:pPr>
            <w:r>
              <w:t xml:space="preserve">3719</w:t>
            </w:r>
          </w:p>
        </w:tc>
        <w:tc>
          <w:p>
            <w:pPr>
              <w:pStyle w:val="Compact"/>
              <w:jc w:val="center"/>
            </w:pPr>
            <w:r>
              <w:t xml:space="preserve">93.3%</w:t>
            </w:r>
          </w:p>
        </w:tc>
      </w:tr>
      <w:tr>
        <w:tc>
          <w:p/>
        </w:tc>
        <w:tc>
          <w:p>
            <w:pPr>
              <w:pStyle w:val="Compact"/>
              <w:jc w:val="center"/>
            </w:pPr>
            <w:r>
              <w:t xml:space="preserve">Yes</w:t>
            </w:r>
          </w:p>
        </w:tc>
        <w:tc>
          <w:p>
            <w:pPr>
              <w:pStyle w:val="Compact"/>
              <w:jc w:val="center"/>
            </w:pPr>
            <w:r>
              <w:t xml:space="preserve">143</w:t>
            </w:r>
          </w:p>
        </w:tc>
        <w:tc>
          <w:p>
            <w:pPr>
              <w:pStyle w:val="Compact"/>
              <w:jc w:val="center"/>
            </w:pPr>
            <w:r>
              <w:t xml:space="preserve">5.2%</w:t>
            </w:r>
          </w:p>
        </w:tc>
        <w:tc>
          <w:p>
            <w:pPr>
              <w:pStyle w:val="Compact"/>
              <w:jc w:val="center"/>
            </w:pPr>
            <w:r>
              <w:t xml:space="preserve">121</w:t>
            </w:r>
          </w:p>
        </w:tc>
        <w:tc>
          <w:p>
            <w:pPr>
              <w:pStyle w:val="Compact"/>
              <w:jc w:val="center"/>
            </w:pPr>
            <w:r>
              <w:t xml:space="preserve">10%</w:t>
            </w:r>
          </w:p>
        </w:tc>
        <w:tc>
          <w:p>
            <w:pPr>
              <w:pStyle w:val="Compact"/>
              <w:jc w:val="center"/>
            </w:pPr>
            <w:r>
              <w:t xml:space="preserve">264</w:t>
            </w:r>
          </w:p>
        </w:tc>
        <w:tc>
          <w:p>
            <w:pPr>
              <w:pStyle w:val="Compact"/>
              <w:jc w:val="center"/>
            </w:pPr>
            <w:r>
              <w:t xml:space="preserve">6.6%</w:t>
            </w:r>
          </w:p>
        </w:tc>
      </w:tr>
      <w:tr>
        <w:tc>
          <w:p/>
        </w:tc>
        <w:tc>
          <w:p>
            <w:pPr>
              <w:pStyle w:val="Compact"/>
              <w:jc w:val="center"/>
            </w:pPr>
            <w:r>
              <w:t xml:space="preserve">Missing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tc>
        <w:tc>
          <w:p/>
        </w:tc>
        <w:tc>
          <w:p/>
        </w:tc>
        <w:tc>
          <w:p/>
        </w:tc>
        <w:tc>
          <w:p/>
        </w:tc>
        <w:tc>
          <w:p/>
        </w:tc>
        <w:tc>
          <w:p/>
        </w:tc>
        <w:tc>
          <w:p/>
        </w:tc>
      </w:tr>
      <w:tr>
        <w:tc>
          <w:p>
            <w:pPr>
              <w:pStyle w:val="Compact"/>
              <w:jc w:val="center"/>
            </w:pPr>
            <w:r>
              <w:t xml:space="preserve">Site</w:t>
            </w:r>
          </w:p>
        </w:tc>
        <w:tc>
          <w:p>
            <w:pPr>
              <w:pStyle w:val="Compact"/>
              <w:jc w:val="center"/>
            </w:pPr>
            <w:r>
              <w:t xml:space="preserve">No</w:t>
            </w:r>
          </w:p>
        </w:tc>
        <w:tc>
          <w:p>
            <w:pPr>
              <w:pStyle w:val="Compact"/>
              <w:jc w:val="center"/>
            </w:pPr>
            <w:r>
              <w:t xml:space="preserve">2107</w:t>
            </w:r>
          </w:p>
        </w:tc>
        <w:tc>
          <w:p>
            <w:pPr>
              <w:pStyle w:val="Compact"/>
              <w:jc w:val="center"/>
            </w:pPr>
            <w:r>
              <w:t xml:space="preserve">76.1%</w:t>
            </w:r>
          </w:p>
        </w:tc>
        <w:tc>
          <w:p>
            <w:pPr>
              <w:pStyle w:val="Compact"/>
              <w:jc w:val="center"/>
            </w:pPr>
            <w:r>
              <w:t xml:space="preserve">1034</w:t>
            </w:r>
          </w:p>
        </w:tc>
        <w:tc>
          <w:p>
            <w:pPr>
              <w:pStyle w:val="Compact"/>
              <w:jc w:val="center"/>
            </w:pPr>
            <w:r>
              <w:t xml:space="preserve">85.2%</w:t>
            </w:r>
          </w:p>
        </w:tc>
        <w:tc>
          <w:p>
            <w:pPr>
              <w:pStyle w:val="Compact"/>
              <w:jc w:val="center"/>
            </w:pPr>
            <w:r>
              <w:t xml:space="preserve">3141</w:t>
            </w:r>
          </w:p>
        </w:tc>
        <w:tc>
          <w:p>
            <w:pPr>
              <w:pStyle w:val="Compact"/>
              <w:jc w:val="center"/>
            </w:pPr>
            <w:r>
              <w:t xml:space="preserve">78.8%</w:t>
            </w:r>
          </w:p>
        </w:tc>
      </w:tr>
      <w:tr>
        <w:tc>
          <w:p/>
        </w:tc>
        <w:tc>
          <w:p>
            <w:pPr>
              <w:pStyle w:val="Compact"/>
              <w:jc w:val="center"/>
            </w:pPr>
            <w:r>
              <w:t xml:space="preserve">Yes</w:t>
            </w:r>
          </w:p>
        </w:tc>
        <w:tc>
          <w:p>
            <w:pPr>
              <w:pStyle w:val="Compact"/>
              <w:jc w:val="center"/>
            </w:pPr>
            <w:r>
              <w:t xml:space="preserve">663</w:t>
            </w:r>
          </w:p>
        </w:tc>
        <w:tc>
          <w:p>
            <w:pPr>
              <w:pStyle w:val="Compact"/>
              <w:jc w:val="center"/>
            </w:pPr>
            <w:r>
              <w:t xml:space="preserve">23.9%</w:t>
            </w:r>
          </w:p>
        </w:tc>
        <w:tc>
          <w:p>
            <w:pPr>
              <w:pStyle w:val="Compact"/>
              <w:jc w:val="center"/>
            </w:pPr>
            <w:r>
              <w:t xml:space="preserve">180</w:t>
            </w:r>
          </w:p>
        </w:tc>
        <w:tc>
          <w:p>
            <w:pPr>
              <w:pStyle w:val="Compact"/>
              <w:jc w:val="center"/>
            </w:pPr>
            <w:r>
              <w:t xml:space="preserve">14.8%</w:t>
            </w:r>
          </w:p>
        </w:tc>
        <w:tc>
          <w:p>
            <w:pPr>
              <w:pStyle w:val="Compact"/>
              <w:jc w:val="center"/>
            </w:pPr>
            <w:r>
              <w:t xml:space="preserve">843</w:t>
            </w:r>
          </w:p>
        </w:tc>
        <w:tc>
          <w:p>
            <w:pPr>
              <w:pStyle w:val="Compact"/>
              <w:jc w:val="center"/>
            </w:pPr>
            <w:r>
              <w:t xml:space="preserve">21.2%</w:t>
            </w:r>
          </w:p>
        </w:tc>
      </w:tr>
      <w:tr>
        <w:tc>
          <w:p/>
        </w:tc>
        <w:tc>
          <w:p/>
        </w:tc>
        <w:tc>
          <w:p/>
        </w:tc>
        <w:tc>
          <w:p/>
        </w:tc>
        <w:tc>
          <w:p/>
        </w:tc>
        <w:tc>
          <w:p/>
        </w:tc>
        <w:tc>
          <w:p/>
        </w:tc>
        <w:tc>
          <w:p/>
        </w:tc>
      </w:tr>
      <w:tr>
        <w:tc>
          <w:p>
            <w:pPr>
              <w:pStyle w:val="Compact"/>
              <w:jc w:val="center"/>
            </w:pPr>
            <w:r>
              <w:t xml:space="preserve">House Head Sex</w:t>
            </w:r>
          </w:p>
        </w:tc>
        <w:tc>
          <w:p>
            <w:pPr>
              <w:pStyle w:val="Compact"/>
              <w:jc w:val="center"/>
            </w:pPr>
            <w:r>
              <w:t xml:space="preserve">High</w:t>
            </w:r>
          </w:p>
        </w:tc>
        <w:tc>
          <w:p>
            <w:pPr>
              <w:pStyle w:val="Compact"/>
              <w:jc w:val="center"/>
            </w:pPr>
            <w:r>
              <w:t xml:space="preserve">2211</w:t>
            </w:r>
          </w:p>
        </w:tc>
        <w:tc>
          <w:p>
            <w:pPr>
              <w:pStyle w:val="Compact"/>
              <w:jc w:val="center"/>
            </w:pPr>
            <w:r>
              <w:t xml:space="preserve">79.8%</w:t>
            </w:r>
          </w:p>
        </w:tc>
        <w:tc>
          <w:p>
            <w:pPr>
              <w:pStyle w:val="Compact"/>
              <w:jc w:val="center"/>
            </w:pPr>
            <w:r>
              <w:t xml:space="preserve">1168</w:t>
            </w:r>
          </w:p>
        </w:tc>
        <w:tc>
          <w:p>
            <w:pPr>
              <w:pStyle w:val="Compact"/>
              <w:jc w:val="center"/>
            </w:pPr>
            <w:r>
              <w:t xml:space="preserve">96.2%</w:t>
            </w:r>
          </w:p>
        </w:tc>
        <w:tc>
          <w:p>
            <w:pPr>
              <w:pStyle w:val="Compact"/>
              <w:jc w:val="center"/>
            </w:pPr>
            <w:r>
              <w:t xml:space="preserve">3379</w:t>
            </w:r>
          </w:p>
        </w:tc>
        <w:tc>
          <w:p>
            <w:pPr>
              <w:pStyle w:val="Compact"/>
              <w:jc w:val="center"/>
            </w:pPr>
            <w:r>
              <w:t xml:space="preserve">84.8%</w:t>
            </w:r>
          </w:p>
        </w:tc>
      </w:tr>
      <w:tr>
        <w:tc>
          <w:p/>
        </w:tc>
        <w:tc>
          <w:p>
            <w:pPr>
              <w:pStyle w:val="Compact"/>
              <w:jc w:val="center"/>
            </w:pPr>
            <w:r>
              <w:t xml:space="preserve">Low</w:t>
            </w:r>
          </w:p>
        </w:tc>
        <w:tc>
          <w:p>
            <w:pPr>
              <w:pStyle w:val="Compact"/>
              <w:jc w:val="center"/>
            </w:pPr>
            <w:r>
              <w:t xml:space="preserve">559</w:t>
            </w:r>
          </w:p>
        </w:tc>
        <w:tc>
          <w:p>
            <w:pPr>
              <w:pStyle w:val="Compact"/>
              <w:jc w:val="center"/>
            </w:pPr>
            <w:r>
              <w:t xml:space="preserve">20.2%</w:t>
            </w:r>
          </w:p>
        </w:tc>
        <w:tc>
          <w:p>
            <w:pPr>
              <w:pStyle w:val="Compact"/>
              <w:jc w:val="center"/>
            </w:pPr>
            <w:r>
              <w:t xml:space="preserve">46</w:t>
            </w:r>
          </w:p>
        </w:tc>
        <w:tc>
          <w:p>
            <w:pPr>
              <w:pStyle w:val="Compact"/>
              <w:jc w:val="center"/>
            </w:pPr>
            <w:r>
              <w:t xml:space="preserve">3.8%</w:t>
            </w:r>
          </w:p>
        </w:tc>
        <w:tc>
          <w:p>
            <w:pPr>
              <w:pStyle w:val="Compact"/>
              <w:jc w:val="center"/>
            </w:pPr>
            <w:r>
              <w:t xml:space="preserve">605</w:t>
            </w:r>
          </w:p>
        </w:tc>
        <w:tc>
          <w:p>
            <w:pPr>
              <w:pStyle w:val="Compact"/>
              <w:jc w:val="center"/>
            </w:pPr>
            <w:r>
              <w:t xml:space="preserve">15.2%</w:t>
            </w:r>
          </w:p>
        </w:tc>
      </w:tr>
      <w:tr>
        <w:tc>
          <w:p/>
        </w:tc>
        <w:tc>
          <w:p/>
        </w:tc>
        <w:tc>
          <w:p/>
        </w:tc>
        <w:tc>
          <w:p/>
        </w:tc>
        <w:tc>
          <w:p/>
        </w:tc>
        <w:tc>
          <w:p/>
        </w:tc>
        <w:tc>
          <w:p/>
        </w:tc>
        <w:tc>
          <w:p/>
        </w:tc>
      </w:tr>
      <w:tr>
        <w:tc>
          <w:p/>
        </w:tc>
        <w:tc>
          <w:p>
            <w:pPr>
              <w:pStyle w:val="Compact"/>
              <w:jc w:val="center"/>
            </w:pPr>
            <w:r>
              <w:t xml:space="preserve">F</w:t>
            </w:r>
          </w:p>
        </w:tc>
        <w:tc>
          <w:p>
            <w:pPr>
              <w:pStyle w:val="Compact"/>
              <w:jc w:val="center"/>
            </w:pPr>
            <w:r>
              <w:t xml:space="preserve">873</w:t>
            </w:r>
          </w:p>
        </w:tc>
        <w:tc>
          <w:p>
            <w:pPr>
              <w:pStyle w:val="Compact"/>
              <w:jc w:val="center"/>
            </w:pPr>
            <w:r>
              <w:t xml:space="preserve">31.5%</w:t>
            </w:r>
          </w:p>
        </w:tc>
        <w:tc>
          <w:p>
            <w:pPr>
              <w:pStyle w:val="Compact"/>
              <w:jc w:val="center"/>
            </w:pPr>
            <w:r>
              <w:t xml:space="preserve">379</w:t>
            </w:r>
          </w:p>
        </w:tc>
        <w:tc>
          <w:p>
            <w:pPr>
              <w:pStyle w:val="Compact"/>
              <w:jc w:val="center"/>
            </w:pPr>
            <w:r>
              <w:t xml:space="preserve">31.2%</w:t>
            </w:r>
          </w:p>
        </w:tc>
        <w:tc>
          <w:p>
            <w:pPr>
              <w:pStyle w:val="Compact"/>
              <w:jc w:val="center"/>
            </w:pPr>
            <w:r>
              <w:t xml:space="preserve">1252</w:t>
            </w:r>
          </w:p>
        </w:tc>
        <w:tc>
          <w:p>
            <w:pPr>
              <w:pStyle w:val="Compact"/>
              <w:jc w:val="center"/>
            </w:pPr>
            <w:r>
              <w:t xml:space="preserve">31.4%</w:t>
            </w:r>
          </w:p>
        </w:tc>
      </w:tr>
      <w:tr>
        <w:tc>
          <w:p/>
        </w:tc>
        <w:tc>
          <w:p>
            <w:pPr>
              <w:pStyle w:val="Compact"/>
              <w:jc w:val="center"/>
            </w:pPr>
            <w:r>
              <w:t xml:space="preserve">M</w:t>
            </w:r>
          </w:p>
        </w:tc>
        <w:tc>
          <w:p>
            <w:pPr>
              <w:pStyle w:val="Compact"/>
              <w:jc w:val="center"/>
            </w:pPr>
            <w:r>
              <w:t xml:space="preserve">1780</w:t>
            </w:r>
          </w:p>
        </w:tc>
        <w:tc>
          <w:p>
            <w:pPr>
              <w:pStyle w:val="Compact"/>
              <w:jc w:val="center"/>
            </w:pPr>
            <w:r>
              <w:t xml:space="preserve">64.3%</w:t>
            </w:r>
          </w:p>
        </w:tc>
        <w:tc>
          <w:p>
            <w:pPr>
              <w:pStyle w:val="Compact"/>
              <w:jc w:val="center"/>
            </w:pPr>
            <w:r>
              <w:t xml:space="preserve">794</w:t>
            </w:r>
          </w:p>
        </w:tc>
        <w:tc>
          <w:p>
            <w:pPr>
              <w:pStyle w:val="Compact"/>
              <w:jc w:val="center"/>
            </w:pPr>
            <w:r>
              <w:t xml:space="preserve">65.4%</w:t>
            </w:r>
          </w:p>
        </w:tc>
        <w:tc>
          <w:p>
            <w:pPr>
              <w:pStyle w:val="Compact"/>
              <w:jc w:val="center"/>
            </w:pPr>
            <w:r>
              <w:t xml:space="preserve">2574</w:t>
            </w:r>
          </w:p>
        </w:tc>
        <w:tc>
          <w:p>
            <w:pPr>
              <w:pStyle w:val="Compact"/>
              <w:jc w:val="center"/>
            </w:pPr>
            <w:r>
              <w:t xml:space="preserve">64.6%</w:t>
            </w:r>
          </w:p>
        </w:tc>
      </w:tr>
      <w:tr>
        <w:tc>
          <w:p/>
        </w:tc>
        <w:tc>
          <w:p>
            <w:pPr>
              <w:pStyle w:val="Compact"/>
              <w:jc w:val="center"/>
            </w:pPr>
            <w:r>
              <w:t xml:space="preserve">Missing</w:t>
            </w:r>
          </w:p>
        </w:tc>
        <w:tc>
          <w:p>
            <w:pPr>
              <w:pStyle w:val="Compact"/>
              <w:jc w:val="center"/>
            </w:pPr>
            <w:r>
              <w:t xml:space="preserve">117</w:t>
            </w:r>
          </w:p>
        </w:tc>
        <w:tc>
          <w:p>
            <w:pPr>
              <w:pStyle w:val="Compact"/>
              <w:jc w:val="center"/>
            </w:pPr>
            <w:r>
              <w:t xml:space="preserve">4.2%</w:t>
            </w:r>
          </w:p>
        </w:tc>
        <w:tc>
          <w:p>
            <w:pPr>
              <w:pStyle w:val="Compact"/>
              <w:jc w:val="center"/>
            </w:pPr>
            <w:r>
              <w:t xml:space="preserve">41</w:t>
            </w:r>
          </w:p>
        </w:tc>
        <w:tc>
          <w:p>
            <w:pPr>
              <w:pStyle w:val="Compact"/>
              <w:jc w:val="center"/>
            </w:pPr>
            <w:r>
              <w:t xml:space="preserve">3.4%</w:t>
            </w:r>
          </w:p>
        </w:tc>
        <w:tc>
          <w:p>
            <w:pPr>
              <w:pStyle w:val="Compact"/>
              <w:jc w:val="center"/>
            </w:pPr>
            <w:r>
              <w:t xml:space="preserve">158</w:t>
            </w:r>
          </w:p>
        </w:tc>
        <w:tc>
          <w:p>
            <w:pPr>
              <w:pStyle w:val="Compact"/>
              <w:jc w:val="center"/>
            </w:pPr>
            <w:r>
              <w:t xml:space="preserve">4%</w:t>
            </w:r>
          </w:p>
        </w:tc>
      </w:tr>
      <w:tr>
        <w:tc>
          <w:p/>
        </w:tc>
        <w:tc>
          <w:p/>
        </w:tc>
        <w:tc>
          <w:p/>
        </w:tc>
        <w:tc>
          <w:p/>
        </w:tc>
        <w:tc>
          <w:p/>
        </w:tc>
        <w:tc>
          <w:p/>
        </w:tc>
        <w:tc>
          <w:p/>
        </w:tc>
        <w:tc>
          <w:p/>
        </w:tc>
      </w:tr>
      <w:tr>
        <w:tc>
          <w:p>
            <w:pPr>
              <w:pStyle w:val="Compact"/>
              <w:jc w:val="center"/>
            </w:pPr>
            <w:r>
              <w:t xml:space="preserve">numocc</w:t>
            </w:r>
          </w:p>
        </w:tc>
        <w:tc>
          <w:p/>
        </w:tc>
        <w:tc>
          <w:p>
            <w:pPr>
              <w:pStyle w:val="Compact"/>
              <w:jc w:val="center"/>
            </w:pPr>
            <w:r>
              <w:t xml:space="preserve">4.2 (2.3)</w:t>
            </w:r>
          </w:p>
        </w:tc>
        <w:tc>
          <w:p/>
        </w:tc>
        <w:tc>
          <w:p>
            <w:pPr>
              <w:pStyle w:val="Compact"/>
              <w:jc w:val="center"/>
            </w:pPr>
            <w:r>
              <w:t xml:space="preserve">4.8 (2.3)</w:t>
            </w:r>
          </w:p>
        </w:tc>
        <w:tc>
          <w:p/>
        </w:tc>
        <w:tc>
          <w:p>
            <w:pPr>
              <w:pStyle w:val="Compact"/>
              <w:jc w:val="center"/>
            </w:pPr>
            <w:r>
              <w:t xml:space="preserve">4.4 (2.3)</w:t>
            </w:r>
          </w:p>
        </w:tc>
        <w:tc>
          <w:p/>
        </w:tc>
      </w:tr>
      <w:tr>
        <w:tc>
          <w:p>
            <w:pPr>
              <w:pStyle w:val="Compact"/>
              <w:jc w:val="center"/>
            </w:pPr>
            <w:r>
              <w:t xml:space="preserve">numFem</w:t>
            </w:r>
          </w:p>
        </w:tc>
        <w:tc>
          <w:p/>
        </w:tc>
        <w:tc>
          <w:p>
            <w:pPr>
              <w:pStyle w:val="Compact"/>
              <w:jc w:val="center"/>
            </w:pPr>
            <w:r>
              <w:t xml:space="preserve">2.1 (1.5)</w:t>
            </w:r>
          </w:p>
        </w:tc>
        <w:tc>
          <w:p/>
        </w:tc>
        <w:tc>
          <w:p>
            <w:pPr>
              <w:pStyle w:val="Compact"/>
              <w:jc w:val="center"/>
            </w:pPr>
            <w:r>
              <w:t xml:space="preserve">2.5 (1.4)</w:t>
            </w:r>
          </w:p>
        </w:tc>
        <w:tc>
          <w:p/>
        </w:tc>
        <w:tc>
          <w:p>
            <w:pPr>
              <w:pStyle w:val="Compact"/>
              <w:jc w:val="center"/>
            </w:pPr>
            <w:r>
              <w:t xml:space="preserve">2.3 (1.5)</w:t>
            </w:r>
          </w:p>
        </w:tc>
        <w:tc>
          <w:p/>
        </w:tc>
      </w:tr>
      <w:tr>
        <w:tc>
          <w:p>
            <w:pPr>
              <w:pStyle w:val="Compact"/>
              <w:jc w:val="center"/>
            </w:pPr>
            <w:r>
              <w:t xml:space="preserve">numMale</w:t>
            </w:r>
          </w:p>
        </w:tc>
        <w:tc>
          <w:p/>
        </w:tc>
        <w:tc>
          <w:p>
            <w:pPr>
              <w:pStyle w:val="Compact"/>
              <w:jc w:val="center"/>
            </w:pPr>
            <w:r>
              <w:t xml:space="preserve">2.1 (1.4)</w:t>
            </w:r>
          </w:p>
        </w:tc>
        <w:tc>
          <w:p/>
        </w:tc>
        <w:tc>
          <w:p>
            <w:pPr>
              <w:pStyle w:val="Compact"/>
              <w:jc w:val="center"/>
            </w:pPr>
            <w:r>
              <w:t xml:space="preserve">2.3 (1.5)</w:t>
            </w:r>
          </w:p>
        </w:tc>
        <w:tc>
          <w:p/>
        </w:tc>
        <w:tc>
          <w:p>
            <w:pPr>
              <w:pStyle w:val="Compact"/>
              <w:jc w:val="center"/>
            </w:pPr>
            <w:r>
              <w:t xml:space="preserve">2.1 (1.5)</w:t>
            </w:r>
          </w:p>
        </w:tc>
        <w:tc>
          <w:p/>
        </w:tc>
      </w:tr>
      <w:tr>
        <w:tc>
          <w:p>
            <w:pPr>
              <w:pStyle w:val="Compact"/>
              <w:jc w:val="center"/>
            </w:pPr>
            <w:r>
              <w:t xml:space="preserve">oldest</w:t>
            </w:r>
          </w:p>
        </w:tc>
        <w:tc>
          <w:p/>
        </w:tc>
        <w:tc>
          <w:p>
            <w:pPr>
              <w:pStyle w:val="Compact"/>
              <w:jc w:val="center"/>
            </w:pPr>
            <w:r>
              <w:t xml:space="preserve">47.6 (17.8)</w:t>
            </w:r>
          </w:p>
        </w:tc>
        <w:tc>
          <w:p/>
        </w:tc>
        <w:tc>
          <w:p>
            <w:pPr>
              <w:pStyle w:val="Compact"/>
              <w:jc w:val="center"/>
            </w:pPr>
            <w:r>
              <w:t xml:space="preserve">44.3 (15.4)</w:t>
            </w:r>
          </w:p>
        </w:tc>
        <w:tc>
          <w:p/>
        </w:tc>
        <w:tc>
          <w:p>
            <w:pPr>
              <w:pStyle w:val="Compact"/>
              <w:jc w:val="center"/>
            </w:pPr>
            <w:r>
              <w:t xml:space="preserve">46.6 (17.2)</w:t>
            </w:r>
          </w:p>
        </w:tc>
        <w:tc>
          <w:p/>
        </w:tc>
      </w:tr>
      <w:tr>
        <w:tc>
          <w:p>
            <w:pPr>
              <w:pStyle w:val="Compact"/>
              <w:jc w:val="center"/>
            </w:pPr>
            <w:r>
              <w:t xml:space="preserve">youngest</w:t>
            </w:r>
          </w:p>
        </w:tc>
        <w:tc>
          <w:p/>
        </w:tc>
        <w:tc>
          <w:p>
            <w:pPr>
              <w:pStyle w:val="Compact"/>
              <w:jc w:val="center"/>
            </w:pPr>
            <w:r>
              <w:t xml:space="preserve">14.6 (19.4)</w:t>
            </w:r>
          </w:p>
        </w:tc>
        <w:tc>
          <w:p/>
        </w:tc>
        <w:tc>
          <w:p>
            <w:pPr>
              <w:pStyle w:val="Compact"/>
              <w:jc w:val="center"/>
            </w:pPr>
            <w:r>
              <w:t xml:space="preserve">9.1 (14.1)</w:t>
            </w:r>
          </w:p>
        </w:tc>
        <w:tc>
          <w:p/>
        </w:tc>
        <w:tc>
          <w:p>
            <w:pPr>
              <w:pStyle w:val="Compact"/>
              <w:jc w:val="center"/>
            </w:pPr>
            <w:r>
              <w:t xml:space="preserve">12.9 (18.1)</w:t>
            </w:r>
          </w:p>
        </w:tc>
        <w:tc>
          <w:p/>
        </w:tc>
      </w:tr>
      <w:tr>
        <w:tc>
          <w:p>
            <w:pPr>
              <w:pStyle w:val="Compact"/>
              <w:jc w:val="center"/>
            </w:pPr>
            <w:r>
              <w:t xml:space="preserve">headage</w:t>
            </w:r>
          </w:p>
        </w:tc>
        <w:tc>
          <w:p/>
        </w:tc>
        <w:tc>
          <w:p>
            <w:pPr>
              <w:pStyle w:val="Compact"/>
              <w:jc w:val="center"/>
            </w:pPr>
            <w:r>
              <w:t xml:space="preserve">47.6 (17.5)</w:t>
            </w:r>
          </w:p>
        </w:tc>
        <w:tc>
          <w:p/>
        </w:tc>
        <w:tc>
          <w:p>
            <w:pPr>
              <w:pStyle w:val="Compact"/>
              <w:jc w:val="center"/>
            </w:pPr>
            <w:r>
              <w:t xml:space="preserve">43.9 (14.5)</w:t>
            </w:r>
          </w:p>
        </w:tc>
        <w:tc>
          <w:p/>
        </w:tc>
        <w:tc>
          <w:p>
            <w:pPr>
              <w:pStyle w:val="Compact"/>
              <w:jc w:val="center"/>
            </w:pPr>
            <w:r>
              <w:t xml:space="preserve">46.4 (16.7)</w:t>
            </w:r>
          </w:p>
        </w:tc>
        <w:tc>
          <w:p/>
        </w:tc>
      </w:tr>
      <w:tr>
        <w:tc>
          <w:p>
            <w:pPr>
              <w:pStyle w:val="Compact"/>
              <w:jc w:val="center"/>
            </w:pPr>
            <w:r>
              <w:t xml:space="preserve">elev</w:t>
            </w:r>
          </w:p>
        </w:tc>
        <w:tc>
          <w:p/>
        </w:tc>
        <w:tc>
          <w:p>
            <w:pPr>
              <w:pStyle w:val="Compact"/>
              <w:jc w:val="center"/>
            </w:pPr>
            <w:r>
              <w:t xml:space="preserve">1631.9 (382.6)</w:t>
            </w:r>
          </w:p>
        </w:tc>
        <w:tc>
          <w:p/>
        </w:tc>
        <w:tc>
          <w:p>
            <w:pPr>
              <w:pStyle w:val="Compact"/>
              <w:jc w:val="center"/>
            </w:pPr>
            <w:r>
              <w:t xml:space="preserve">1729.2 (447.3)</w:t>
            </w:r>
          </w:p>
        </w:tc>
        <w:tc>
          <w:p/>
        </w:tc>
        <w:tc>
          <w:p>
            <w:pPr>
              <w:pStyle w:val="Compact"/>
              <w:jc w:val="center"/>
            </w:pPr>
            <w:r>
              <w:t xml:space="preserve">1661.6 (405.8)</w:t>
            </w:r>
          </w:p>
        </w:tc>
        <w:tc>
          <w:p/>
        </w:tc>
      </w:tr>
      <w:tr>
        <w:tc>
          <w:p>
            <w:pPr>
              <w:pStyle w:val="Compact"/>
              <w:jc w:val="center"/>
            </w:pPr>
            <w:r>
              <w:t xml:space="preserve">Total</w:t>
            </w:r>
          </w:p>
        </w:tc>
        <w:tc>
          <w:p/>
        </w:tc>
        <w:tc>
          <w:p>
            <w:pPr>
              <w:pStyle w:val="Compact"/>
              <w:jc w:val="center"/>
            </w:pPr>
            <w:r>
              <w:t xml:space="preserve">2770</w:t>
            </w:r>
          </w:p>
        </w:tc>
        <w:tc>
          <w:p>
            <w:pPr>
              <w:pStyle w:val="Compact"/>
              <w:jc w:val="center"/>
            </w:pPr>
            <w:r>
              <w:t xml:space="preserve">69.5%</w:t>
            </w:r>
          </w:p>
        </w:tc>
        <w:tc>
          <w:p>
            <w:pPr>
              <w:pStyle w:val="Compact"/>
              <w:jc w:val="center"/>
            </w:pPr>
            <w:r>
              <w:t xml:space="preserve">1214</w:t>
            </w:r>
          </w:p>
        </w:tc>
        <w:tc>
          <w:p>
            <w:pPr>
              <w:pStyle w:val="Compact"/>
              <w:jc w:val="center"/>
            </w:pPr>
            <w:r>
              <w:t xml:space="preserve">30.5%</w:t>
            </w:r>
          </w:p>
        </w:tc>
        <w:tc>
          <w:p>
            <w:pPr>
              <w:pStyle w:val="Compact"/>
              <w:jc w:val="center"/>
            </w:pPr>
            <w:r>
              <w:t xml:space="preserve">3984</w:t>
            </w:r>
          </w:p>
        </w:tc>
        <w:tc>
          <w:p/>
        </w:tc>
      </w:tr>
    </w:tbl>
    <w:p>
      <w:r>
        <w:t xml:space="preserve">Table 1. Summary of household attributes by houses with and without nets.</w:t>
      </w:r>
    </w:p>
    <w:bookmarkStart w:id="24" w:name="geo-spatial-data"/>
    <w:p>
      <w:pPr>
        <w:pStyle w:val="Heading2"/>
      </w:pPr>
      <w:r>
        <w:t xml:space="preserve">Geo-Spatial Data</w:t>
      </w:r>
    </w:p>
    <w:bookmarkEnd w:id="24"/>
    <w:p>
      <w:r>
        <w:t xml:space="preserve">The Biodiversity Monitoring Transect Analysis in Africa</w:t>
      </w:r>
      <w:r>
        <w:t xml:space="preserve"> </w:t>
      </w:r>
      <w:hyperlink r:id="rId25">
        <w:r>
          <w:rPr>
            <w:rStyle w:val="Link"/>
          </w:rPr>
          <w:t xml:space="preserve">(BIOTA)</w:t>
        </w:r>
      </w:hyperlink>
      <w:r>
        <w:t xml:space="preserve"> </w:t>
      </w:r>
      <w:r>
        <w:t xml:space="preserve">has created a high resolution (10m) digital terrain model the high elevation site in this study. The Lower resolution data (250m) is available for the low site. The high resolution model was developed from topographic maps as part of BIOTA subproject E02. The low resolution data are from the USGS 1-degree DEMs and Army Map Service 1:1,000,000-scale maps.</w:t>
      </w:r>
    </w:p>
    <w:bookmarkStart w:id="26" w:name="study-objectives"/>
    <w:p>
      <w:pPr>
        <w:pStyle w:val="Heading1"/>
      </w:pPr>
      <w:r>
        <w:t xml:space="preserve">Study Objectives</w:t>
      </w:r>
    </w:p>
    <w:bookmarkEnd w:id="26"/>
    <w:bookmarkStart w:id="27" w:name="primary-objective"/>
    <w:p>
      <w:pPr>
        <w:pStyle w:val="Heading2"/>
      </w:pPr>
      <w:r>
        <w:t xml:space="preserve">Primary Objective</w:t>
      </w:r>
    </w:p>
    <w:bookmarkEnd w:id="27"/>
    <w:p>
      <w:r>
        <w:t xml:space="preserve">The primary objective of this research is to determine whether populations which are both at high combined risk for a poor outcome from malaria, and encountering a mosquito hosting malaria, are receiving mitigating treatments at a higher rate than those with a low combined risk. Specifically we will test the following alternative hypotheses:</w:t>
      </w:r>
    </w:p>
    <w:p>
      <m:oMath>
        <m:sSub>
          <m:e>
            <m:r>
              <m:rPr/>
              <m:t>H</m:t>
            </m:r>
          </m:e>
          <m:sub>
            <m:r>
              <m:rPr/>
              <m:t>0</m:t>
            </m:r>
          </m:sub>
        </m:sSub>
        <m:r>
          <m:rPr/>
          <m:t>:</m:t>
        </m:r>
      </m:oMath>
      <w:r>
        <w:t xml:space="preserve"> </w:t>
      </w:r>
      <w:r>
        <w:t xml:space="preserve">High-risk households are not more likely to receive treatment than low-risk households.</w:t>
      </w:r>
      <w:r>
        <w:br w:type="textWrapping"/>
      </w:r>
      <m:oMath>
        <m:sSub>
          <m:e>
            <m:r>
              <m:rPr/>
              <m:t>H</m:t>
            </m:r>
          </m:e>
          <m:sub>
            <m:r>
              <m:rPr/>
              <m:t>a</m:t>
            </m:r>
          </m:sub>
        </m:sSub>
        <m:r>
          <m:rPr/>
          <m:t>:</m:t>
        </m:r>
      </m:oMath>
      <w:r>
        <w:t xml:space="preserve"> </w:t>
      </w:r>
      <w:r>
        <w:t xml:space="preserve">High-risk households are more likely to receive treatment than low-risk households.</w:t>
      </w:r>
    </w:p>
    <w:bookmarkStart w:id="28" w:name="secondary-objectives"/>
    <w:p>
      <w:pPr>
        <w:pStyle w:val="Heading2"/>
      </w:pPr>
      <w:r>
        <w:t xml:space="preserve">Secondary Objectives</w:t>
      </w:r>
    </w:p>
    <w:bookmarkEnd w:id="28"/>
    <w:p>
      <w:r>
        <w:t xml:space="preserve">As a secondary objective, we will determine if populations which are only at risk for a poor health outcome from malaria are preferentially receiving mitigating treatments. By combining measures from the primary and secondary outcomes we will determine if there would be a benefit from modifying treatment administration protocols to incorporate information on the risk of mosquito exposure in addition to the current strategy. We will also determine if individuals at risk due to old age are more likely to be missed by current protocols.</w:t>
      </w:r>
    </w:p>
    <w:bookmarkStart w:id="29" w:name="study-variables-and-covariates"/>
    <w:p>
      <w:pPr>
        <w:pStyle w:val="Heading1"/>
      </w:pPr>
      <w:r>
        <w:t xml:space="preserve">Study Variables and Covariates</w:t>
      </w:r>
    </w:p>
    <w:bookmarkEnd w:id="29"/>
    <w:p>
      <w:r>
        <w:t xml:space="preserve">The survey data are composed of 17,823 interviews at 3,984 households. The unit of study for this analysis is the household. Therefore, I will summarize the information from the surveys into household attributes. Each household will vary with respect to both the risk of exposure to mosquitoes and the number of at risk individuals in the household. We will assign a health risk to each household by adding the number of children in the household under age 5 and the number of adults in the household over age 65.</w:t>
      </w:r>
    </w:p>
    <w:p>
      <w:r>
        <w:t xml:space="preserve">We will assign each household a risk for exposure to mosquitoes by deriving a continuous risk surface over the study area. This risk will result from a Topographical Wetness Index (TWI) derived from the DEM data. The TWI combines the total basin area (the area from which water will flow to a particular point) with the slope at that point to determine the amount of water likely to accumulate and provide breeding habitat for mosquitoes.</w:t>
      </w:r>
    </w:p>
    <w:bookmarkStart w:id="30" w:name="statistical-methods"/>
    <w:p>
      <w:pPr>
        <w:pStyle w:val="Heading1"/>
      </w:pPr>
      <w:r>
        <w:t xml:space="preserve">Statistical Methods</w:t>
      </w:r>
    </w:p>
    <w:bookmarkEnd w:id="30"/>
    <w:p>
      <w:r>
        <w:t xml:space="preserve">Since the two sites have dramatically different rates of spraying and bed net usage we will analyze the high and low sites separately with regards to these outcomes. We will also analyze the spraying and bed net usage separately within each site since these are known to be distributed to households under different protocols and are therefore likely to have different patterns.</w:t>
      </w:r>
    </w:p>
    <w:bookmarkStart w:id="31" w:name="primary-analysis"/>
    <w:p>
      <w:pPr>
        <w:pStyle w:val="Heading2"/>
      </w:pPr>
      <w:r>
        <w:t xml:space="preserve">Primary Analysis</w:t>
      </w:r>
    </w:p>
    <w:bookmarkEnd w:id="31"/>
    <w:p>
      <w:r>
        <w:t xml:space="preserve">To be at risk for a poor outcome a person must 1) come in contact with a malaria hosting mosquito, and 2) be inherently vulnerable to malaria infection (i.e. very young or very old). We will create two risk scores representing each of these household risks. The household health risk will be equal to the number of individuals at high risk (i.e. under age 5 or over age 65). The household exposure risk will be equal to the score of the risk surface at the house location. Since these risks will be calculated on different scales we will center at 0 and standardize risk scores so that they are scale-independent.</w:t>
      </w:r>
    </w:p>
    <w:p>
      <w:r>
        <w:t xml:space="preserve">We will add the standardized household health risk with the standardized household exposure risk to create a combined risk. We will then determine if high risk households are more likely to have received either a bed-net or aerial spraying with a logistic model;</w:t>
      </w:r>
    </w:p>
    <w:p>
      <m:oMathPara>
        <m:oMathParaPr>
          <m:jc m:val="center"/>
        </m:oMathParaPr>
        <m:oMath>
          <m:r>
            <m:rPr/>
            <m:t>l</m:t>
          </m:r>
          <m:r>
            <m:rPr/>
            <m:t>o</m:t>
          </m:r>
          <m:r>
            <m:rPr/>
            <m:t>g</m:t>
          </m:r>
          <m:r>
            <m:rPr/>
            <m:t>(</m:t>
          </m:r>
          <m:f>
            <m:fPr>
              <m:type m:val="bar"/>
            </m:fPr>
            <m:num>
              <m:r>
                <m:rPr/>
                <m:t>p</m:t>
              </m:r>
            </m:num>
            <m:den>
              <m:r>
                <m:rPr/>
                <m:t>1</m:t>
              </m:r>
              <m:r>
                <m:rPr/>
                <m:t>−</m:t>
              </m:r>
              <m:r>
                <m:rPr/>
                <m:t>p</m:t>
              </m:r>
            </m:den>
          </m:f>
          <m:r>
            <m:rPr/>
            <m:t>)</m:t>
          </m:r>
          <m:r>
            <m:rPr/>
            <m:t>=</m:t>
          </m:r>
          <m:sSub>
            <m:e>
              <m:r>
                <m:rPr/>
                <m:t>β</m:t>
              </m:r>
            </m:e>
            <m:sub>
              <m:r>
                <m:rPr/>
                <m:t>0</m:t>
              </m:r>
            </m:sub>
          </m:sSub>
          <m:r>
            <m:rPr/>
            <m:t>+</m:t>
          </m:r>
          <m:sSub>
            <m:e>
              <m:r>
                <m:rPr/>
                <m:t>β</m:t>
              </m:r>
            </m:e>
            <m:sub>
              <m:r>
                <m:rPr/>
                <m:t>1</m:t>
              </m:r>
            </m:sub>
          </m:sSub>
          <m:r>
            <m:rPr/>
            <m:t>×</m:t>
          </m:r>
          <m:r>
            <m:rPr>
              <m:sty m:val="p"/>
            </m:rPr>
            <m:t>Combined Household Risk</m:t>
          </m:r>
          <m:r>
            <m:rPr/>
            <m:t>,</m:t>
          </m:r>
        </m:oMath>
      </m:oMathPara>
    </w:p>
    <w:p>
      <w:r>
        <w:t xml:space="preserve">where p = Probability of a house having a treatment. If</w:t>
      </w:r>
      <w:r>
        <w:t xml:space="preserve"> </w:t>
      </w:r>
      <m:oMath>
        <m:sSup>
          <m:e>
            <m:r>
              <m:rPr/>
              <m:t>e</m:t>
            </m:r>
          </m:e>
          <m:sup>
            <m:sSub>
              <m:e>
                <m:r>
                  <m:rPr/>
                  <m:t>β</m:t>
                </m:r>
              </m:e>
              <m:sub>
                <m:r>
                  <m:rPr/>
                  <m:t>1</m:t>
                </m:r>
              </m:sub>
            </m:sSub>
          </m:sup>
        </m:sSup>
      </m:oMath>
      <w:r>
        <w:t xml:space="preserve"> </w:t>
      </w:r>
      <w:r>
        <w:t xml:space="preserve">is &gt; 1 and statistically significant (</w:t>
      </w:r>
      <m:oMath>
        <m:r>
          <m:rPr/>
          <m:t>α</m:t>
        </m:r>
        <m:r>
          <m:rPr/>
          <m:t>=</m:t>
        </m:r>
        <m:r>
          <m:rPr/>
          <m:t>0</m:t>
        </m:r>
        <m:r>
          <m:rPr/>
          <m:t>.</m:t>
        </m:r>
        <m:r>
          <m:rPr/>
          <m:t>05</m:t>
        </m:r>
      </m:oMath>
      <w:r>
        <w:t xml:space="preserve">) then high-risk households are more likely to receive treatment. If</w:t>
      </w:r>
      <w:r>
        <w:t xml:space="preserve"> </w:t>
      </w:r>
      <m:oMath>
        <m:sSup>
          <m:e>
            <m:r>
              <m:rPr/>
              <m:t>e</m:t>
            </m:r>
          </m:e>
          <m:sup>
            <m:sSub>
              <m:e>
                <m:r>
                  <m:rPr/>
                  <m:t>β</m:t>
                </m:r>
              </m:e>
              <m:sub>
                <m:r>
                  <m:rPr/>
                  <m:t>1</m:t>
                </m:r>
              </m:sub>
            </m:sSub>
          </m:sup>
        </m:sSup>
      </m:oMath>
      <w:r>
        <w:t xml:space="preserve"> </w:t>
      </w:r>
      <w:r>
        <w:t xml:space="preserve">is &lt; 1 and statistically significant then high-risk households are less likely to receive treatment. If</w:t>
      </w:r>
      <w:r>
        <w:t xml:space="preserve"> </w:t>
      </w:r>
      <m:oMath>
        <m:sSup>
          <m:e>
            <m:r>
              <m:rPr/>
              <m:t>e</m:t>
            </m:r>
          </m:e>
          <m:sup>
            <m:sSub>
              <m:e>
                <m:r>
                  <m:rPr/>
                  <m:t>β</m:t>
                </m:r>
              </m:e>
              <m:sub>
                <m:r>
                  <m:rPr/>
                  <m:t>1</m:t>
                </m:r>
              </m:sub>
            </m:sSub>
          </m:sup>
        </m:sSup>
      </m:oMath>
      <w:r>
        <w:t xml:space="preserve"> </w:t>
      </w:r>
      <w:r>
        <w:t xml:space="preserve">is not statistically different from 1 then either there is no difference in spraying or bed net usage between high and low risk households or the test did not have enough power to detect a difference (see sensitivity analysis).</w:t>
      </w:r>
    </w:p>
    <w:bookmarkStart w:id="32" w:name="secondary-analyses"/>
    <w:p>
      <w:pPr>
        <w:pStyle w:val="Heading2"/>
      </w:pPr>
      <w:r>
        <w:t xml:space="preserve">Secondary Analyses</w:t>
      </w:r>
    </w:p>
    <w:bookmarkEnd w:id="32"/>
    <w:p>
      <w:r>
        <w:t xml:space="preserve">Existing protocols may be adequate at addressing household risk due to either inherent health risk or mosquito exposure risk, but not both. We will conduct the same primary analysis but separate out these two risk scores as separate predictors:</w:t>
      </w:r>
    </w:p>
    <w:p>
      <m:oMathPara>
        <m:oMathParaPr>
          <m:jc m:val="center"/>
        </m:oMathParaPr>
        <m:oMath>
          <m:r>
            <m:rPr/>
            <m:t>l</m:t>
          </m:r>
          <m:r>
            <m:rPr/>
            <m:t>o</m:t>
          </m:r>
          <m:r>
            <m:rPr/>
            <m:t>g</m:t>
          </m:r>
          <m:r>
            <m:rPr/>
            <m:t>(</m:t>
          </m:r>
          <m:f>
            <m:fPr>
              <m:type m:val="bar"/>
            </m:fPr>
            <m:num>
              <m:r>
                <m:rPr/>
                <m:t>p</m:t>
              </m:r>
            </m:num>
            <m:den>
              <m:r>
                <m:rPr/>
                <m:t>1</m:t>
              </m:r>
              <m:r>
                <m:rPr/>
                <m:t>−</m:t>
              </m:r>
              <m:r>
                <m:rPr/>
                <m:t>p</m:t>
              </m:r>
            </m:den>
          </m:f>
          <m:r>
            <m:rPr/>
            <m:t>)</m:t>
          </m:r>
          <m:r>
            <m:rPr/>
            <m:t>=</m:t>
          </m:r>
          <m:sSub>
            <m:e>
              <m:r>
                <m:rPr/>
                <m:t>β</m:t>
              </m:r>
            </m:e>
            <m:sub>
              <m:r>
                <m:rPr/>
                <m:t>0</m:t>
              </m:r>
            </m:sub>
          </m:sSub>
          <m:r>
            <m:rPr/>
            <m:t>+</m:t>
          </m:r>
          <m:sSub>
            <m:e>
              <m:r>
                <m:rPr/>
                <m:t>β</m:t>
              </m:r>
            </m:e>
            <m:sub>
              <m:r>
                <m:rPr/>
                <m:t>2</m:t>
              </m:r>
            </m:sub>
          </m:sSub>
          <m:r>
            <m:rPr/>
            <m:t>×</m:t>
          </m:r>
          <m:r>
            <m:rPr>
              <m:sty m:val="p"/>
            </m:rPr>
            <m:t>Mosquito Exposure Risk</m:t>
          </m:r>
          <m:r>
            <m:rPr/>
            <m:t>+</m:t>
          </m:r>
          <m:sSub>
            <m:e>
              <m:r>
                <m:rPr/>
                <m:t>β</m:t>
              </m:r>
            </m:e>
            <m:sub>
              <m:r>
                <m:rPr/>
                <m:t>3</m:t>
              </m:r>
            </m:sub>
          </m:sSub>
          <m:r>
            <m:rPr/>
            <m:t>×</m:t>
          </m:r>
          <m:r>
            <m:rPr>
              <m:sty m:val="p"/>
            </m:rPr>
            <m:t>Health Risk</m:t>
          </m:r>
          <m:r>
            <m:rPr/>
            <m:t>,</m:t>
          </m:r>
        </m:oMath>
      </m:oMathPara>
    </w:p>
    <w:p>
      <w:r>
        <w:t xml:space="preserve">where p = Probability of a house having a treatment. The interpretation of</w:t>
      </w:r>
      <w:r>
        <w:t xml:space="preserve"> </w:t>
      </w:r>
      <m:oMath>
        <m:sSub>
          <m:e>
            <m:r>
              <m:rPr/>
              <m:t>β</m:t>
            </m:r>
          </m:e>
          <m:sub>
            <m:r>
              <m:rPr/>
              <m:t>2</m:t>
            </m:r>
          </m:sub>
        </m:sSub>
      </m:oMath>
      <w:r>
        <w:t xml:space="preserve"> </w:t>
      </w:r>
      <w:r>
        <w:t xml:space="preserve">and</w:t>
      </w:r>
      <w:r>
        <w:t xml:space="preserve"> </w:t>
      </w:r>
      <m:oMath>
        <m:sSub>
          <m:e>
            <m:r>
              <m:rPr/>
              <m:t>β</m:t>
            </m:r>
          </m:e>
          <m:sub>
            <m:r>
              <m:rPr/>
              <m:t>3</m:t>
            </m:r>
          </m:sub>
        </m:sSub>
      </m:oMath>
      <w:r>
        <w:t xml:space="preserve"> </w:t>
      </w:r>
      <w:r>
        <w:t xml:space="preserve">is the same as</w:t>
      </w:r>
      <w:r>
        <w:t xml:space="preserve"> </w:t>
      </w:r>
      <m:oMath>
        <m:sSub>
          <m:e>
            <m:r>
              <m:rPr/>
              <m:t>β</m:t>
            </m:r>
          </m:e>
          <m:sub>
            <m:r>
              <m:rPr/>
              <m:t>1</m:t>
            </m:r>
          </m:sub>
        </m:sSub>
      </m:oMath>
      <w:r>
        <w:t xml:space="preserve"> </w:t>
      </w:r>
      <w:r>
        <w:t xml:space="preserve">from the primary analysis, but specific to a risk type.</w:t>
      </w:r>
    </w:p>
    <w:bookmarkStart w:id="33" w:name="sensitivity-analyses"/>
    <w:p>
      <w:pPr>
        <w:pStyle w:val="Heading2"/>
      </w:pPr>
      <w:r>
        <w:t xml:space="preserve">Sensitivity Analyses</w:t>
      </w:r>
    </w:p>
    <w:bookmarkEnd w:id="33"/>
    <w:p>
      <w:r>
        <w:t xml:space="preserve">It is important to note that the result of a type II error from the test of</w:t>
      </w:r>
      <w:r>
        <w:t xml:space="preserve"> </w:t>
      </w:r>
      <m:oMath>
        <m:sSub>
          <m:e>
            <m:r>
              <m:rPr/>
              <m:t>H</m:t>
            </m:r>
          </m:e>
          <m:sub>
            <m:r>
              <m:rPr/>
              <m:t>0</m:t>
            </m:r>
          </m:sub>
        </m:sSub>
      </m:oMath>
      <w:r>
        <w:t xml:space="preserve"> </w:t>
      </w:r>
      <w:r>
        <w:t xml:space="preserve">using logistic regression could result in an unnecessary change in protocol because we fail to find a preferential administration of treatments to the high risk households when there really is one. This failure to find a difference could be due solely to poor power in the test. In the logistic regression the null hypothesis,</w:t>
      </w:r>
      <w:r>
        <w:t xml:space="preserve"> </w:t>
      </w:r>
      <m:oMath>
        <m:sSub>
          <m:e>
            <m:r>
              <m:rPr/>
              <m:t>H</m:t>
            </m:r>
          </m:e>
          <m:sub>
            <m:r>
              <m:rPr/>
              <m:t>0</m:t>
            </m:r>
          </m:sub>
        </m:sSub>
      </m:oMath>
      <w:r>
        <w:t xml:space="preserve">, is no difference in the administration of treatments. Under this null the probability of finding a difference when there really is none is controlled at</w:t>
      </w:r>
      <w:r>
        <w:t xml:space="preserve"> </w:t>
      </w:r>
      <m:oMath>
        <m:r>
          <m:rPr/>
          <m:t>α</m:t>
        </m:r>
        <m:r>
          <m:rPr/>
          <m:t>=</m:t>
        </m:r>
        <m:r>
          <m:rPr/>
          <m:t>0</m:t>
        </m:r>
        <m:r>
          <m:rPr/>
          <m:t>.</m:t>
        </m:r>
        <m:r>
          <m:rPr/>
          <m:t>05</m:t>
        </m:r>
      </m:oMath>
      <w:r>
        <w:t xml:space="preserve">. However, since protocols are in place to provide bed nets and spraying to at risk households, we feel it is also important to directly test whether high risk households are equally likely to receive a treatment as low risk households. We will test this hypothesis by modifying the null and alternative hypotheses:</w:t>
      </w:r>
    </w:p>
    <w:p>
      <m:oMath>
        <m:sSub>
          <m:e>
            <m:r>
              <m:rPr/>
              <m:t>H</m:t>
            </m:r>
          </m:e>
          <m:sub>
            <m:r>
              <m:rPr/>
              <m:t>0</m:t>
            </m:r>
          </m:sub>
        </m:sSub>
        <m:r>
          <m:rPr/>
          <m:t>:</m:t>
        </m:r>
      </m:oMath>
      <w:r>
        <w:t xml:space="preserve"> </w:t>
      </w:r>
      <w:r>
        <w:t xml:space="preserve">High-risk households are more likely to receive treatment than low-risk households.</w:t>
      </w:r>
      <w:r>
        <w:br w:type="textWrapping"/>
      </w:r>
      <m:oMath>
        <m:sSub>
          <m:e>
            <m:r>
              <m:rPr/>
              <m:t>H</m:t>
            </m:r>
          </m:e>
          <m:sub>
            <m:r>
              <m:rPr/>
              <m:t>a</m:t>
            </m:r>
          </m:sub>
        </m:sSub>
        <m:r>
          <m:rPr/>
          <m:t>:</m:t>
        </m:r>
      </m:oMath>
      <w:r>
        <w:t xml:space="preserve"> </w:t>
      </w:r>
      <w:r>
        <w:t xml:space="preserve">High-risk households are not more likely to receive treatment than low-risk households.</w:t>
      </w:r>
    </w:p>
    <w:p>
      <w:r>
        <w:t xml:space="preserve">Therefore, it is appropriate to set the null hypothesis to test whether</w:t>
      </w:r>
      <w:r>
        <w:t xml:space="preserve"> </w:t>
      </w:r>
      <m:oMath>
        <m:sSub>
          <m:e>
            <m:r>
              <m:rPr/>
              <m:t>β</m:t>
            </m:r>
          </m:e>
          <m:sub>
            <m:r>
              <m:rPr/>
              <m:t>1</m:t>
            </m:r>
          </m:sub>
        </m:sSub>
      </m:oMath>
      <w:r>
        <w:t xml:space="preserve"> </w:t>
      </w:r>
      <w:r>
        <w:t xml:space="preserve">lies outside an equivalence margin (a difference which policy makers would consider trivial). Unfortunately, it is unclear what the size of equivalence margin would be considered appropriate for policy makers. Therefore, we will test equivalence with 3 different margins: OR=0.95-1.05, 0.90-1.10, and 0.85-1.15. We will use a two-one-sided test (TOST) procedure to test for equivalence by treating</w:t>
      </w:r>
      <w:r>
        <w:t xml:space="preserve"> </w:t>
      </w:r>
      <m:oMath>
        <m:sSub>
          <m:e>
            <m:r>
              <m:rPr/>
              <m:t>β</m:t>
            </m:r>
          </m:e>
          <m:sub>
            <m:r>
              <m:rPr/>
              <m:t>1</m:t>
            </m:r>
          </m:sub>
        </m:sSub>
      </m:oMath>
      <w:r>
        <w:t xml:space="preserve"> </w:t>
      </w:r>
      <w:r>
        <w:t xml:space="preserve">as the measured difference between high-risk and low-risk households.</w:t>
      </w:r>
    </w:p>
    <w:p>
      <w:r>
        <w:t xml:space="preserve">Table 2: Parameter estimates and 95% confidence intervals from tests of secondary objectives. Table 3: Parameter estimates and 95% confidence intervals from sensitivity analyses.</w:t>
      </w:r>
      <w:r>
        <w:br w:type="textWrapping"/>
      </w:r>
      <w:r>
        <w:t xml:space="preserve">Figure 1: Map of high site showing risk level and treatment type for each household.</w:t>
      </w:r>
      <w:r>
        <w:br w:type="textWrapping"/>
      </w:r>
      <w:r>
        <w:t xml:space="preserve">Figure 2: Map of low site shwoing risk level and treatment type for each household.</w:t>
      </w:r>
    </w:p>
    <w:p>
      <w:pPr>
        <w:pStyle w:val="SourceCode"/>
      </w:pPr>
      <w:r>
        <w:rPr>
          <w:rStyle w:val="VerbatimChar"/>
        </w:rPr>
        <w:t xml:space="preserve">## Warning: package 'raster' was built under R version 3.1.2</w:t>
      </w:r>
    </w:p>
    <w:p>
      <w:r>
        <w:drawing>
          <wp:inline>
            <wp:extent cx="4610100" cy="3695700"/>
            <wp:effectExtent b="0" l="0" r="0" t="0"/>
            <wp:docPr descr="" id="1" name="Picture"/>
            <a:graphic>
              <a:graphicData uri="http://schemas.openxmlformats.org/drawingml/2006/picture">
                <pic:pic>
                  <pic:nvPicPr>
                    <pic:cNvPr descr="./Project_report_files/figure-docx/smoothTWI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Project_report_files/figure-docx/smoothTWI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6464300" cy="6464300"/>
            <wp:effectExtent b="0" l="0" r="0" t="0"/>
            <wp:docPr descr="" id="1" name="Picture"/>
            <a:graphic>
              <a:graphicData uri="http://schemas.openxmlformats.org/drawingml/2006/picture">
                <pic:pic>
                  <pic:nvPicPr>
                    <pic:cNvPr descr="./Project_report_files/figure-docx/plotCombrisk1.png" id="0" name="Picture"/>
                    <pic:cNvPicPr>
                      <a:picLocks noChangeArrowheads="1" noChangeAspect="1"/>
                    </pic:cNvPicPr>
                  </pic:nvPicPr>
                  <pic:blipFill>
                    <a:blip r:embed="rId36"/>
                    <a:stretch>
                      <a:fillRect/>
                    </a:stretch>
                  </pic:blipFill>
                  <pic:spPr bwMode="auto">
                    <a:xfrm>
                      <a:off x="0" y="0"/>
                      <a:ext cx="6464300" cy="6464300"/>
                    </a:xfrm>
                    <a:prstGeom prst="rect">
                      <a:avLst/>
                    </a:prstGeom>
                    <a:noFill/>
                    <a:ln w="9525">
                      <a:noFill/>
                      <a:headEnd/>
                      <a:tailEnd/>
                    </a:ln>
                  </pic:spPr>
                </pic:pic>
              </a:graphicData>
            </a:graphic>
          </wp:inline>
        </w:drawing>
      </w:r>
      <w:r>
        <w:t xml:space="preserve"> </w:t>
      </w:r>
      <w:r>
        <w:drawing>
          <wp:inline>
            <wp:extent cx="6464300" cy="6464300"/>
            <wp:effectExtent b="0" l="0" r="0" t="0"/>
            <wp:docPr descr="" id="1" name="Picture"/>
            <a:graphic>
              <a:graphicData uri="http://schemas.openxmlformats.org/drawingml/2006/picture">
                <pic:pic>
                  <pic:nvPicPr>
                    <pic:cNvPr descr="./Project_report_files/figure-docx/plotCombrisk2.png" id="0" name="Picture"/>
                    <pic:cNvPicPr>
                      <a:picLocks noChangeArrowheads="1" noChangeAspect="1"/>
                    </pic:cNvPicPr>
                  </pic:nvPicPr>
                  <pic:blipFill>
                    <a:blip r:embed="rId37"/>
                    <a:stretch>
                      <a:fillRect/>
                    </a:stretch>
                  </pic:blipFill>
                  <pic:spPr bwMode="auto">
                    <a:xfrm>
                      <a:off x="0" y="0"/>
                      <a:ext cx="6464300" cy="6464300"/>
                    </a:xfrm>
                    <a:prstGeom prst="rect">
                      <a:avLst/>
                    </a:prstGeom>
                    <a:noFill/>
                    <a:ln w="9525">
                      <a:noFill/>
                      <a:headEnd/>
                      <a:tailEnd/>
                    </a:ln>
                  </pic:spPr>
                </pic:pic>
              </a:graphicData>
            </a:graphic>
          </wp:inline>
        </w:drawing>
      </w:r>
    </w:p>
    <w:p>
      <w:r>
        <w:t xml:space="preserve">Table 2. Odds of receiving a treatment as a function of combined risk.</w:t>
      </w:r>
    </w:p>
    <w:tbl>
      <w:tblPr>
        <w:tblStyle w:val="TableNormal"/>
      </w:tblPr>
      <w:tblGrid>
        <w:gridCol w:w="770"/>
        <w:gridCol w:w="1320"/>
        <w:gridCol w:w="550"/>
        <w:gridCol w:w="1650"/>
        <w:gridCol w:w="1650"/>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1.35</w:t>
            </w:r>
          </w:p>
        </w:tc>
      </w:tr>
      <w:tr>
        <w:tc>
          <w:p/>
        </w:tc>
        <w:tc>
          <w:p>
            <w:pPr>
              <w:pStyle w:val="Compact"/>
              <w:jc w:val="center"/>
            </w:pPr>
            <w:r>
              <w:t xml:space="preserve">Spray</w:t>
            </w:r>
          </w:p>
        </w:tc>
        <w:tc>
          <w:p>
            <w:pPr>
              <w:pStyle w:val="Compact"/>
              <w:jc w:val="center"/>
            </w:pPr>
            <w:r>
              <w:t xml:space="preserve">1.15</w:t>
            </w:r>
          </w:p>
        </w:tc>
        <w:tc>
          <w:p>
            <w:pPr>
              <w:pStyle w:val="Compact"/>
              <w:jc w:val="center"/>
            </w:pPr>
            <w:r>
              <w:t xml:space="preserve">1.03</w:t>
            </w:r>
          </w:p>
        </w:tc>
        <w:tc>
          <w:p>
            <w:pPr>
              <w:pStyle w:val="Compact"/>
              <w:jc w:val="center"/>
            </w:pPr>
            <w:r>
              <w:t xml:space="preserve">1.29</w:t>
            </w:r>
          </w:p>
        </w:tc>
      </w:tr>
      <w:tr>
        <w:tc>
          <w:p>
            <w:pPr>
              <w:pStyle w:val="Compact"/>
              <w:jc w:val="center"/>
            </w:pPr>
            <w:r>
              <w:t xml:space="preserve">Low</w:t>
            </w:r>
          </w:p>
        </w:tc>
        <w:tc>
          <w:p>
            <w:pPr>
              <w:pStyle w:val="Compact"/>
              <w:jc w:val="center"/>
            </w:pPr>
            <w:r>
              <w:t xml:space="preserve">Net</w:t>
            </w:r>
          </w:p>
        </w:tc>
        <w:tc>
          <w:p>
            <w:pPr>
              <w:pStyle w:val="Compact"/>
              <w:jc w:val="center"/>
            </w:pPr>
            <w:r>
              <w:t xml:space="preserve">0.95</w:t>
            </w:r>
          </w:p>
        </w:tc>
        <w:tc>
          <w:p>
            <w:pPr>
              <w:pStyle w:val="Compact"/>
              <w:jc w:val="center"/>
            </w:pPr>
            <w:r>
              <w:t xml:space="preserve">0.73</w:t>
            </w:r>
          </w:p>
        </w:tc>
        <w:tc>
          <w:p>
            <w:pPr>
              <w:pStyle w:val="Compact"/>
              <w:jc w:val="center"/>
            </w:pPr>
            <w:r>
              <w:t xml:space="preserve">1.24</w:t>
            </w:r>
          </w:p>
        </w:tc>
      </w:tr>
      <w:tr>
        <w:tc>
          <w:p/>
        </w:tc>
        <w:tc>
          <w:p>
            <w:pPr>
              <w:pStyle w:val="Compact"/>
              <w:jc w:val="center"/>
            </w:pPr>
            <w:r>
              <w:t xml:space="preserve">Spray</w:t>
            </w:r>
          </w:p>
        </w:tc>
        <w:tc>
          <w:p>
            <w:pPr>
              <w:pStyle w:val="Compact"/>
              <w:jc w:val="center"/>
            </w:pPr>
            <w:r>
              <w:t xml:space="preserve">0.98</w:t>
            </w:r>
          </w:p>
        </w:tc>
        <w:tc>
          <w:p>
            <w:pPr>
              <w:pStyle w:val="Compact"/>
              <w:jc w:val="center"/>
            </w:pPr>
            <w:r>
              <w:t xml:space="preserve">0.64</w:t>
            </w:r>
          </w:p>
        </w:tc>
        <w:tc>
          <w:p>
            <w:pPr>
              <w:pStyle w:val="Compact"/>
              <w:jc w:val="center"/>
            </w:pPr>
            <w:r>
              <w:t xml:space="preserve">1.5</w:t>
            </w:r>
          </w:p>
        </w:tc>
      </w:tr>
    </w:tbl>
    <w:p>
      <w:r>
        <w:t xml:space="preserve">Table 3. Odds of treatment from risk of either mosquito exposure or malaria risk.</w:t>
      </w:r>
    </w:p>
    <w:tbl>
      <w:tblPr>
        <w:tblStyle w:val="TableNormal"/>
      </w:tblPr>
      <w:tblGrid>
        <w:gridCol w:w="533"/>
        <w:gridCol w:w="913"/>
        <w:gridCol w:w="837"/>
        <w:gridCol w:w="990"/>
        <w:gridCol w:w="990"/>
        <w:gridCol w:w="1218"/>
        <w:gridCol w:w="1218"/>
        <w:gridCol w:w="1218"/>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Age Risk</w:t>
            </w:r>
          </w:p>
        </w:tc>
        <w:tc>
          <w:tcPr>
            <w:tcBorders>
              <w:bottom w:val="single"/>
            </w:tcBorders>
            <w:vAlign w:val="bottom"/>
          </w:tcPr>
          <w:p>
            <w:pPr>
              <w:pStyle w:val="Compact"/>
              <w:jc w:val="center"/>
            </w:pPr>
            <w:r>
              <w:t xml:space="preserve">Mosquito Risk</w:t>
            </w:r>
          </w:p>
        </w:tc>
        <w:tc>
          <w:tcPr>
            <w:tcBorders>
              <w:bottom w:val="single"/>
            </w:tcBorders>
            <w:vAlign w:val="bottom"/>
          </w:tcPr>
          <w:p>
            <w:pPr>
              <w:pStyle w:val="Compact"/>
              <w:jc w:val="center"/>
            </w:pPr>
            <w:r>
              <w:t xml:space="preserve">Mosquito Risk</w:t>
            </w:r>
          </w:p>
        </w:tc>
        <w:tc>
          <w:tcPr>
            <w:tcBorders>
              <w:bottom w:val="single"/>
            </w:tcBorders>
            <w:vAlign w:val="bottom"/>
          </w:tcPr>
          <w:p>
            <w:pPr>
              <w:pStyle w:val="Compact"/>
              <w:jc w:val="center"/>
            </w:pPr>
            <w:r>
              <w:t xml:space="preserve">Mosquito Risk</w:t>
            </w:r>
          </w:p>
        </w:tc>
      </w:tr>
      <w:tr>
        <w:tc>
          <w:p/>
        </w:tc>
        <w:tc>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1.36</w:t>
            </w:r>
          </w:p>
        </w:tc>
        <w:tc>
          <w:p>
            <w:pPr>
              <w:pStyle w:val="Compact"/>
              <w:jc w:val="center"/>
            </w:pPr>
            <w:r>
              <w:t xml:space="preserve">1.01</w:t>
            </w:r>
          </w:p>
        </w:tc>
        <w:tc>
          <w:p>
            <w:pPr>
              <w:pStyle w:val="Compact"/>
              <w:jc w:val="center"/>
            </w:pPr>
            <w:r>
              <w:t xml:space="preserve">0.93</w:t>
            </w:r>
          </w:p>
        </w:tc>
        <w:tc>
          <w:p>
            <w:pPr>
              <w:pStyle w:val="Compact"/>
              <w:jc w:val="center"/>
            </w:pPr>
            <w:r>
              <w:t xml:space="preserve">1.1</w:t>
            </w:r>
          </w:p>
        </w:tc>
      </w:tr>
      <w:tr>
        <w:tc>
          <w:p/>
        </w:tc>
        <w:tc>
          <w:p>
            <w:pPr>
              <w:pStyle w:val="Compact"/>
              <w:jc w:val="center"/>
            </w:pPr>
            <w:r>
              <w:t xml:space="preserve">Spray</w:t>
            </w:r>
          </w:p>
        </w:tc>
        <w:tc>
          <w:p>
            <w:pPr>
              <w:pStyle w:val="Compact"/>
              <w:jc w:val="center"/>
            </w:pPr>
            <w:r>
              <w:t xml:space="preserve">1.11</w:t>
            </w:r>
          </w:p>
        </w:tc>
        <w:tc>
          <w:p>
            <w:pPr>
              <w:pStyle w:val="Compact"/>
              <w:jc w:val="center"/>
            </w:pPr>
            <w:r>
              <w:t xml:space="preserve">0.99</w:t>
            </w:r>
          </w:p>
        </w:tc>
        <w:tc>
          <w:p>
            <w:pPr>
              <w:pStyle w:val="Compact"/>
              <w:jc w:val="center"/>
            </w:pPr>
            <w:r>
              <w:t xml:space="preserve">1.25</w:t>
            </w:r>
          </w:p>
        </w:tc>
        <w:tc>
          <w:p>
            <w:pPr>
              <w:pStyle w:val="Compact"/>
              <w:jc w:val="center"/>
            </w:pPr>
            <w:r>
              <w:t xml:space="preserve">1.32</w:t>
            </w:r>
          </w:p>
        </w:tc>
        <w:tc>
          <w:p>
            <w:pPr>
              <w:pStyle w:val="Compact"/>
              <w:jc w:val="center"/>
            </w:pPr>
            <w:r>
              <w:t xml:space="preserve">1.14</w:t>
            </w:r>
          </w:p>
        </w:tc>
        <w:tc>
          <w:p>
            <w:pPr>
              <w:pStyle w:val="Compact"/>
              <w:jc w:val="center"/>
            </w:pPr>
            <w:r>
              <w:t xml:space="preserve">1.53</w:t>
            </w:r>
          </w:p>
        </w:tc>
      </w:tr>
      <w:tr>
        <w:tc>
          <w:p>
            <w:pPr>
              <w:pStyle w:val="Compact"/>
              <w:jc w:val="center"/>
            </w:pPr>
            <w:r>
              <w:t xml:space="preserve">Low</w:t>
            </w:r>
          </w:p>
        </w:tc>
        <w:tc>
          <w:p>
            <w:pPr>
              <w:pStyle w:val="Compact"/>
              <w:jc w:val="center"/>
            </w:pPr>
            <w:r>
              <w:t xml:space="preserve">Net</w:t>
            </w:r>
          </w:p>
        </w:tc>
        <w:tc>
          <w:p>
            <w:pPr>
              <w:pStyle w:val="Compact"/>
              <w:jc w:val="center"/>
            </w:pPr>
            <w:r>
              <w:t xml:space="preserve">1.05</w:t>
            </w:r>
          </w:p>
        </w:tc>
        <w:tc>
          <w:p>
            <w:pPr>
              <w:pStyle w:val="Compact"/>
              <w:jc w:val="center"/>
            </w:pPr>
            <w:r>
              <w:t xml:space="preserve">0.8</w:t>
            </w:r>
          </w:p>
        </w:tc>
        <w:tc>
          <w:p>
            <w:pPr>
              <w:pStyle w:val="Compact"/>
              <w:jc w:val="center"/>
            </w:pPr>
            <w:r>
              <w:t xml:space="preserve">1.38</w:t>
            </w:r>
          </w:p>
        </w:tc>
        <w:tc>
          <w:p>
            <w:pPr>
              <w:pStyle w:val="Compact"/>
              <w:jc w:val="center"/>
            </w:pPr>
            <w:r>
              <w:t xml:space="preserve">0.58</w:t>
            </w:r>
          </w:p>
        </w:tc>
        <w:tc>
          <w:p>
            <w:pPr>
              <w:pStyle w:val="Compact"/>
              <w:jc w:val="center"/>
            </w:pPr>
            <w:r>
              <w:t xml:space="preserve">0.31</w:t>
            </w:r>
          </w:p>
        </w:tc>
        <w:tc>
          <w:p>
            <w:pPr>
              <w:pStyle w:val="Compact"/>
              <w:jc w:val="center"/>
            </w:pPr>
            <w:r>
              <w:t xml:space="preserve">1.1</w:t>
            </w:r>
          </w:p>
        </w:tc>
      </w:tr>
      <w:tr>
        <w:tc>
          <w:p/>
        </w:tc>
        <w:tc>
          <w:p>
            <w:pPr>
              <w:pStyle w:val="Compact"/>
              <w:jc w:val="center"/>
            </w:pPr>
            <w:r>
              <w:t xml:space="preserve">Spray</w:t>
            </w:r>
          </w:p>
        </w:tc>
        <w:tc>
          <w:p>
            <w:pPr>
              <w:pStyle w:val="Compact"/>
              <w:jc w:val="center"/>
            </w:pPr>
            <w:r>
              <w:t xml:space="preserve">1.22</w:t>
            </w:r>
          </w:p>
        </w:tc>
        <w:tc>
          <w:p>
            <w:pPr>
              <w:pStyle w:val="Compact"/>
              <w:jc w:val="center"/>
            </w:pPr>
            <w:r>
              <w:t xml:space="preserve">0.73</w:t>
            </w:r>
          </w:p>
        </w:tc>
        <w:tc>
          <w:p>
            <w:pPr>
              <w:pStyle w:val="Compact"/>
              <w:jc w:val="center"/>
            </w:pPr>
            <w:r>
              <w:t xml:space="preserve">2.05</w:t>
            </w:r>
          </w:p>
        </w:tc>
        <w:tc>
          <w:p>
            <w:pPr>
              <w:pStyle w:val="Compact"/>
              <w:jc w:val="center"/>
            </w:pPr>
            <w:r>
              <w:t xml:space="preserve">0.34</w:t>
            </w:r>
          </w:p>
        </w:tc>
        <w:tc>
          <w:p>
            <w:pPr>
              <w:pStyle w:val="Compact"/>
              <w:jc w:val="center"/>
            </w:pPr>
            <w:r>
              <w:t xml:space="preserve">0.15</w:t>
            </w:r>
          </w:p>
        </w:tc>
        <w:tc>
          <w:p>
            <w:pPr>
              <w:pStyle w:val="Compact"/>
              <w:jc w:val="center"/>
            </w:pPr>
            <w:r>
              <w:t xml:space="preserve">0.79</w:t>
            </w:r>
          </w:p>
        </w:tc>
      </w:tr>
    </w:tbl>
    <w:p>
      <w:r>
        <w:drawing>
          <wp:inline>
            <wp:extent cx="6464300" cy="6464300"/>
            <wp:effectExtent b="0" l="0" r="0" t="0"/>
            <wp:docPr descr="" id="1" name="Picture"/>
            <a:graphic>
              <a:graphicData uri="http://schemas.openxmlformats.org/drawingml/2006/picture">
                <pic:pic>
                  <pic:nvPicPr>
                    <pic:cNvPr descr="./Project_report_files/figure-docx/plotCombrisk_sens1.png" id="0" name="Picture"/>
                    <pic:cNvPicPr>
                      <a:picLocks noChangeArrowheads="1" noChangeAspect="1"/>
                    </pic:cNvPicPr>
                  </pic:nvPicPr>
                  <pic:blipFill>
                    <a:blip r:embed="rId38"/>
                    <a:stretch>
                      <a:fillRect/>
                    </a:stretch>
                  </pic:blipFill>
                  <pic:spPr bwMode="auto">
                    <a:xfrm>
                      <a:off x="0" y="0"/>
                      <a:ext cx="6464300" cy="6464300"/>
                    </a:xfrm>
                    <a:prstGeom prst="rect">
                      <a:avLst/>
                    </a:prstGeom>
                    <a:noFill/>
                    <a:ln w="9525">
                      <a:noFill/>
                      <a:headEnd/>
                      <a:tailEnd/>
                    </a:ln>
                  </pic:spPr>
                </pic:pic>
              </a:graphicData>
            </a:graphic>
          </wp:inline>
        </w:drawing>
      </w:r>
      <w:r>
        <w:t xml:space="preserve"> </w:t>
      </w:r>
      <w:r>
        <w:drawing>
          <wp:inline>
            <wp:extent cx="6464300" cy="6464300"/>
            <wp:effectExtent b="0" l="0" r="0" t="0"/>
            <wp:docPr descr="" id="1" name="Picture"/>
            <a:graphic>
              <a:graphicData uri="http://schemas.openxmlformats.org/drawingml/2006/picture">
                <pic:pic>
                  <pic:nvPicPr>
                    <pic:cNvPr descr="./Project_report_files/figure-docx/plotCombrisk_sens2.png" id="0" name="Picture"/>
                    <pic:cNvPicPr>
                      <a:picLocks noChangeArrowheads="1" noChangeAspect="1"/>
                    </pic:cNvPicPr>
                  </pic:nvPicPr>
                  <pic:blipFill>
                    <a:blip r:embed="rId39"/>
                    <a:stretch>
                      <a:fillRect/>
                    </a:stretch>
                  </pic:blipFill>
                  <pic:spPr bwMode="auto">
                    <a:xfrm>
                      <a:off x="0" y="0"/>
                      <a:ext cx="6464300" cy="6464300"/>
                    </a:xfrm>
                    <a:prstGeom prst="rect">
                      <a:avLst/>
                    </a:prstGeom>
                    <a:noFill/>
                    <a:ln w="9525">
                      <a:noFill/>
                      <a:headEnd/>
                      <a:tailEnd/>
                    </a:ln>
                  </pic:spPr>
                </pic:pic>
              </a:graphicData>
            </a:graphic>
          </wp:inline>
        </w:drawing>
      </w:r>
    </w:p>
    <w:p>
      <w:r>
        <w:t xml:space="preserve">Table 4. Comparison of restricted TWI results with general TWI results.</w:t>
      </w:r>
    </w:p>
    <w:tbl>
      <w:tblPr>
        <w:tblStyle w:val="TableNormal"/>
      </w:tblPr>
      <w:tblGrid>
        <w:gridCol w:w="622"/>
        <w:gridCol w:w="1067"/>
        <w:gridCol w:w="444"/>
        <w:gridCol w:w="1334"/>
        <w:gridCol w:w="1334"/>
        <w:gridCol w:w="444"/>
        <w:gridCol w:w="1334"/>
        <w:gridCol w:w="1334"/>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Lower 95% CI</w:t>
            </w:r>
          </w:p>
        </w:tc>
        <w:tc>
          <w:tcPr>
            <w:tcBorders>
              <w:bottom w:val="single"/>
            </w:tcBorders>
            <w:vAlign w:val="bottom"/>
          </w:tcPr>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1.35</w:t>
            </w:r>
          </w:p>
        </w:tc>
        <w:tc>
          <w:p>
            <w:pPr>
              <w:pStyle w:val="Compact"/>
              <w:jc w:val="center"/>
            </w:pPr>
            <w:r>
              <w:t xml:space="preserve">1.34</w:t>
            </w:r>
          </w:p>
        </w:tc>
        <w:tc>
          <w:p>
            <w:pPr>
              <w:pStyle w:val="Compact"/>
              <w:jc w:val="center"/>
            </w:pPr>
            <w:r>
              <w:t xml:space="preserve">1.22</w:t>
            </w:r>
          </w:p>
        </w:tc>
        <w:tc>
          <w:p>
            <w:pPr>
              <w:pStyle w:val="Compact"/>
              <w:jc w:val="center"/>
            </w:pPr>
            <w:r>
              <w:t xml:space="preserve">1.48</w:t>
            </w:r>
          </w:p>
        </w:tc>
      </w:tr>
      <w:tr>
        <w:tc>
          <w:p/>
        </w:tc>
        <w:tc>
          <w:p>
            <w:pPr>
              <w:pStyle w:val="Compact"/>
              <w:jc w:val="center"/>
            </w:pPr>
            <w:r>
              <w:t xml:space="preserve">Spray</w:t>
            </w:r>
          </w:p>
        </w:tc>
        <w:tc>
          <w:p>
            <w:pPr>
              <w:pStyle w:val="Compact"/>
              <w:jc w:val="center"/>
            </w:pPr>
            <w:r>
              <w:t xml:space="preserve">1.15</w:t>
            </w:r>
          </w:p>
        </w:tc>
        <w:tc>
          <w:p>
            <w:pPr>
              <w:pStyle w:val="Compact"/>
              <w:jc w:val="center"/>
            </w:pPr>
            <w:r>
              <w:t xml:space="preserve">1.03</w:t>
            </w:r>
          </w:p>
        </w:tc>
        <w:tc>
          <w:p>
            <w:pPr>
              <w:pStyle w:val="Compact"/>
              <w:jc w:val="center"/>
            </w:pPr>
            <w:r>
              <w:t xml:space="preserve">1.29</w:t>
            </w:r>
          </w:p>
        </w:tc>
        <w:tc>
          <w:p>
            <w:pPr>
              <w:pStyle w:val="Compact"/>
              <w:jc w:val="center"/>
            </w:pPr>
            <w:r>
              <w:t xml:space="preserve">1.33</w:t>
            </w:r>
          </w:p>
        </w:tc>
        <w:tc>
          <w:p>
            <w:pPr>
              <w:pStyle w:val="Compact"/>
              <w:jc w:val="center"/>
            </w:pPr>
            <w:r>
              <w:t xml:space="preserve">1.12</w:t>
            </w:r>
          </w:p>
        </w:tc>
        <w:tc>
          <w:p>
            <w:pPr>
              <w:pStyle w:val="Compact"/>
              <w:jc w:val="center"/>
            </w:pPr>
            <w:r>
              <w:t xml:space="preserve">1.57</w:t>
            </w:r>
          </w:p>
        </w:tc>
      </w:tr>
      <w:tr>
        <w:tc>
          <w:p>
            <w:pPr>
              <w:pStyle w:val="Compact"/>
              <w:jc w:val="center"/>
            </w:pPr>
            <w:r>
              <w:t xml:space="preserve">Low</w:t>
            </w:r>
          </w:p>
        </w:tc>
        <w:tc>
          <w:p>
            <w:pPr>
              <w:pStyle w:val="Compact"/>
              <w:jc w:val="center"/>
            </w:pPr>
            <w:r>
              <w:t xml:space="preserve">Net</w:t>
            </w:r>
          </w:p>
        </w:tc>
        <w:tc>
          <w:p>
            <w:pPr>
              <w:pStyle w:val="Compact"/>
              <w:jc w:val="center"/>
            </w:pPr>
            <w:r>
              <w:t xml:space="preserve">0.95</w:t>
            </w:r>
          </w:p>
        </w:tc>
        <w:tc>
          <w:p>
            <w:pPr>
              <w:pStyle w:val="Compact"/>
              <w:jc w:val="center"/>
            </w:pPr>
            <w:r>
              <w:t xml:space="preserve">0.73</w:t>
            </w:r>
          </w:p>
        </w:tc>
        <w:tc>
          <w:p>
            <w:pPr>
              <w:pStyle w:val="Compact"/>
              <w:jc w:val="center"/>
            </w:pPr>
            <w:r>
              <w:t xml:space="preserve">1.24</w:t>
            </w:r>
          </w:p>
        </w:tc>
        <w:tc>
          <w:p>
            <w:pPr>
              <w:pStyle w:val="Compact"/>
              <w:jc w:val="center"/>
            </w:pPr>
            <w:r>
              <w:t xml:space="preserve">1.07</w:t>
            </w:r>
          </w:p>
        </w:tc>
        <w:tc>
          <w:p>
            <w:pPr>
              <w:pStyle w:val="Compact"/>
              <w:jc w:val="center"/>
            </w:pPr>
            <w:r>
              <w:t xml:space="preserve">0.69</w:t>
            </w:r>
          </w:p>
        </w:tc>
        <w:tc>
          <w:p>
            <w:pPr>
              <w:pStyle w:val="Compact"/>
              <w:jc w:val="center"/>
            </w:pPr>
            <w:r>
              <w:t xml:space="preserve">1.64</w:t>
            </w:r>
          </w:p>
        </w:tc>
      </w:tr>
      <w:tr>
        <w:tc>
          <w:p/>
        </w:tc>
        <w:tc>
          <w:p>
            <w:pPr>
              <w:pStyle w:val="Compact"/>
              <w:jc w:val="center"/>
            </w:pPr>
            <w:r>
              <w:t xml:space="preserve">Spray</w:t>
            </w:r>
          </w:p>
        </w:tc>
        <w:tc>
          <w:p>
            <w:pPr>
              <w:pStyle w:val="Compact"/>
              <w:jc w:val="center"/>
            </w:pPr>
            <w:r>
              <w:t xml:space="preserve">0.98</w:t>
            </w:r>
          </w:p>
        </w:tc>
        <w:tc>
          <w:p>
            <w:pPr>
              <w:pStyle w:val="Compact"/>
              <w:jc w:val="center"/>
            </w:pPr>
            <w:r>
              <w:t xml:space="preserve">0.64</w:t>
            </w:r>
          </w:p>
        </w:tc>
        <w:tc>
          <w:p>
            <w:pPr>
              <w:pStyle w:val="Compact"/>
              <w:jc w:val="center"/>
            </w:pPr>
            <w:r>
              <w:t xml:space="preserve">1.5</w:t>
            </w:r>
          </w:p>
        </w:tc>
        <w:tc>
          <w:p>
            <w:pPr>
              <w:pStyle w:val="Compact"/>
              <w:jc w:val="center"/>
            </w:pPr>
            <w:r>
              <w:t xml:space="preserve">1.31</w:t>
            </w:r>
          </w:p>
        </w:tc>
        <w:tc>
          <w:p>
            <w:pPr>
              <w:pStyle w:val="Compact"/>
              <w:jc w:val="center"/>
            </w:pPr>
            <w:r>
              <w:t xml:space="preserve">0.63</w:t>
            </w:r>
          </w:p>
        </w:tc>
        <w:tc>
          <w:p>
            <w:pPr>
              <w:pStyle w:val="Compact"/>
              <w:jc w:val="center"/>
            </w:pPr>
            <w:r>
              <w:t xml:space="preserve">2.7</w:t>
            </w:r>
          </w:p>
        </w:tc>
      </w:tr>
    </w:tbl>
    <w:p>
      <w:r>
        <w:t xml:space="preserve">Table 5. Comparison of the odds of receiving a treatment based on health risk due to age with and without the inclusion of elderly household members.</w:t>
      </w:r>
    </w:p>
    <w:tbl>
      <w:tblPr>
        <w:tblStyle w:val="TableNormal"/>
      </w:tblPr>
      <w:tblGrid>
        <w:gridCol w:w="407"/>
        <w:gridCol w:w="698"/>
        <w:gridCol w:w="1339"/>
        <w:gridCol w:w="1339"/>
        <w:gridCol w:w="1339"/>
        <w:gridCol w:w="931"/>
        <w:gridCol w:w="931"/>
        <w:gridCol w:w="931"/>
      </w:tblGrid>
      <w:tr>
        <w:tc>
          <w:tcPr>
            <w:tcBorders>
              <w:bottom w:val="single"/>
            </w:tcBorders>
            <w:vAlign w:val="bottom"/>
          </w:tcPr>
          <w:p>
            <w:pPr>
              <w:pStyle w:val="Compact"/>
              <w:jc w:val="center"/>
            </w:pPr>
            <w:r>
              <w:t xml:space="preserve">Site</w:t>
            </w:r>
          </w:p>
        </w:tc>
        <w:tc>
          <w:tcPr>
            <w:tcBorders>
              <w:bottom w:val="single"/>
            </w:tcBorders>
            <w:vAlign w:val="bottom"/>
          </w:tcPr>
          <w:p>
            <w:pPr>
              <w:pStyle w:val="Compact"/>
              <w:jc w:val="center"/>
            </w:pPr>
            <w:r>
              <w:t xml:space="preserve">Treatment</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 or &gt;65)</w:t>
            </w:r>
          </w:p>
        </w:tc>
        <w:tc>
          <w:tcPr>
            <w:tcBorders>
              <w:bottom w:val="single"/>
            </w:tcBorders>
            <w:vAlign w:val="bottom"/>
          </w:tcPr>
          <w:p>
            <w:pPr>
              <w:pStyle w:val="Compact"/>
              <w:jc w:val="center"/>
            </w:pPr>
            <w:r>
              <w:t xml:space="preserve">Age Risk (&lt;5)</w:t>
            </w:r>
          </w:p>
        </w:tc>
        <w:tc>
          <w:tcPr>
            <w:tcBorders>
              <w:bottom w:val="single"/>
            </w:tcBorders>
            <w:vAlign w:val="bottom"/>
          </w:tcPr>
          <w:p>
            <w:pPr>
              <w:pStyle w:val="Compact"/>
              <w:jc w:val="center"/>
            </w:pPr>
            <w:r>
              <w:t xml:space="preserve">Age Risk (&lt;5)</w:t>
            </w:r>
          </w:p>
        </w:tc>
        <w:tc>
          <w:tcPr>
            <w:tcBorders>
              <w:bottom w:val="single"/>
            </w:tcBorders>
            <w:vAlign w:val="bottom"/>
          </w:tcPr>
          <w:p>
            <w:pPr>
              <w:pStyle w:val="Compact"/>
              <w:jc w:val="center"/>
            </w:pPr>
            <w:r>
              <w:t xml:space="preserve">Age Risk (&lt;5)</w:t>
            </w:r>
          </w:p>
        </w:tc>
      </w:tr>
      <w:tr>
        <w:tc>
          <w:p/>
        </w:tc>
        <w:tc>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c>
          <w:p>
            <w:pPr>
              <w:pStyle w:val="Compact"/>
              <w:jc w:val="center"/>
            </w:pPr>
            <w:r>
              <w:t xml:space="preserve">OR</w:t>
            </w:r>
          </w:p>
        </w:tc>
        <w:tc>
          <w:p>
            <w:pPr>
              <w:pStyle w:val="Compact"/>
              <w:jc w:val="center"/>
            </w:pPr>
            <w:r>
              <w:t xml:space="preserve">Lower 95% CI</w:t>
            </w:r>
          </w:p>
        </w:tc>
        <w:tc>
          <w:p>
            <w:pPr>
              <w:pStyle w:val="Compact"/>
              <w:jc w:val="center"/>
            </w:pPr>
            <w:r>
              <w:t xml:space="preserve">Upper 95% CI</w:t>
            </w:r>
          </w:p>
        </w:tc>
      </w:tr>
      <w:tr>
        <w:tc>
          <w:p>
            <w:pPr>
              <w:pStyle w:val="Compact"/>
              <w:jc w:val="center"/>
            </w:pPr>
            <w:r>
              <w:t xml:space="preserve">High</w:t>
            </w:r>
          </w:p>
        </w:tc>
        <w:tc>
          <w:p>
            <w:pPr>
              <w:pStyle w:val="Compact"/>
              <w:jc w:val="center"/>
            </w:pPr>
            <w:r>
              <w:t xml:space="preserve">Net</w:t>
            </w:r>
          </w:p>
        </w:tc>
        <w:tc>
          <w:p>
            <w:pPr>
              <w:pStyle w:val="Compact"/>
              <w:jc w:val="center"/>
            </w:pPr>
            <w:r>
              <w:t xml:space="preserve">1.27</w:t>
            </w:r>
          </w:p>
        </w:tc>
        <w:tc>
          <w:p>
            <w:pPr>
              <w:pStyle w:val="Compact"/>
              <w:jc w:val="center"/>
            </w:pPr>
            <w:r>
              <w:t xml:space="preserve">1.18</w:t>
            </w:r>
          </w:p>
        </w:tc>
        <w:tc>
          <w:p>
            <w:pPr>
              <w:pStyle w:val="Compact"/>
              <w:jc w:val="center"/>
            </w:pPr>
            <w:r>
              <w:t xml:space="preserve">1.36</w:t>
            </w:r>
          </w:p>
        </w:tc>
        <w:tc>
          <w:p>
            <w:pPr>
              <w:pStyle w:val="Compact"/>
              <w:jc w:val="center"/>
            </w:pPr>
            <w:r>
              <w:t xml:space="preserve">1.36</w:t>
            </w:r>
          </w:p>
        </w:tc>
        <w:tc>
          <w:p>
            <w:pPr>
              <w:pStyle w:val="Compact"/>
              <w:jc w:val="center"/>
            </w:pPr>
            <w:r>
              <w:t xml:space="preserve">1.27</w:t>
            </w:r>
          </w:p>
        </w:tc>
        <w:tc>
          <w:p>
            <w:pPr>
              <w:pStyle w:val="Compact"/>
              <w:jc w:val="center"/>
            </w:pPr>
            <w:r>
              <w:t xml:space="preserve">1.45</w:t>
            </w:r>
          </w:p>
        </w:tc>
      </w:tr>
      <w:tr>
        <w:tc>
          <w:p/>
        </w:tc>
        <w:tc>
          <w:p>
            <w:pPr>
              <w:pStyle w:val="Compact"/>
              <w:jc w:val="center"/>
            </w:pPr>
            <w:r>
              <w:t xml:space="preserve">Spray</w:t>
            </w:r>
          </w:p>
        </w:tc>
        <w:tc>
          <w:p>
            <w:pPr>
              <w:pStyle w:val="Compact"/>
              <w:jc w:val="center"/>
            </w:pPr>
            <w:r>
              <w:t xml:space="preserve">1.11</w:t>
            </w:r>
          </w:p>
        </w:tc>
        <w:tc>
          <w:p>
            <w:pPr>
              <w:pStyle w:val="Compact"/>
              <w:jc w:val="center"/>
            </w:pPr>
            <w:r>
              <w:t xml:space="preserve">0.99</w:t>
            </w:r>
          </w:p>
        </w:tc>
        <w:tc>
          <w:p>
            <w:pPr>
              <w:pStyle w:val="Compact"/>
              <w:jc w:val="center"/>
            </w:pPr>
            <w:r>
              <w:t xml:space="preserve">1.25</w:t>
            </w:r>
          </w:p>
        </w:tc>
        <w:tc>
          <w:p>
            <w:pPr>
              <w:pStyle w:val="Compact"/>
              <w:jc w:val="center"/>
            </w:pPr>
            <w:r>
              <w:t xml:space="preserve">1.08</w:t>
            </w:r>
          </w:p>
        </w:tc>
        <w:tc>
          <w:p>
            <w:pPr>
              <w:pStyle w:val="Compact"/>
              <w:jc w:val="center"/>
            </w:pPr>
            <w:r>
              <w:t xml:space="preserve">0.96</w:t>
            </w:r>
          </w:p>
        </w:tc>
        <w:tc>
          <w:p>
            <w:pPr>
              <w:pStyle w:val="Compact"/>
              <w:jc w:val="center"/>
            </w:pPr>
            <w:r>
              <w:t xml:space="preserve">1.22</w:t>
            </w:r>
          </w:p>
        </w:tc>
      </w:tr>
      <w:tr>
        <w:tc>
          <w:p>
            <w:pPr>
              <w:pStyle w:val="Compact"/>
              <w:jc w:val="center"/>
            </w:pPr>
            <w:r>
              <w:t xml:space="preserve">Low</w:t>
            </w:r>
          </w:p>
        </w:tc>
        <w:tc>
          <w:p>
            <w:pPr>
              <w:pStyle w:val="Compact"/>
              <w:jc w:val="center"/>
            </w:pPr>
            <w:r>
              <w:t xml:space="preserve">Net</w:t>
            </w:r>
          </w:p>
        </w:tc>
        <w:tc>
          <w:p>
            <w:pPr>
              <w:pStyle w:val="Compact"/>
              <w:jc w:val="center"/>
            </w:pPr>
            <w:r>
              <w:t xml:space="preserve">1.05</w:t>
            </w:r>
          </w:p>
        </w:tc>
        <w:tc>
          <w:p>
            <w:pPr>
              <w:pStyle w:val="Compact"/>
              <w:jc w:val="center"/>
            </w:pPr>
            <w:r>
              <w:t xml:space="preserve">0.8</w:t>
            </w:r>
          </w:p>
        </w:tc>
        <w:tc>
          <w:p>
            <w:pPr>
              <w:pStyle w:val="Compact"/>
              <w:jc w:val="center"/>
            </w:pPr>
            <w:r>
              <w:t xml:space="preserve">1.38</w:t>
            </w:r>
          </w:p>
        </w:tc>
        <w:tc>
          <w:p>
            <w:pPr>
              <w:pStyle w:val="Compact"/>
              <w:jc w:val="center"/>
            </w:pPr>
            <w:r>
              <w:t xml:space="preserve">1.21</w:t>
            </w:r>
          </w:p>
        </w:tc>
        <w:tc>
          <w:p>
            <w:pPr>
              <w:pStyle w:val="Compact"/>
              <w:jc w:val="center"/>
            </w:pPr>
            <w:r>
              <w:t xml:space="preserve">0.94</w:t>
            </w:r>
          </w:p>
        </w:tc>
        <w:tc>
          <w:p>
            <w:pPr>
              <w:pStyle w:val="Compact"/>
              <w:jc w:val="center"/>
            </w:pPr>
            <w:r>
              <w:t xml:space="preserve">1.55</w:t>
            </w:r>
          </w:p>
        </w:tc>
      </w:tr>
      <w:tr>
        <w:tc>
          <w:p/>
        </w:tc>
        <w:tc>
          <w:p>
            <w:pPr>
              <w:pStyle w:val="Compact"/>
              <w:jc w:val="center"/>
            </w:pPr>
            <w:r>
              <w:t xml:space="preserve">Spray</w:t>
            </w:r>
          </w:p>
        </w:tc>
        <w:tc>
          <w:p>
            <w:pPr>
              <w:pStyle w:val="Compact"/>
              <w:jc w:val="center"/>
            </w:pPr>
            <w:r>
              <w:t xml:space="preserve">1.22</w:t>
            </w:r>
          </w:p>
        </w:tc>
        <w:tc>
          <w:p>
            <w:pPr>
              <w:pStyle w:val="Compact"/>
              <w:jc w:val="center"/>
            </w:pPr>
            <w:r>
              <w:t xml:space="preserve">0.73</w:t>
            </w:r>
          </w:p>
        </w:tc>
        <w:tc>
          <w:p>
            <w:pPr>
              <w:pStyle w:val="Compact"/>
              <w:jc w:val="center"/>
            </w:pPr>
            <w:r>
              <w:t xml:space="preserve">2.05</w:t>
            </w:r>
          </w:p>
        </w:tc>
        <w:tc>
          <w:p>
            <w:pPr>
              <w:pStyle w:val="Compact"/>
              <w:jc w:val="center"/>
            </w:pPr>
            <w:r>
              <w:t xml:space="preserve">1.08</w:t>
            </w:r>
          </w:p>
        </w:tc>
        <w:tc>
          <w:p>
            <w:pPr>
              <w:pStyle w:val="Compact"/>
              <w:jc w:val="center"/>
            </w:pPr>
            <w:r>
              <w:t xml:space="preserve">0.67</w:t>
            </w:r>
          </w:p>
        </w:tc>
        <w:tc>
          <w:p>
            <w:pPr>
              <w:pStyle w:val="Compact"/>
              <w:jc w:val="center"/>
            </w:pPr>
            <w:r>
              <w:t xml:space="preserve">1.74</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ac9a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5" Target="http://www.biota-africa.de/East_GISWeb2_ba.php" TargetMode="External" /></Relationships>
</file>

<file path=word/_rels/footnotes.xml.rels><?xml version="1.0" encoding="UTF-8"?>
<Relationships xmlns="http://schemas.openxmlformats.org/package/2006/relationships"><Relationship Type="http://schemas.openxmlformats.org/officeDocument/2006/relationships/hyperlink" Id="rId25" Target="http://www.biota-africa.de/East_GISWeb2_ba.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Biostat Project</dc:title>
  <dc:creator>DominicLaRoche</dc:creator>
</cp:coreProperties>
</file>