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2741D93"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bookmarkStart w:id="0" w:name="_GoBack"/>
      <w:bookmarkEnd w:id="0"/>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Marks (2000) emphasized this relationship in his statement,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Lloyd, 1980).</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 xml:space="preserve">Minkel et al. (2012),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 xml:space="preserve">lower perceived stress (VanKim &amp; Nelson, 2013). </w:t>
      </w:r>
      <w:r w:rsidR="009155FE">
        <w:rPr>
          <w:color w:val="000000" w:themeColor="text1"/>
        </w:rPr>
        <w:t>Findings such as this make it clear that if one wants 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Manger &amp; Motta (2005) saw an improvement in the symptoms of Post-traumatic Stress Disorder (PTSD), anxiety, and depression, as a result.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Fedewa &amp; Ahn, 2011;</w:t>
      </w:r>
      <w:r w:rsidR="009C7B62">
        <w:t xml:space="preserve">Sadeh et al., 2003; </w:t>
      </w:r>
      <w:r w:rsidR="009C7B62">
        <w:rPr>
          <w:rFonts w:ascii="Times New Roman" w:hAnsi="Times New Roman"/>
        </w:rPr>
        <w:t>Turner, Drummond, Salamat, and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w:t>
      </w:r>
    </w:p>
    <w:p w14:paraId="08004333" w14:textId="6D9D6405"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E011C4">
        <w:t>specific aims</w:t>
      </w:r>
      <w:r w:rsidR="009D78D9">
        <w:t xml:space="preserve"> and hypothese</w:t>
      </w:r>
      <w:r w:rsidR="00A36AAB" w:rsidRPr="00A36AAB">
        <w:t>s:</w:t>
      </w:r>
    </w:p>
    <w:p w14:paraId="69E31274" w14:textId="77777777" w:rsidR="007264B2" w:rsidRPr="007264B2" w:rsidRDefault="007264B2" w:rsidP="007264B2">
      <w:pPr>
        <w:autoSpaceDE w:val="0"/>
        <w:autoSpaceDN w:val="0"/>
        <w:adjustRightInd w:val="0"/>
        <w:rPr>
          <w:b/>
          <w:color w:val="000000" w:themeColor="text1"/>
        </w:rPr>
      </w:pPr>
      <w:r w:rsidRPr="007264B2">
        <w:rPr>
          <w:b/>
          <w:color w:val="000000" w:themeColor="text1"/>
        </w:rPr>
        <w:t xml:space="preserve">Specific Aim 1: </w:t>
      </w:r>
      <w:r w:rsidRPr="007264B2">
        <w:rPr>
          <w:rFonts w:ascii="Times New Roman" w:hAnsi="Times New Roman"/>
          <w:b/>
        </w:rPr>
        <w:t>To document the effects of stressful life events (SLEs) on academic engagement (AE) in undergraduate students.</w:t>
      </w:r>
    </w:p>
    <w:p w14:paraId="4747E7EC" w14:textId="77777777"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We hypothesize that increased levels of life stressors will be associated with lower levels of academic engagement.  Specifically, we believe that academic engagement as measured by SCEQ will be lower in undergraduate students who experience a greater number of stressful life events as determined by USQ. </w:t>
      </w:r>
    </w:p>
    <w:p w14:paraId="58FF38A1" w14:textId="77777777" w:rsidR="007264B2" w:rsidRPr="007264B2" w:rsidRDefault="007264B2" w:rsidP="007264B2">
      <w:pPr>
        <w:rPr>
          <w:rFonts w:ascii="Times New Roman" w:hAnsi="Times New Roman"/>
          <w:b/>
        </w:rPr>
      </w:pPr>
      <w:r w:rsidRPr="007264B2">
        <w:rPr>
          <w:rFonts w:ascii="Times New Roman" w:hAnsi="Times New Roman"/>
          <w:b/>
        </w:rPr>
        <w:t>Specific Aim 2:  To document the relationship between sleep hygiene (SH) and academic engagement in undergraduate students.</w:t>
      </w:r>
    </w:p>
    <w:p w14:paraId="522C60F0" w14:textId="77777777"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2: We hypothesize that as sleep hygiene is impaired so will academic engagement in undergraduate students. We postulate that academic engagement will be lower in undergraduate students who experience reduced levels of healthy sleep hygiene practices as measured by the SHI. </w:t>
      </w:r>
    </w:p>
    <w:p w14:paraId="2DBB9D5E" w14:textId="77777777" w:rsidR="00652A39" w:rsidRPr="0045064D" w:rsidRDefault="00652A39" w:rsidP="00652A39">
      <w:pPr>
        <w:rPr>
          <w:rFonts w:ascii="Times New Roman" w:hAnsi="Times New Roman"/>
          <w:b/>
        </w:rPr>
      </w:pPr>
      <w:r w:rsidRPr="0045064D">
        <w:rPr>
          <w:rFonts w:ascii="Times New Roman" w:hAnsi="Times New Roman"/>
          <w:b/>
        </w:rPr>
        <w:t xml:space="preserve">Specific Aim 3:  To determine if sleep hygiene mediates the relationship between stressful life events and academic engagement.  </w:t>
      </w:r>
    </w:p>
    <w:p w14:paraId="1190E582" w14:textId="77777777" w:rsidR="00652A39" w:rsidRPr="0045064D" w:rsidRDefault="00652A39" w:rsidP="00652A39">
      <w:pPr>
        <w:rPr>
          <w:rFonts w:ascii="Times New Roman" w:hAnsi="Times New Roman"/>
          <w:i/>
        </w:rPr>
      </w:pPr>
      <w:r w:rsidRPr="0045064D">
        <w:rPr>
          <w:rFonts w:ascii="Times New Roman" w:hAnsi="Times New Roman"/>
          <w:i/>
        </w:rPr>
        <w:t xml:space="preserve">Hypothesis 3: We hypothesize that students with higher levels of stressful life events will experience lower academic engagement if they show poor sleep hygiene practices. We believe that the relationship between stressful life events and academic engagement will be partially or fully explained by sleep hygiene practices in undergraduate students. </w:t>
      </w:r>
    </w:p>
    <w:p w14:paraId="22931DDC" w14:textId="1E7859DA" w:rsidR="001C7A71" w:rsidRDefault="00652A39" w:rsidP="0045064D">
      <w:pPr>
        <w:rPr>
          <w:rFonts w:ascii="Times New Roman" w:hAnsi="Times New Roman"/>
          <w:i/>
        </w:rPr>
      </w:pPr>
      <w:r w:rsidRPr="0045064D">
        <w:rPr>
          <w:rFonts w:ascii="Times New Roman" w:hAnsi="Times New Roman"/>
          <w:i/>
        </w:rPr>
        <w:t>Additionally, we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5E614D2E" w14:textId="77777777" w:rsidR="00652A39" w:rsidRPr="00652A39" w:rsidRDefault="00652A39" w:rsidP="00652A39">
      <w:pPr>
        <w:rPr>
          <w:rFonts w:ascii="Times New Roman" w:hAnsi="Times New Roman"/>
          <w:b/>
        </w:rPr>
      </w:pPr>
      <w:r w:rsidRPr="00652A39">
        <w:rPr>
          <w:rFonts w:ascii="Times New Roman" w:hAnsi="Times New Roman"/>
          <w:b/>
        </w:rPr>
        <w:t>Specific Aim 4:  To document the effects of physical activity on academic engagement in undergraduate students.</w:t>
      </w:r>
    </w:p>
    <w:p w14:paraId="68DA6703" w14:textId="791F0643" w:rsidR="005105C2" w:rsidRPr="00652A39" w:rsidRDefault="00652A39" w:rsidP="005105C2">
      <w:pPr>
        <w:rPr>
          <w:rFonts w:ascii="Times New Roman" w:hAnsi="Times New Roman"/>
          <w:i/>
          <w:color w:val="000000"/>
        </w:rPr>
      </w:pPr>
      <w:r w:rsidRPr="00652A39">
        <w:rPr>
          <w:rFonts w:ascii="Times New Roman" w:hAnsi="Times New Roman"/>
          <w:i/>
          <w:color w:val="000000"/>
        </w:rPr>
        <w:t>Hypothesis 4: We hypothesize that increased levels of exercise (based on number of days per week) for strenuous exercise will be associated with lower levels of Academic Engagement; most specifically for the participation factor.</w:t>
      </w:r>
    </w:p>
    <w:p w14:paraId="6E1B9563" w14:textId="77777777" w:rsidR="006B36AB" w:rsidRPr="006B36AB" w:rsidRDefault="006B36AB" w:rsidP="006B36AB">
      <w:pPr>
        <w:rPr>
          <w:rFonts w:ascii="Times New Roman" w:hAnsi="Times New Roman"/>
          <w:b/>
        </w:rPr>
      </w:pPr>
      <w:r w:rsidRPr="006B36AB">
        <w:rPr>
          <w:rFonts w:ascii="Times New Roman" w:hAnsi="Times New Roman"/>
          <w:b/>
        </w:rPr>
        <w:t xml:space="preserve">Specific Aim 5:  To determine if exercise moderates the relationship between stressful life events and academic engagement. </w:t>
      </w:r>
    </w:p>
    <w:p w14:paraId="333EFA77" w14:textId="77777777" w:rsidR="006B36AB" w:rsidRPr="006B36AB" w:rsidRDefault="006B36AB" w:rsidP="006B36AB">
      <w:pPr>
        <w:rPr>
          <w:rFonts w:ascii="Times New Roman" w:hAnsi="Times New Roman"/>
          <w:i/>
        </w:rPr>
      </w:pPr>
      <w:r w:rsidRPr="006B36AB">
        <w:rPr>
          <w:rFonts w:ascii="Times New Roman" w:hAnsi="Times New Roman"/>
          <w:i/>
        </w:rPr>
        <w:t>Hypothesis 5: We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we postulate that high levels of strenuous activity will reduce the effect of stressful life events on academic engagement.</w:t>
      </w:r>
    </w:p>
    <w:p w14:paraId="3213F8EB" w14:textId="77777777" w:rsidR="006B36AB" w:rsidRPr="006B36AB" w:rsidRDefault="006B36AB" w:rsidP="006B36AB">
      <w:pPr>
        <w:rPr>
          <w:rFonts w:ascii="Times New Roman" w:hAnsi="Times New Roman"/>
          <w:b/>
        </w:rPr>
      </w:pPr>
      <w:r w:rsidRPr="006B36AB">
        <w:rPr>
          <w:rFonts w:ascii="Times New Roman" w:hAnsi="Times New Roman"/>
          <w:b/>
        </w:rPr>
        <w:t xml:space="preserve">Specific Aim 6:  To identify the hierarchical influence of the effects of stressful life events, sleep hygiene, and exercise on academic engagement.  </w:t>
      </w:r>
    </w:p>
    <w:p w14:paraId="0743CAA1" w14:textId="5A1B371A" w:rsidR="00571B29" w:rsidRPr="00D4582F" w:rsidRDefault="006B36AB" w:rsidP="00D4582F">
      <w:pPr>
        <w:rPr>
          <w:rFonts w:ascii="Times New Roman" w:hAnsi="Times New Roman"/>
          <w:i/>
        </w:rPr>
      </w:pPr>
      <w:r w:rsidRPr="006B36AB">
        <w:rPr>
          <w:rFonts w:ascii="Times New Roman" w:hAnsi="Times New Roman"/>
          <w:i/>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r w:rsidR="00571B29">
        <w:rPr>
          <w:b/>
        </w:rPr>
        <w:br w:type="page"/>
      </w:r>
    </w:p>
    <w:p w14:paraId="3CFE7B89" w14:textId="0F9AEC2D" w:rsidR="00177810" w:rsidRDefault="00810354" w:rsidP="00810354">
      <w:pPr>
        <w:jc w:val="center"/>
        <w:rPr>
          <w:b/>
        </w:rPr>
      </w:pPr>
      <w:r>
        <w:rPr>
          <w:b/>
        </w:rPr>
        <w:t>CHAPTER 2</w:t>
      </w:r>
    </w:p>
    <w:p w14:paraId="2CF606F9" w14:textId="73B0B802" w:rsidR="00F92C00" w:rsidRDefault="00810354" w:rsidP="00902765">
      <w:pPr>
        <w:jc w:val="center"/>
        <w:rPr>
          <w:b/>
        </w:rPr>
      </w:pPr>
      <w:r>
        <w:rPr>
          <w:b/>
        </w:rPr>
        <w:t>REVIEW OF RELEVANT LITERATURE</w:t>
      </w:r>
    </w:p>
    <w:p w14:paraId="59BC7751" w14:textId="16C013DE"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634CAD">
        <w:t>impacts, types</w:t>
      </w:r>
      <w:r w:rsidR="00D4028F">
        <w:t xml:space="preserve">, and </w:t>
      </w:r>
      <w:r w:rsidR="005544C4">
        <w:t xml:space="preserve">assessment measures </w:t>
      </w:r>
      <w:r w:rsidR="00634CAD">
        <w:t>of stress and highlighted</w:t>
      </w:r>
      <w:r w:rsidR="00D74EF0">
        <w:t xml:space="preserve"> self-care practices </w:t>
      </w:r>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05646CDA"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2DE78090"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6310804F"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6EBCA6C0"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9CA5E3C"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t>CHAPTER 3</w:t>
      </w:r>
    </w:p>
    <w:p w14:paraId="1EA48CE3" w14:textId="29BDA061" w:rsidR="00F74DBB" w:rsidRDefault="00F74DBB" w:rsidP="00F74DBB">
      <w:pPr>
        <w:ind w:firstLine="0"/>
        <w:jc w:val="center"/>
        <w:rPr>
          <w:b/>
        </w:rPr>
      </w:pPr>
      <w:r>
        <w:rPr>
          <w:b/>
        </w:rPr>
        <w:t>METHODOLOGY</w:t>
      </w:r>
    </w:p>
    <w:p w14:paraId="6ABE80C1" w14:textId="1EE32862"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w:t>
      </w:r>
      <w:r w:rsidR="00B24C1E">
        <w:t>e</w:t>
      </w:r>
      <w:r w:rsidR="00D13DF7">
        <w:t>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B7121B8"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1A5771" w:rsidRDefault="003626FF" w:rsidP="00171CED">
      <w:pPr>
        <w:ind w:firstLine="0"/>
        <w:rPr>
          <w:rFonts w:ascii="Times New Roman" w:hAnsi="Times New Roman"/>
          <w:color w:val="7030A0"/>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9F26FD">
        <w:rPr>
          <w:rFonts w:ascii="Times New Roman" w:hAnsi="Times New Roman"/>
        </w:rPr>
        <w:t xml:space="preserve"> using a </w:t>
      </w:r>
      <w:r w:rsidR="009F26FD">
        <w:rPr>
          <w:rFonts w:ascii="Times New Roman" w:hAnsi="Times New Roman"/>
          <w:color w:val="7030A0"/>
        </w:rPr>
        <w:t>yes/no</w:t>
      </w:r>
      <w:r w:rsidR="007E2266">
        <w:rPr>
          <w:rFonts w:ascii="Times New Roman" w:hAnsi="Times New Roman"/>
        </w:rPr>
        <w:t xml:space="preserve"> format</w:t>
      </w:r>
      <w:r w:rsidR="009F26FD">
        <w:rPr>
          <w:rFonts w:ascii="Times New Roman" w:hAnsi="Times New Roman"/>
        </w:rPr>
        <w:t xml:space="preserve"> </w:t>
      </w:r>
      <w:r w:rsidR="009F26FD" w:rsidRPr="009F26FD">
        <w:rPr>
          <w:rFonts w:ascii="Times New Roman" w:hAnsi="Times New Roman"/>
          <w:color w:val="7030A0"/>
        </w:rPr>
        <w:t>of “it happened to me” or “it did NOT happen to me.”</w:t>
      </w:r>
      <w:r w:rsidR="00171CED">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r w:rsidR="001A5771">
        <w:rPr>
          <w:rFonts w:ascii="Times New Roman" w:hAnsi="Times New Roman"/>
          <w:color w:val="7030A0"/>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F74DBB">
        <w:rPr>
          <w:rFonts w:ascii="Times New Roman" w:hAnsi="Times New Roman"/>
          <w:b/>
        </w:rPr>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w:t>
      </w:r>
      <w:r w:rsidR="003941FE">
        <w:rPr>
          <w:rFonts w:ascii="Times New Roman" w:hAnsi="Times New Roman"/>
        </w:rPr>
        <w:t xml:space="preserve">ow often they complete </w:t>
      </w:r>
      <w:r w:rsidR="003941FE" w:rsidRPr="003941FE">
        <w:rPr>
          <w:rFonts w:ascii="Times New Roman" w:hAnsi="Times New Roman"/>
          <w:color w:val="7030A0"/>
        </w:rPr>
        <w:t xml:space="preserve">20 minutes </w:t>
      </w:r>
      <w:r w:rsidR="003C7839">
        <w:rPr>
          <w:rFonts w:ascii="Times New Roman" w:hAnsi="Times New Roman"/>
        </w:rPr>
        <w:t>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2CAC6D80"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276703">
        <w:rPr>
          <w:color w:val="000000" w:themeColor="text1"/>
        </w:rPr>
        <w:t>we</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w:t>
      </w:r>
      <w:r w:rsidR="00EA0289">
        <w:rPr>
          <w:color w:val="000000" w:themeColor="text1"/>
        </w:rPr>
        <w:t>regression assumptions to include but not limited to issues regarding multicollinearity, high leverage data points (outliers), and homogeneity, normality, and independence of residuals.</w:t>
      </w:r>
    </w:p>
    <w:p w14:paraId="1ED3ACDB" w14:textId="4EB6A83A" w:rsidR="00271376" w:rsidRPr="00276703" w:rsidRDefault="008273ED" w:rsidP="000D728D">
      <w:pPr>
        <w:autoSpaceDE w:val="0"/>
        <w:autoSpaceDN w:val="0"/>
        <w:adjustRightInd w:val="0"/>
        <w:ind w:firstLine="0"/>
        <w:rPr>
          <w:b/>
          <w:color w:val="000000" w:themeColor="text1"/>
        </w:rPr>
      </w:pPr>
      <w:r>
        <w:rPr>
          <w:color w:val="000000" w:themeColor="text1"/>
        </w:rPr>
        <w:tab/>
      </w:r>
      <w:r w:rsidR="00BC6442">
        <w:rPr>
          <w:b/>
          <w:color w:val="000000" w:themeColor="text1"/>
        </w:rPr>
        <w:t>Specific Aim</w:t>
      </w:r>
      <w:r>
        <w:rPr>
          <w:b/>
          <w:color w:val="000000" w:themeColor="text1"/>
        </w:rPr>
        <w:t xml:space="preserve"> 1: </w:t>
      </w:r>
      <w:r w:rsidR="00271376" w:rsidRPr="000D728D">
        <w:rPr>
          <w:rFonts w:ascii="Times New Roman" w:hAnsi="Times New Roman"/>
        </w:rPr>
        <w:t>To document the effects of stressful life events</w:t>
      </w:r>
      <w:r w:rsidR="00C37814">
        <w:rPr>
          <w:rFonts w:ascii="Times New Roman" w:hAnsi="Times New Roman"/>
        </w:rPr>
        <w:t xml:space="preserve"> (SLEs)</w:t>
      </w:r>
      <w:r w:rsidR="00271376" w:rsidRPr="00276703">
        <w:rPr>
          <w:rFonts w:ascii="Times New Roman" w:hAnsi="Times New Roman"/>
        </w:rPr>
        <w:t xml:space="preserve"> on academic engagement</w:t>
      </w:r>
      <w:r w:rsidR="00C37814">
        <w:rPr>
          <w:rFonts w:ascii="Times New Roman" w:hAnsi="Times New Roman"/>
        </w:rPr>
        <w:t xml:space="preserve"> (AE)</w:t>
      </w:r>
      <w:r w:rsidR="00271376" w:rsidRPr="00276703">
        <w:rPr>
          <w:rFonts w:ascii="Times New Roman" w:hAnsi="Times New Roman"/>
        </w:rPr>
        <w:t xml:space="preserve"> in undergraduate students.</w:t>
      </w:r>
    </w:p>
    <w:p w14:paraId="399B0BC0" w14:textId="4414F892" w:rsidR="00271376" w:rsidRDefault="00271376" w:rsidP="00271376">
      <w:pPr>
        <w:rPr>
          <w:rFonts w:ascii="Times New Roman" w:hAnsi="Times New Roman"/>
          <w:color w:val="000000"/>
        </w:rPr>
      </w:pPr>
      <w:r w:rsidRPr="00276703">
        <w:rPr>
          <w:rFonts w:ascii="Times New Roman" w:hAnsi="Times New Roman"/>
          <w:b/>
          <w:color w:val="000000"/>
        </w:rPr>
        <w:t>Hypothesis 1:</w:t>
      </w:r>
      <w:r w:rsidRPr="00276703">
        <w:rPr>
          <w:rFonts w:ascii="Times New Roman" w:hAnsi="Times New Roman"/>
          <w:color w:val="000000"/>
        </w:rPr>
        <w:t xml:space="preserve"> We hypothesize that increased levels of life stressors will be associated with lower levels of academic engagement.  </w:t>
      </w:r>
      <w:r w:rsidR="008105FC">
        <w:rPr>
          <w:rFonts w:ascii="Times New Roman" w:hAnsi="Times New Roman"/>
          <w:color w:val="000000"/>
        </w:rPr>
        <w:t>Specifically, w</w:t>
      </w:r>
      <w:r w:rsidRPr="00276703">
        <w:rPr>
          <w:rFonts w:ascii="Times New Roman" w:hAnsi="Times New Roman"/>
          <w:color w:val="000000"/>
        </w:rPr>
        <w:t xml:space="preserve">e believe that academic engagement </w:t>
      </w:r>
      <w:r w:rsidR="00DE45D5">
        <w:rPr>
          <w:rFonts w:ascii="Times New Roman" w:hAnsi="Times New Roman"/>
          <w:color w:val="000000"/>
        </w:rPr>
        <w:t>as measured by SCEQ</w:t>
      </w:r>
      <w:r w:rsidR="008105FC">
        <w:rPr>
          <w:rFonts w:ascii="Times New Roman" w:hAnsi="Times New Roman"/>
          <w:color w:val="000000"/>
        </w:rPr>
        <w:t xml:space="preserve"> </w:t>
      </w:r>
      <w:r w:rsidRPr="00276703">
        <w:rPr>
          <w:rFonts w:ascii="Times New Roman" w:hAnsi="Times New Roman"/>
          <w:color w:val="000000"/>
        </w:rPr>
        <w:t>will be lower in undergraduate students who experience a greater number of stressful life events</w:t>
      </w:r>
      <w:r w:rsidR="008105FC">
        <w:rPr>
          <w:rFonts w:ascii="Times New Roman" w:hAnsi="Times New Roman"/>
          <w:color w:val="000000"/>
        </w:rPr>
        <w:t xml:space="preserve"> as determined by </w:t>
      </w:r>
      <w:r w:rsidR="00DE45D5">
        <w:rPr>
          <w:rFonts w:ascii="Times New Roman" w:hAnsi="Times New Roman"/>
          <w:color w:val="000000"/>
        </w:rPr>
        <w:t>USQ.</w:t>
      </w:r>
      <w:r w:rsidRPr="00276703">
        <w:rPr>
          <w:rFonts w:ascii="Times New Roman" w:hAnsi="Times New Roman"/>
          <w:color w:val="000000"/>
        </w:rPr>
        <w:t xml:space="preserve"> </w:t>
      </w:r>
    </w:p>
    <w:p w14:paraId="74432850" w14:textId="47AF0468"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 xml:space="preserve"> correlation between stress and both overall engagement and each of the four factors of engagement.</w:t>
      </w:r>
    </w:p>
    <w:p w14:paraId="0C1E9574" w14:textId="1FB0EBD1" w:rsidR="00271376" w:rsidRPr="00276703" w:rsidRDefault="00271376" w:rsidP="00271376">
      <w:pPr>
        <w:rPr>
          <w:rFonts w:ascii="Times New Roman" w:hAnsi="Times New Roman"/>
        </w:rPr>
      </w:pPr>
      <w:r w:rsidRPr="00DB2E62">
        <w:rPr>
          <w:rFonts w:ascii="Times New Roman" w:hAnsi="Times New Roman"/>
          <w:b/>
        </w:rPr>
        <w:t>Specific Aim 2:</w:t>
      </w:r>
      <w:r w:rsidRPr="00276703">
        <w:rPr>
          <w:rFonts w:ascii="Times New Roman" w:hAnsi="Times New Roman"/>
        </w:rPr>
        <w:t xml:space="preserve">  To document the relationship between sleep hygiene</w:t>
      </w:r>
      <w:r w:rsidR="00C37814">
        <w:rPr>
          <w:rFonts w:ascii="Times New Roman" w:hAnsi="Times New Roman"/>
        </w:rPr>
        <w:t xml:space="preserve"> (SH)</w:t>
      </w:r>
      <w:r w:rsidRPr="00276703">
        <w:rPr>
          <w:rFonts w:ascii="Times New Roman" w:hAnsi="Times New Roman"/>
        </w:rPr>
        <w:t xml:space="preserve"> and academic engagement in undergraduate students.</w:t>
      </w:r>
    </w:p>
    <w:p w14:paraId="0C58284F" w14:textId="6E01A4EE" w:rsidR="00271376" w:rsidRDefault="00271376" w:rsidP="00271376">
      <w:pPr>
        <w:rPr>
          <w:rFonts w:ascii="Times New Roman" w:hAnsi="Times New Roman"/>
          <w:color w:val="000000"/>
        </w:rPr>
      </w:pPr>
      <w:r w:rsidRPr="00276703">
        <w:rPr>
          <w:rFonts w:ascii="Times New Roman" w:hAnsi="Times New Roman"/>
          <w:b/>
          <w:color w:val="000000"/>
        </w:rPr>
        <w:t>Hypothesis 2:</w:t>
      </w:r>
      <w:r w:rsidRPr="00276703">
        <w:rPr>
          <w:rFonts w:ascii="Times New Roman" w:hAnsi="Times New Roman"/>
          <w:color w:val="000000"/>
        </w:rPr>
        <w:t xml:space="preserve"> We hypothesize that as sleep hygiene is impaired so will academic engagement in undergraduate students. We postulate that academic engagement will be lower in undergraduate students who experience reduced levels of healthy sleep hygiene practices</w:t>
      </w:r>
      <w:r w:rsidR="006A0B61">
        <w:rPr>
          <w:rFonts w:ascii="Times New Roman" w:hAnsi="Times New Roman"/>
          <w:color w:val="000000"/>
        </w:rPr>
        <w:t xml:space="preserve"> as measured by</w:t>
      </w:r>
      <w:r w:rsidR="00C9282B">
        <w:rPr>
          <w:rFonts w:ascii="Times New Roman" w:hAnsi="Times New Roman"/>
          <w:color w:val="000000"/>
        </w:rPr>
        <w:t xml:space="preserve"> the SHI</w:t>
      </w:r>
      <w:r w:rsidRPr="00276703">
        <w:rPr>
          <w:rFonts w:ascii="Times New Roman" w:hAnsi="Times New Roman"/>
          <w:color w:val="000000"/>
        </w:rPr>
        <w:t xml:space="preserve">. </w:t>
      </w:r>
    </w:p>
    <w:p w14:paraId="30F9925E" w14:textId="2A978309"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2E3EED">
        <w:rPr>
          <w:rFonts w:ascii="Times New Roman" w:hAnsi="Times New Roman"/>
          <w:color w:val="000000"/>
        </w:rPr>
        <w:t xml:space="preserve">We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2D0F15C6" w14:textId="77777777" w:rsidR="00271376" w:rsidRDefault="00271376" w:rsidP="00271376">
      <w:pPr>
        <w:rPr>
          <w:rFonts w:ascii="Times New Roman" w:hAnsi="Times New Roman"/>
          <w:b/>
        </w:rPr>
      </w:pPr>
      <w:r>
        <w:rPr>
          <w:rFonts w:ascii="Times New Roman" w:hAnsi="Times New Roman"/>
          <w:b/>
        </w:rPr>
        <w:t xml:space="preserve">Specific Aim 3:  </w:t>
      </w:r>
      <w:r w:rsidRPr="00276703">
        <w:rPr>
          <w:rFonts w:ascii="Times New Roman" w:hAnsi="Times New Roman"/>
        </w:rPr>
        <w:t>To determine if sleep hygiene mediates the relationship between stressful life events and academic engagement.</w:t>
      </w:r>
      <w:r>
        <w:rPr>
          <w:rFonts w:ascii="Times New Roman" w:hAnsi="Times New Roman"/>
          <w:b/>
        </w:rPr>
        <w:t xml:space="preserve">  </w:t>
      </w:r>
    </w:p>
    <w:p w14:paraId="36C313D0" w14:textId="33DF52D4" w:rsidR="00271376" w:rsidRPr="00276703" w:rsidRDefault="00271376" w:rsidP="00271376">
      <w:pPr>
        <w:rPr>
          <w:rFonts w:ascii="Times New Roman" w:hAnsi="Times New Roman"/>
        </w:rPr>
      </w:pPr>
      <w:r w:rsidRPr="00276703">
        <w:rPr>
          <w:rFonts w:ascii="Times New Roman" w:hAnsi="Times New Roman"/>
          <w:b/>
        </w:rPr>
        <w:t>Hypothesis 3:</w:t>
      </w:r>
      <w:r>
        <w:rPr>
          <w:rFonts w:ascii="Times New Roman" w:hAnsi="Times New Roman"/>
          <w:i/>
        </w:rPr>
        <w:t xml:space="preserve"> </w:t>
      </w:r>
      <w:r w:rsidRPr="00276703">
        <w:rPr>
          <w:rFonts w:ascii="Times New Roman" w:hAnsi="Times New Roman"/>
        </w:rPr>
        <w:t>We hypothesize that students with higher levels of stressful life events will experience lower academic engagement if they show poor sleep hygiene practices. We believe that</w:t>
      </w:r>
      <w:r w:rsidR="002A3D5E">
        <w:rPr>
          <w:rFonts w:ascii="Times New Roman" w:hAnsi="Times New Roman"/>
        </w:rPr>
        <w:t xml:space="preserve"> the relationship between</w:t>
      </w:r>
      <w:r w:rsidRPr="00276703">
        <w:rPr>
          <w:rFonts w:ascii="Times New Roman" w:hAnsi="Times New Roman"/>
        </w:rPr>
        <w:t xml:space="preserve"> </w:t>
      </w:r>
      <w:r w:rsidR="002A3D5E">
        <w:rPr>
          <w:rFonts w:ascii="Times New Roman" w:hAnsi="Times New Roman"/>
        </w:rPr>
        <w:t xml:space="preserve">stressful life events and academic engagement will be </w:t>
      </w:r>
      <w:r w:rsidR="00866656">
        <w:rPr>
          <w:rFonts w:ascii="Times New Roman" w:hAnsi="Times New Roman"/>
        </w:rPr>
        <w:t xml:space="preserve">partially or fully </w:t>
      </w:r>
      <w:r w:rsidR="002A3D5E">
        <w:rPr>
          <w:rFonts w:ascii="Times New Roman" w:hAnsi="Times New Roman"/>
        </w:rPr>
        <w:t xml:space="preserve">explained by </w:t>
      </w:r>
      <w:r w:rsidRPr="00276703">
        <w:rPr>
          <w:rFonts w:ascii="Times New Roman" w:hAnsi="Times New Roman"/>
        </w:rPr>
        <w:t xml:space="preserve">sleep hygiene practices in undergraduate students. </w:t>
      </w:r>
    </w:p>
    <w:p w14:paraId="74DBE5F4" w14:textId="015D12B4" w:rsidR="00271376" w:rsidRDefault="00271376" w:rsidP="00271376">
      <w:pPr>
        <w:rPr>
          <w:rFonts w:ascii="Times New Roman" w:hAnsi="Times New Roman"/>
        </w:rPr>
      </w:pPr>
      <w:r w:rsidRPr="00276703">
        <w:rPr>
          <w:rFonts w:ascii="Times New Roman" w:hAnsi="Times New Roman"/>
        </w:rPr>
        <w:t xml:space="preserve">Additionally, </w:t>
      </w:r>
      <w:r w:rsidR="00A45B5A">
        <w:rPr>
          <w:rFonts w:ascii="Times New Roman" w:hAnsi="Times New Roman"/>
        </w:rPr>
        <w:t>w</w:t>
      </w:r>
      <w:r w:rsidR="00B61D1F">
        <w:rPr>
          <w:rFonts w:ascii="Times New Roman" w:hAnsi="Times New Roman"/>
        </w:rPr>
        <w:t>e</w:t>
      </w:r>
      <w:r w:rsidRPr="00276703">
        <w:rPr>
          <w:rFonts w:ascii="Times New Roman" w:hAnsi="Times New Roman"/>
        </w:rPr>
        <w:t xml:space="preserve"> hypothesize that sleep hygiene practices will show the greatest mediating effect on the academic engagement factor of skills engagement due to the research indicating strong associations between sleep quality and executive functioning.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3311C837" w14:textId="77777777" w:rsidR="00271376" w:rsidRPr="0043754E" w:rsidRDefault="00271376" w:rsidP="00271376">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sidRPr="00276703">
        <w:rPr>
          <w:rFonts w:ascii="Times New Roman" w:hAnsi="Times New Roman"/>
        </w:rPr>
        <w:t>To document the effects of physical activity on academic engagement in undergraduate students.</w:t>
      </w:r>
    </w:p>
    <w:p w14:paraId="4C3AA226" w14:textId="13893289" w:rsidR="00271376" w:rsidRDefault="00271376" w:rsidP="00271376">
      <w:pPr>
        <w:rPr>
          <w:rFonts w:ascii="Times New Roman" w:hAnsi="Times New Roman"/>
          <w:color w:val="000000"/>
        </w:rPr>
      </w:pPr>
      <w:r w:rsidRPr="00276703">
        <w:rPr>
          <w:rFonts w:ascii="Times New Roman" w:hAnsi="Times New Roman"/>
          <w:b/>
          <w:color w:val="000000"/>
        </w:rPr>
        <w:t>Hypothesis 4:</w:t>
      </w:r>
      <w:r w:rsidRPr="00276703">
        <w:rPr>
          <w:rFonts w:ascii="Times New Roman" w:hAnsi="Times New Roman"/>
          <w:color w:val="000000"/>
        </w:rPr>
        <w:t xml:space="preserve"> We hypothesize that increased levels of exercise (based on number of days per week) for strenuous exercise will be associated with lower levels of Academic Engagement; most specifically for the participation factor. </w:t>
      </w:r>
    </w:p>
    <w:p w14:paraId="74A794E7" w14:textId="7F82EC86" w:rsidR="00BA44E7" w:rsidRPr="00276703" w:rsidRDefault="00BA44E7" w:rsidP="00271376">
      <w:pPr>
        <w:rPr>
          <w:rFonts w:ascii="Times New Roman" w:hAnsi="Times New Roman"/>
          <w:b/>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006B602E" w14:textId="77777777" w:rsidR="00271376" w:rsidRDefault="00271376" w:rsidP="00271376">
      <w:pPr>
        <w:rPr>
          <w:rFonts w:ascii="Times New Roman" w:hAnsi="Times New Roman"/>
          <w:b/>
        </w:rPr>
      </w:pPr>
      <w:r>
        <w:rPr>
          <w:rFonts w:ascii="Times New Roman" w:hAnsi="Times New Roman"/>
          <w:b/>
        </w:rPr>
        <w:t xml:space="preserve">Specific Aim 5:  </w:t>
      </w:r>
      <w:r w:rsidRPr="00276703">
        <w:rPr>
          <w:rFonts w:ascii="Times New Roman" w:hAnsi="Times New Roman"/>
        </w:rPr>
        <w:t>To determine if exercise moderates the relationship between stressful life events and academic engagement.</w:t>
      </w:r>
      <w:r>
        <w:rPr>
          <w:rFonts w:ascii="Times New Roman" w:hAnsi="Times New Roman"/>
          <w:b/>
        </w:rPr>
        <w:t xml:space="preserve"> </w:t>
      </w:r>
    </w:p>
    <w:p w14:paraId="3255660E" w14:textId="61E6F39B" w:rsidR="00271376" w:rsidRDefault="00271376" w:rsidP="00271376">
      <w:pPr>
        <w:rPr>
          <w:rFonts w:ascii="Times New Roman" w:hAnsi="Times New Roman"/>
        </w:rPr>
      </w:pPr>
      <w:r w:rsidRPr="00276703">
        <w:rPr>
          <w:rFonts w:ascii="Times New Roman" w:hAnsi="Times New Roman"/>
          <w:b/>
        </w:rPr>
        <w:t>Hypothesis 5:</w:t>
      </w:r>
      <w:r>
        <w:rPr>
          <w:rFonts w:ascii="Times New Roman" w:hAnsi="Times New Roman"/>
          <w:i/>
        </w:rPr>
        <w:t xml:space="preserve"> </w:t>
      </w:r>
      <w:r w:rsidRPr="00276703">
        <w:rPr>
          <w:rFonts w:ascii="Times New Roman" w:hAnsi="Times New Roman"/>
        </w:rPr>
        <w:t xml:space="preserve">We hypothesize that students with higher levels of stressful life events will experience lower academic engagement, specifically in the area of participation, if they show </w:t>
      </w:r>
      <w:r w:rsidR="00997848">
        <w:rPr>
          <w:rFonts w:ascii="Times New Roman" w:hAnsi="Times New Roman"/>
        </w:rPr>
        <w:t xml:space="preserve">low </w:t>
      </w:r>
      <w:r w:rsidRPr="00276703">
        <w:rPr>
          <w:rFonts w:ascii="Times New Roman" w:hAnsi="Times New Roman"/>
        </w:rPr>
        <w:t xml:space="preserve">levels of physical activity. Due to the fact that the positive impacts of exercise seemed to be based on a dosage-threshold, we postulate that </w:t>
      </w:r>
      <w:r w:rsidR="005133CF">
        <w:rPr>
          <w:rFonts w:ascii="Times New Roman" w:hAnsi="Times New Roman"/>
        </w:rPr>
        <w:t xml:space="preserve">high levels of strenuous activity </w:t>
      </w:r>
      <w:r w:rsidRPr="00276703">
        <w:rPr>
          <w:rFonts w:ascii="Times New Roman" w:hAnsi="Times New Roman"/>
        </w:rPr>
        <w:t xml:space="preserve">will </w:t>
      </w:r>
      <w:r w:rsidR="005133CF">
        <w:rPr>
          <w:rFonts w:ascii="Times New Roman" w:hAnsi="Times New Roman"/>
        </w:rPr>
        <w:t>reduce the effect of stressful life events on academic engagement</w:t>
      </w:r>
      <w:r w:rsidRPr="00276703">
        <w:rPr>
          <w:rFonts w:ascii="Times New Roman" w:hAnsi="Times New Roman"/>
        </w:rPr>
        <w:t>.</w:t>
      </w:r>
    </w:p>
    <w:p w14:paraId="1301035B" w14:textId="6DBCA763"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403583">
        <w:rPr>
          <w:rFonts w:ascii="Times New Roman" w:hAnsi="Times New Roman"/>
        </w:rPr>
        <w:t>We</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403583">
        <w:rPr>
          <w:rFonts w:ascii="Times New Roman" w:hAnsi="Times New Roman"/>
        </w:rPr>
        <w:t>We</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1138FA69" w14:textId="0FEC9846" w:rsidR="00271376" w:rsidRDefault="00271376" w:rsidP="00271376">
      <w:pPr>
        <w:rPr>
          <w:rFonts w:ascii="Times New Roman" w:hAnsi="Times New Roman"/>
          <w:b/>
        </w:rPr>
      </w:pPr>
      <w:r>
        <w:rPr>
          <w:rFonts w:ascii="Times New Roman" w:hAnsi="Times New Roman"/>
          <w:b/>
        </w:rPr>
        <w:t xml:space="preserve">Specific Aim 6:  </w:t>
      </w:r>
      <w:r w:rsidRPr="00276703">
        <w:rPr>
          <w:rFonts w:ascii="Times New Roman" w:hAnsi="Times New Roman"/>
        </w:rPr>
        <w:t>To identify the hierarchical influence of the effects of stress</w:t>
      </w:r>
      <w:r w:rsidR="00DA5619">
        <w:rPr>
          <w:rFonts w:ascii="Times New Roman" w:hAnsi="Times New Roman"/>
        </w:rPr>
        <w:t>ful life events</w:t>
      </w:r>
      <w:r w:rsidRPr="00276703">
        <w:rPr>
          <w:rFonts w:ascii="Times New Roman" w:hAnsi="Times New Roman"/>
        </w:rPr>
        <w:t xml:space="preserve">, sleep hygiene, and exercise </w:t>
      </w:r>
      <w:r w:rsidR="004751D3">
        <w:rPr>
          <w:rFonts w:ascii="Times New Roman" w:hAnsi="Times New Roman"/>
        </w:rPr>
        <w:t xml:space="preserve">on </w:t>
      </w:r>
      <w:r w:rsidRPr="00276703">
        <w:rPr>
          <w:rFonts w:ascii="Times New Roman" w:hAnsi="Times New Roman"/>
        </w:rPr>
        <w:t>academic engagement.</w:t>
      </w:r>
      <w:r>
        <w:rPr>
          <w:rFonts w:ascii="Times New Roman" w:hAnsi="Times New Roman"/>
          <w:b/>
        </w:rPr>
        <w:t xml:space="preserve">  </w:t>
      </w:r>
    </w:p>
    <w:p w14:paraId="51EB4C86" w14:textId="37A01B6C" w:rsidR="00271376" w:rsidRPr="00276703" w:rsidRDefault="00E811D7" w:rsidP="00271376">
      <w:pPr>
        <w:rPr>
          <w:rFonts w:ascii="Times New Roman" w:hAnsi="Times New Roman"/>
        </w:rPr>
      </w:pPr>
      <w:r w:rsidRPr="00276703">
        <w:rPr>
          <w:rFonts w:ascii="Times New Roman" w:hAnsi="Times New Roman"/>
          <w:b/>
        </w:rPr>
        <w:t>Hypothesis 6:</w:t>
      </w:r>
      <w:r w:rsidRPr="00276703">
        <w:rPr>
          <w:rFonts w:ascii="Times New Roman" w:hAnsi="Times New Roman"/>
        </w:rPr>
        <w:t xml:space="preserve"> </w:t>
      </w:r>
      <w:r w:rsidR="00271376" w:rsidRPr="00276703">
        <w:rPr>
          <w:rFonts w:ascii="Times New Roman" w:hAnsi="Times New Roman"/>
        </w:rPr>
        <w:t xml:space="preserve">Since self-care practices have been shown to improve various elements of engagement, </w:t>
      </w:r>
      <w:r w:rsidR="00B31B22" w:rsidRPr="00DA5619">
        <w:rPr>
          <w:rFonts w:ascii="Times New Roman" w:hAnsi="Times New Roman"/>
        </w:rPr>
        <w:t>u</w:t>
      </w:r>
      <w:r w:rsidR="00271376" w:rsidRPr="00276703">
        <w:rPr>
          <w:rFonts w:ascii="Times New Roman" w:hAnsi="Times New Roman"/>
        </w:rPr>
        <w:t xml:space="preserve">sing an exploratory process we will determine how these self-care practices differentially impact academic engagement in order to further identify the aspects that have the greatest impact in influencing academic engagement in undergraduate students. </w:t>
      </w:r>
    </w:p>
    <w:p w14:paraId="7F5BE0E9" w14:textId="3DA2B4CA"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4920F1">
        <w:rPr>
          <w:rFonts w:ascii="Times New Roman" w:hAnsi="Times New Roman"/>
        </w:rPr>
        <w:t>We</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F3484B">
        <w:rPr>
          <w:rFonts w:ascii="Times New Roman" w:hAnsi="Times New Roman"/>
        </w:rPr>
        <w:t>We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9D04D5">
      <w:pPr>
        <w:autoSpaceDE w:val="0"/>
        <w:autoSpaceDN w:val="0"/>
        <w:adjustRightInd w:val="0"/>
        <w:ind w:firstLine="0"/>
        <w:jc w:val="center"/>
        <w:rPr>
          <w:b/>
          <w:color w:val="000000" w:themeColor="text1"/>
        </w:rPr>
      </w:pPr>
      <w:r>
        <w:rPr>
          <w:b/>
          <w:color w:val="000000" w:themeColor="text1"/>
        </w:rPr>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D43718">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D43718">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D43718">
        <w:trPr>
          <w:jc w:val="center"/>
        </w:trPr>
        <w:tc>
          <w:tcPr>
            <w:tcW w:w="1915" w:type="dxa"/>
            <w:tcBorders>
              <w:top w:val="nil"/>
              <w:left w:val="nil"/>
              <w:bottom w:val="nil"/>
              <w:right w:val="nil"/>
            </w:tcBorders>
          </w:tcPr>
          <w:p w14:paraId="1F48B11F" w14:textId="77777777" w:rsidR="00C16C66" w:rsidRPr="00280678" w:rsidRDefault="00C16C66" w:rsidP="00D43718">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D43718">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D43718">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D43718">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D43718">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D43718">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D43718">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D43718">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D43718">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D43718">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D43718">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D43718">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t>R</w:t>
      </w:r>
      <w:r w:rsidR="00B37B6C">
        <w:rPr>
          <w:b/>
        </w:rPr>
        <w:t>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rFonts w:eastAsia="Times New Roman" w:cstheme="minorHAnsi"/>
          <w:color w:val="000000" w:themeColor="text1"/>
          <w:shd w:val="clear" w:color="auto" w:fill="FFFFFF"/>
        </w:rPr>
      </w:pPr>
    </w:p>
    <w:p w14:paraId="0AB14AF7" w14:textId="77777777" w:rsidR="00412306" w:rsidRDefault="001779FE" w:rsidP="009D04D5">
      <w:pPr>
        <w:rPr>
          <w:ins w:id="1" w:author="Nelson, Audrey R - (audreyn)" w:date="2017-11-13T15:07:00Z"/>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636C674F" w14:textId="594928C0" w:rsidR="001779FE" w:rsidRPr="007E12F3" w:rsidRDefault="001779FE" w:rsidP="009D04D5">
      <w:pPr>
        <w:rPr>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7E12F3" w:rsidRDefault="00BF7F3E" w:rsidP="00086F65">
      <w:pPr>
        <w:ind w:left="720" w:firstLine="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3F817" w14:textId="77777777" w:rsidR="00D3013F" w:rsidRDefault="00D3013F">
      <w:pPr>
        <w:spacing w:line="240" w:lineRule="auto"/>
      </w:pPr>
      <w:r>
        <w:separator/>
      </w:r>
    </w:p>
  </w:endnote>
  <w:endnote w:type="continuationSeparator" w:id="0">
    <w:p w14:paraId="225130E9" w14:textId="77777777" w:rsidR="00D3013F" w:rsidRDefault="00D30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DD8FB" w14:textId="77777777" w:rsidR="00D3013F" w:rsidRDefault="00D3013F">
      <w:pPr>
        <w:spacing w:line="240" w:lineRule="auto"/>
      </w:pPr>
      <w:r>
        <w:separator/>
      </w:r>
    </w:p>
  </w:footnote>
  <w:footnote w:type="continuationSeparator" w:id="0">
    <w:p w14:paraId="07AFE320" w14:textId="77777777" w:rsidR="00D3013F" w:rsidRDefault="00D301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C3027">
      <w:rPr>
        <w:rStyle w:val="Strong"/>
        <w:noProof/>
      </w:rPr>
      <w:t>5</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3013F">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86F65"/>
    <w:rsid w:val="0008777B"/>
    <w:rsid w:val="000908EC"/>
    <w:rsid w:val="00090BA5"/>
    <w:rsid w:val="00093039"/>
    <w:rsid w:val="00093109"/>
    <w:rsid w:val="00093EB4"/>
    <w:rsid w:val="000942C5"/>
    <w:rsid w:val="00095C4D"/>
    <w:rsid w:val="00095FCC"/>
    <w:rsid w:val="00097D84"/>
    <w:rsid w:val="000A087E"/>
    <w:rsid w:val="000A0D8F"/>
    <w:rsid w:val="000A19FF"/>
    <w:rsid w:val="000A25FE"/>
    <w:rsid w:val="000A37F8"/>
    <w:rsid w:val="000A4760"/>
    <w:rsid w:val="000A4D54"/>
    <w:rsid w:val="000A5187"/>
    <w:rsid w:val="000A52EE"/>
    <w:rsid w:val="000B150E"/>
    <w:rsid w:val="000B1999"/>
    <w:rsid w:val="000B272D"/>
    <w:rsid w:val="000B2BDC"/>
    <w:rsid w:val="000B5860"/>
    <w:rsid w:val="000B60B7"/>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36D4"/>
    <w:rsid w:val="000E514D"/>
    <w:rsid w:val="000E7715"/>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A70"/>
    <w:rsid w:val="00121E23"/>
    <w:rsid w:val="001221DE"/>
    <w:rsid w:val="001247E3"/>
    <w:rsid w:val="00124D57"/>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36E"/>
    <w:rsid w:val="0014256C"/>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1318"/>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3F21"/>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6703"/>
    <w:rsid w:val="002767EC"/>
    <w:rsid w:val="00276C2B"/>
    <w:rsid w:val="00276C4A"/>
    <w:rsid w:val="00286E6D"/>
    <w:rsid w:val="002870D4"/>
    <w:rsid w:val="00287E2A"/>
    <w:rsid w:val="00291A8E"/>
    <w:rsid w:val="00296739"/>
    <w:rsid w:val="00297F04"/>
    <w:rsid w:val="002A2F92"/>
    <w:rsid w:val="002A3D5E"/>
    <w:rsid w:val="002A5C7A"/>
    <w:rsid w:val="002A6779"/>
    <w:rsid w:val="002B0139"/>
    <w:rsid w:val="002B187E"/>
    <w:rsid w:val="002B4D7C"/>
    <w:rsid w:val="002B4FF0"/>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3583"/>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589A"/>
    <w:rsid w:val="004379F2"/>
    <w:rsid w:val="004409B4"/>
    <w:rsid w:val="00440C66"/>
    <w:rsid w:val="00442048"/>
    <w:rsid w:val="00443388"/>
    <w:rsid w:val="00444B2E"/>
    <w:rsid w:val="00444C65"/>
    <w:rsid w:val="00447B03"/>
    <w:rsid w:val="0045064D"/>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783"/>
    <w:rsid w:val="004920F1"/>
    <w:rsid w:val="00492B79"/>
    <w:rsid w:val="004934DA"/>
    <w:rsid w:val="00493FCF"/>
    <w:rsid w:val="0049559C"/>
    <w:rsid w:val="00495CD9"/>
    <w:rsid w:val="00497C73"/>
    <w:rsid w:val="00497E49"/>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027"/>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224"/>
    <w:rsid w:val="00563F0F"/>
    <w:rsid w:val="00564734"/>
    <w:rsid w:val="005669DD"/>
    <w:rsid w:val="00570D7F"/>
    <w:rsid w:val="00571364"/>
    <w:rsid w:val="00571B29"/>
    <w:rsid w:val="0057382F"/>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2A39"/>
    <w:rsid w:val="006533EA"/>
    <w:rsid w:val="006537E5"/>
    <w:rsid w:val="0065399F"/>
    <w:rsid w:val="00656588"/>
    <w:rsid w:val="00656B8E"/>
    <w:rsid w:val="00660671"/>
    <w:rsid w:val="006628F3"/>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078F"/>
    <w:rsid w:val="006A0B61"/>
    <w:rsid w:val="006A312C"/>
    <w:rsid w:val="006A391F"/>
    <w:rsid w:val="006A3BDA"/>
    <w:rsid w:val="006A46EB"/>
    <w:rsid w:val="006A5D3E"/>
    <w:rsid w:val="006A66BE"/>
    <w:rsid w:val="006A69CB"/>
    <w:rsid w:val="006B097C"/>
    <w:rsid w:val="006B36AB"/>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ABA"/>
    <w:rsid w:val="00707D31"/>
    <w:rsid w:val="00707E02"/>
    <w:rsid w:val="0071450E"/>
    <w:rsid w:val="007151E6"/>
    <w:rsid w:val="00715B99"/>
    <w:rsid w:val="00717325"/>
    <w:rsid w:val="00721C42"/>
    <w:rsid w:val="00721C6C"/>
    <w:rsid w:val="007237A8"/>
    <w:rsid w:val="00723FEB"/>
    <w:rsid w:val="007243DE"/>
    <w:rsid w:val="007260D2"/>
    <w:rsid w:val="007264B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589"/>
    <w:rsid w:val="007A276B"/>
    <w:rsid w:val="007A367D"/>
    <w:rsid w:val="007A59BB"/>
    <w:rsid w:val="007A6122"/>
    <w:rsid w:val="007A64E4"/>
    <w:rsid w:val="007A670D"/>
    <w:rsid w:val="007A778E"/>
    <w:rsid w:val="007A781C"/>
    <w:rsid w:val="007B369F"/>
    <w:rsid w:val="007B3767"/>
    <w:rsid w:val="007B39EA"/>
    <w:rsid w:val="007B48E7"/>
    <w:rsid w:val="007B5BD6"/>
    <w:rsid w:val="007C0213"/>
    <w:rsid w:val="007C060A"/>
    <w:rsid w:val="007C068B"/>
    <w:rsid w:val="007C1343"/>
    <w:rsid w:val="007C13EF"/>
    <w:rsid w:val="007C1C65"/>
    <w:rsid w:val="007C1E7A"/>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FFF"/>
    <w:rsid w:val="0085337A"/>
    <w:rsid w:val="008547C1"/>
    <w:rsid w:val="00854D87"/>
    <w:rsid w:val="008556CC"/>
    <w:rsid w:val="008558D1"/>
    <w:rsid w:val="00857578"/>
    <w:rsid w:val="00857B0F"/>
    <w:rsid w:val="00863359"/>
    <w:rsid w:val="00864266"/>
    <w:rsid w:val="00865326"/>
    <w:rsid w:val="008653A1"/>
    <w:rsid w:val="0086543C"/>
    <w:rsid w:val="00865587"/>
    <w:rsid w:val="00866656"/>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01DF"/>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1B3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5B97"/>
    <w:rsid w:val="009960DE"/>
    <w:rsid w:val="0099631A"/>
    <w:rsid w:val="00997848"/>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1E37"/>
    <w:rsid w:val="00AE1EE1"/>
    <w:rsid w:val="00AE4570"/>
    <w:rsid w:val="00AE499C"/>
    <w:rsid w:val="00AE5D79"/>
    <w:rsid w:val="00AE5FB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7AC0"/>
    <w:rsid w:val="00B3091F"/>
    <w:rsid w:val="00B30D4A"/>
    <w:rsid w:val="00B310FA"/>
    <w:rsid w:val="00B31B22"/>
    <w:rsid w:val="00B324A6"/>
    <w:rsid w:val="00B32E7B"/>
    <w:rsid w:val="00B35762"/>
    <w:rsid w:val="00B3596A"/>
    <w:rsid w:val="00B35C9B"/>
    <w:rsid w:val="00B37B6C"/>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3ED3"/>
    <w:rsid w:val="00BA44E7"/>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5661"/>
    <w:rsid w:val="00C36EBE"/>
    <w:rsid w:val="00C37213"/>
    <w:rsid w:val="00C37236"/>
    <w:rsid w:val="00C374EC"/>
    <w:rsid w:val="00C37814"/>
    <w:rsid w:val="00C405D1"/>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82B"/>
    <w:rsid w:val="00C92FB6"/>
    <w:rsid w:val="00C93524"/>
    <w:rsid w:val="00C93F7E"/>
    <w:rsid w:val="00C94ABF"/>
    <w:rsid w:val="00C95310"/>
    <w:rsid w:val="00CA1273"/>
    <w:rsid w:val="00CA152C"/>
    <w:rsid w:val="00CA67D3"/>
    <w:rsid w:val="00CA69E0"/>
    <w:rsid w:val="00CA6BB6"/>
    <w:rsid w:val="00CA7A65"/>
    <w:rsid w:val="00CB0BC0"/>
    <w:rsid w:val="00CB1A7E"/>
    <w:rsid w:val="00CB26D1"/>
    <w:rsid w:val="00CB3DE6"/>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0F33"/>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013F"/>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45D5"/>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781B"/>
    <w:rsid w:val="00E92043"/>
    <w:rsid w:val="00E924BA"/>
    <w:rsid w:val="00E94532"/>
    <w:rsid w:val="00EA0289"/>
    <w:rsid w:val="00EA06BA"/>
    <w:rsid w:val="00EA09EF"/>
    <w:rsid w:val="00EA1845"/>
    <w:rsid w:val="00EA2610"/>
    <w:rsid w:val="00EA3676"/>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31D"/>
    <w:rsid w:val="00F226FD"/>
    <w:rsid w:val="00F22B6A"/>
    <w:rsid w:val="00F2315A"/>
    <w:rsid w:val="00F23EB3"/>
    <w:rsid w:val="00F309A8"/>
    <w:rsid w:val="00F30EC6"/>
    <w:rsid w:val="00F31AA1"/>
    <w:rsid w:val="00F328C7"/>
    <w:rsid w:val="00F32C62"/>
    <w:rsid w:val="00F33832"/>
    <w:rsid w:val="00F3398F"/>
    <w:rsid w:val="00F3484B"/>
    <w:rsid w:val="00F3506C"/>
    <w:rsid w:val="00F356C1"/>
    <w:rsid w:val="00F36F88"/>
    <w:rsid w:val="00F37F24"/>
    <w:rsid w:val="00F40259"/>
    <w:rsid w:val="00F427E4"/>
    <w:rsid w:val="00F44894"/>
    <w:rsid w:val="00F471B4"/>
    <w:rsid w:val="00F47916"/>
    <w:rsid w:val="00F508AD"/>
    <w:rsid w:val="00F51BE0"/>
    <w:rsid w:val="00F51F96"/>
    <w:rsid w:val="00F524C2"/>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5F9E"/>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13E"/>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8E605E-E777-B04D-B889-C8C95E14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3</TotalTime>
  <Pages>62</Pages>
  <Words>18720</Words>
  <Characters>83307</Characters>
  <Application>Microsoft Macintosh Word</Application>
  <DocSecurity>0</DocSecurity>
  <Lines>2872</Lines>
  <Paragraphs>1789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4.Age (Please fill in one bubble):</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100238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4</cp:revision>
  <dcterms:created xsi:type="dcterms:W3CDTF">2017-11-20T23:07:00Z</dcterms:created>
  <dcterms:modified xsi:type="dcterms:W3CDTF">2017-11-20T23:10:00Z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