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0FF6" w14:textId="71AA449E" w:rsidR="00A81299" w:rsidRDefault="00692074">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1A70">
            <w:t xml:space="preserve">Effects of Stress and </w:t>
          </w:r>
          <w:r w:rsidR="00993794">
            <w:t xml:space="preserve">the </w:t>
          </w:r>
          <w:r w:rsidR="00121A70">
            <w:t xml:space="preserve">Self Care Practices </w:t>
          </w:r>
          <w:r w:rsidR="00993794">
            <w:t xml:space="preserve">of Sleep Hygiene and Exercise </w:t>
          </w:r>
          <w:r w:rsidR="00121A70">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2EFF2819"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ins w:id="0" w:author="Dominic LaRoche" w:date="2017-11-29T15:55:00Z">
        <w:r w:rsidR="00470E37">
          <w:t>.</w:t>
        </w:r>
      </w:ins>
      <w:del w:id="1" w:author="Dominic LaRoche [2]" w:date="2017-11-28T19:58:00Z">
        <w:r w:rsidDel="009E397A">
          <w:delText>.</w:delText>
        </w:r>
      </w:del>
      <w:ins w:id="2" w:author="Dominic LaRoche" w:date="2017-11-29T15:55:00Z">
        <w:r w:rsidR="00470E37">
          <w:t xml:space="preserve">  </w:t>
        </w:r>
      </w:ins>
      <w:del w:id="3" w:author="Dominic LaRoche [2]" w:date="2017-11-28T19:58:00Z">
        <w:r w:rsidDel="009E397A">
          <w:delText xml:space="preserve">  </w:delText>
        </w:r>
        <w:commentRangeStart w:id="4"/>
        <w:r w:rsidDel="009E397A">
          <w:delText>There have been</w:delText>
        </w:r>
      </w:del>
      <w:commentRangeEnd w:id="4"/>
      <w:r w:rsidR="009E397A">
        <w:rPr>
          <w:rStyle w:val="CommentReference"/>
        </w:rPr>
        <w:commentReference w:id="4"/>
      </w:r>
      <w:del w:id="5" w:author="Dominic LaRoche [2]" w:date="2017-11-28T19:58:00Z">
        <w:r w:rsidDel="009E397A">
          <w:delText xml:space="preserve"> </w:delText>
        </w:r>
      </w:del>
      <w:del w:id="6" w:author="Dominic LaRoche [2]" w:date="2017-11-28T19:57:00Z">
        <w:r w:rsidDel="009E397A">
          <w:delText xml:space="preserve">a variety of ways </w:delText>
        </w:r>
      </w:del>
      <w:del w:id="7" w:author="Dominic LaRoche [2]" w:date="2017-11-28T19:58:00Z">
        <w:r w:rsidDel="009E397A">
          <w:delText>in which the r</w:delText>
        </w:r>
      </w:del>
      <w:ins w:id="8" w:author="Dominic LaRoche [2]" w:date="2017-11-28T19:58:00Z">
        <w:r w:rsidR="009E397A">
          <w:t>R</w:t>
        </w:r>
      </w:ins>
      <w:r>
        <w:t>esearch on student engagement has focused and define</w:t>
      </w:r>
      <w:r w:rsidR="005758B4">
        <w:t>d academic engagement</w:t>
      </w:r>
      <w:ins w:id="9" w:author="Dominic LaRoche [2]" w:date="2017-11-28T19:58:00Z">
        <w:r w:rsidR="009E397A">
          <w:t xml:space="preserve"> in a variety of ways</w:t>
        </w:r>
      </w:ins>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0C119504"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w:t>
      </w:r>
      <w:del w:id="10" w:author="Dominic LaRoche [2]" w:date="2017-11-28T20:03:00Z">
        <w:r w:rsidR="00CD4213" w:rsidDel="009E397A">
          <w:rPr>
            <w:color w:val="000000" w:themeColor="text1"/>
          </w:rPr>
          <w:delText>involved</w:delText>
        </w:r>
      </w:del>
      <w:r w:rsidR="00CD4213">
        <w:rPr>
          <w:color w:val="000000" w:themeColor="text1"/>
        </w:rPr>
        <w:t xml:space="preserve"> evalua</w:t>
      </w:r>
      <w:ins w:id="11" w:author="Dominic LaRoche [2]" w:date="2017-11-28T20:03:00Z">
        <w:r w:rsidR="009E397A">
          <w:rPr>
            <w:color w:val="000000" w:themeColor="text1"/>
          </w:rPr>
          <w:t>ted</w:t>
        </w:r>
      </w:ins>
      <w:del w:id="12" w:author="Dominic LaRoche [2]" w:date="2017-11-28T20:03:00Z">
        <w:r w:rsidR="00CD4213" w:rsidDel="009E397A">
          <w:rPr>
            <w:color w:val="000000" w:themeColor="text1"/>
          </w:rPr>
          <w:delText>ting</w:delText>
        </w:r>
      </w:del>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567A324A"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del w:id="13" w:author="Dominic LaRoche [2]" w:date="2017-11-28T20:07:00Z">
        <w:r w:rsidDel="009E397A">
          <w:rPr>
            <w:rFonts w:ascii="Times New Roman" w:eastAsia="Times New Roman" w:hAnsi="Times New Roman" w:cs="Times New Roman"/>
            <w:kern w:val="0"/>
            <w:lang w:eastAsia="en-US"/>
          </w:rPr>
          <w:delText xml:space="preserve">For example, </w:delText>
        </w:r>
      </w:del>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 xml:space="preserve">a </w:t>
      </w:r>
      <w:del w:id="14" w:author="Dominic LaRoche [2]" w:date="2017-11-28T20:08:00Z">
        <w:r w:rsidR="00F2315A" w:rsidDel="0009772C">
          <w:rPr>
            <w:rFonts w:ascii="Times New Roman" w:eastAsia="Times New Roman" w:hAnsi="Times New Roman" w:cs="Times New Roman"/>
            <w:kern w:val="0"/>
            <w:lang w:eastAsia="en-US"/>
          </w:rPr>
          <w:delText xml:space="preserve">more </w:delText>
        </w:r>
      </w:del>
      <w:r w:rsidR="00F2315A">
        <w:rPr>
          <w:rFonts w:ascii="Times New Roman" w:eastAsia="Times New Roman" w:hAnsi="Times New Roman" w:cs="Times New Roman"/>
          <w:kern w:val="0"/>
          <w:lang w:eastAsia="en-US"/>
        </w:rPr>
        <w:t>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ins w:id="15" w:author="Dominic LaRoche [2]" w:date="2017-11-28T20:09:00Z">
        <w:r w:rsidR="0009772C">
          <w:rPr>
            <w:rFonts w:ascii="Times New Roman" w:eastAsia="Times New Roman" w:hAnsi="Times New Roman" w:cs="Times New Roman"/>
            <w:kern w:val="0"/>
            <w:lang w:eastAsia="en-US"/>
          </w:rPr>
          <w:t>.</w:t>
        </w:r>
      </w:ins>
      <w:del w:id="16" w:author="Dominic LaRoche [2]" w:date="2017-11-28T20:09:00Z">
        <w:r w:rsidR="005363D9" w:rsidDel="0009772C">
          <w:rPr>
            <w:rFonts w:ascii="Times New Roman" w:eastAsia="Times New Roman" w:hAnsi="Times New Roman" w:cs="Times New Roman"/>
            <w:kern w:val="0"/>
            <w:lang w:eastAsia="en-US"/>
          </w:rPr>
          <w:delText>,</w:delText>
        </w:r>
      </w:del>
      <w:r w:rsidR="005363D9">
        <w:rPr>
          <w:rFonts w:ascii="Times New Roman" w:eastAsia="Times New Roman" w:hAnsi="Times New Roman" w:cs="Times New Roman"/>
          <w:kern w:val="0"/>
          <w:lang w:eastAsia="en-US"/>
        </w:rPr>
        <w:t xml:space="preserve"> </w:t>
      </w:r>
      <w:ins w:id="17" w:author="Dominic LaRoche [2]" w:date="2017-11-28T20:09:00Z">
        <w:r w:rsidR="0009772C">
          <w:rPr>
            <w:rFonts w:ascii="Times New Roman" w:eastAsia="Times New Roman" w:hAnsi="Times New Roman" w:cs="Times New Roman"/>
            <w:color w:val="000000" w:themeColor="text1"/>
            <w:kern w:val="0"/>
            <w:lang w:eastAsia="en-US"/>
          </w:rPr>
          <w:t>This</w:t>
        </w:r>
      </w:ins>
      <w:del w:id="18" w:author="Dominic LaRoche [2]" w:date="2017-11-28T20:09:00Z">
        <w:r w:rsidR="009044B5" w:rsidRPr="00AE6C42" w:rsidDel="0009772C">
          <w:rPr>
            <w:rFonts w:ascii="Times New Roman" w:eastAsia="Times New Roman" w:hAnsi="Times New Roman" w:cs="Times New Roman"/>
            <w:color w:val="000000" w:themeColor="text1"/>
            <w:kern w:val="0"/>
            <w:lang w:eastAsia="en-US"/>
          </w:rPr>
          <w:delText>which</w:delText>
        </w:r>
      </w:del>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institutional </w:t>
      </w:r>
      <w:r w:rsidR="00745E8F" w:rsidRPr="00AE6C42">
        <w:rPr>
          <w:rFonts w:ascii="Times New Roman" w:eastAsia="Times New Roman" w:hAnsi="Times New Roman" w:cs="Times New Roman"/>
          <w:color w:val="000000" w:themeColor="text1"/>
          <w:kern w:val="0"/>
          <w:lang w:eastAsia="en-US"/>
        </w:rPr>
        <w:lastRenderedPageBreak/>
        <w:t>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50C3021"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ins w:id="19" w:author="Dominic LaRoche [2]" w:date="2017-11-28T20:09:00Z">
        <w:r w:rsidR="0009772C">
          <w:rPr>
            <w:rFonts w:ascii="Times New Roman" w:eastAsia="Times New Roman" w:hAnsi="Times New Roman" w:cs="Times New Roman"/>
            <w:kern w:val="0"/>
            <w:lang w:eastAsia="en-US"/>
          </w:rPr>
          <w:t>n</w:t>
        </w:r>
      </w:ins>
      <w:r w:rsidR="00BD1817">
        <w:rPr>
          <w:rFonts w:ascii="Times New Roman" w:eastAsia="Times New Roman" w:hAnsi="Times New Roman" w:cs="Times New Roman"/>
          <w:kern w:val="0"/>
          <w:lang w:eastAsia="en-US"/>
        </w:rPr>
        <w:t xml:space="preserve"> </w:t>
      </w:r>
      <w:del w:id="20" w:author="Dominic LaRoche [2]" w:date="2017-11-28T20:09:00Z">
        <w:r w:rsidR="00BD1817" w:rsidDel="0009772C">
          <w:rPr>
            <w:rFonts w:ascii="Times New Roman" w:eastAsia="Times New Roman" w:hAnsi="Times New Roman" w:cs="Times New Roman"/>
            <w:kern w:val="0"/>
            <w:lang w:eastAsia="en-US"/>
          </w:rPr>
          <w:delText xml:space="preserve">more </w:delText>
        </w:r>
      </w:del>
      <w:r w:rsidR="00BD1817">
        <w:rPr>
          <w:rFonts w:ascii="Times New Roman" w:eastAsia="Times New Roman" w:hAnsi="Times New Roman" w:cs="Times New Roman"/>
          <w:kern w:val="0"/>
          <w:lang w:eastAsia="en-US"/>
        </w:rPr>
        <w:t>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commentRangeStart w:id="21"/>
      <w:ins w:id="22" w:author="Dominic LaRoche [2]" w:date="2017-11-28T20:46:00Z">
        <w:r w:rsidR="00B42A6A">
          <w:t>university</w:t>
        </w:r>
        <w:commentRangeEnd w:id="21"/>
        <w:r w:rsidR="00B42A6A">
          <w:rPr>
            <w:rStyle w:val="CommentReference"/>
          </w:rPr>
          <w:commentReference w:id="21"/>
        </w:r>
      </w:ins>
      <w:del w:id="23" w:author="Dominic LaRoche [2]" w:date="2017-11-28T20:46:00Z">
        <w:r w:rsidR="00136FDA" w:rsidDel="00B42A6A">
          <w:delText>college</w:delText>
        </w:r>
      </w:del>
      <w:r w:rsidR="00136FDA">
        <w:t xml:space="preserve"> level, </w:t>
      </w:r>
      <w:proofErr w:type="spellStart"/>
      <w:r w:rsidR="00136FDA">
        <w:t>Handelsman</w:t>
      </w:r>
      <w:proofErr w:type="spellEnd"/>
      <w:r w:rsidR="00136FDA">
        <w:t xml:space="preserve"> et al. (2005) approached engagement as a</w:t>
      </w:r>
      <w:del w:id="24" w:author="Dominic LaRoche [2]" w:date="2017-11-28T20:12:00Z">
        <w:r w:rsidR="00136FDA" w:rsidDel="0009772C">
          <w:delText xml:space="preserve"> more</w:delText>
        </w:r>
      </w:del>
      <w:r w:rsidR="00136FDA">
        <w:t xml:space="preserv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 xml:space="preserve">NSSE, 2000).  Study results </w:t>
      </w:r>
      <w:del w:id="25" w:author="Dominic LaRoche [2]" w:date="2017-11-28T20:15:00Z">
        <w:r w:rsidR="00DD3E35" w:rsidDel="0009772C">
          <w:delText xml:space="preserve">in this regard </w:delText>
        </w:r>
      </w:del>
      <w:r w:rsidR="00DD3E35">
        <w:t>identified</w:t>
      </w:r>
      <w:r w:rsidR="00136FDA">
        <w:t xml:space="preserve"> four distinct factors of </w:t>
      </w:r>
      <w:ins w:id="26" w:author="Dominic LaRoche [2]" w:date="2017-11-28T20:47:00Z">
        <w:r w:rsidR="00B42A6A">
          <w:t>un</w:t>
        </w:r>
        <w:del w:id="27" w:author="Dominic LaRoche" w:date="2017-11-29T15:55:00Z">
          <w:r w:rsidR="00B42A6A" w:rsidDel="00470E37">
            <w:delText>v</w:delText>
          </w:r>
        </w:del>
        <w:r w:rsidR="00B42A6A">
          <w:t>iversity</w:t>
        </w:r>
      </w:ins>
      <w:del w:id="28" w:author="Dominic LaRoche [2]" w:date="2017-11-28T20:47:00Z">
        <w:r w:rsidR="00136FDA" w:rsidDel="00B42A6A">
          <w:delText>college</w:delText>
        </w:r>
      </w:del>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03510190" w:rsidR="005758B4" w:rsidRDefault="00136FDA" w:rsidP="00136FDA">
      <w:pPr>
        <w:ind w:firstLine="0"/>
      </w:pPr>
      <w:r>
        <w:tab/>
      </w:r>
      <w:del w:id="29" w:author="Dominic LaRoche [2]" w:date="2017-11-28T20:18:00Z">
        <w:r w:rsidR="00E30CD8" w:rsidDel="00F34359">
          <w:delText xml:space="preserve">Academic engagement matters </w:delText>
        </w:r>
        <w:r w:rsidR="005758B4" w:rsidDel="00F34359">
          <w:delText xml:space="preserve">in that </w:delText>
        </w:r>
      </w:del>
      <w:ins w:id="30" w:author="Dominic LaRoche [2]" w:date="2017-11-28T20:17:00Z">
        <w:r w:rsidR="00F34359">
          <w:t>R</w:t>
        </w:r>
      </w:ins>
      <w:del w:id="31" w:author="Dominic LaRoche [2]" w:date="2017-11-28T20:17:00Z">
        <w:r w:rsidR="005758B4" w:rsidDel="00F34359">
          <w:delText>r</w:delText>
        </w:r>
      </w:del>
      <w:r w:rsidR="005758B4">
        <w:t>esearch has shown</w:t>
      </w:r>
      <w:r w:rsidR="00E30CD8">
        <w:t xml:space="preserve"> that </w:t>
      </w:r>
      <w:ins w:id="32" w:author="Dominic LaRoche [2]" w:date="2017-11-28T20:18:00Z">
        <w:r w:rsidR="00F34359">
          <w:t xml:space="preserve">academic engagement </w:t>
        </w:r>
      </w:ins>
      <w:del w:id="33" w:author="Dominic LaRoche [2]" w:date="2017-11-28T20:18:00Z">
        <w:r w:rsidR="00E30CD8" w:rsidDel="00F34359">
          <w:delText xml:space="preserve">it </w:delText>
        </w:r>
      </w:del>
      <w:r w:rsidR="00E30CD8">
        <w:t xml:space="preserve">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w:t>
      </w:r>
      <w:del w:id="34" w:author="Dominic LaRoche [2]" w:date="2017-11-28T20:22:00Z">
        <w:r w:rsidR="006527D0" w:rsidRPr="006527D0" w:rsidDel="00F34359">
          <w:rPr>
            <w:rFonts w:ascii="Times New Roman" w:eastAsia="Times New Roman" w:hAnsi="Times New Roman" w:cs="Times New Roman"/>
            <w:color w:val="000000"/>
            <w:kern w:val="0"/>
            <w:lang w:eastAsia="en-US"/>
          </w:rPr>
          <w:delText xml:space="preserve">that involved </w:delText>
        </w:r>
      </w:del>
      <w:r w:rsidR="006527D0" w:rsidRPr="006527D0">
        <w:rPr>
          <w:rFonts w:ascii="Times New Roman" w:eastAsia="Times New Roman" w:hAnsi="Times New Roman" w:cs="Times New Roman"/>
          <w:color w:val="000000"/>
          <w:kern w:val="0"/>
          <w:lang w:eastAsia="en-US"/>
        </w:rPr>
        <w:t xml:space="preserve">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DEFFBC8" w:rsidR="006309C0" w:rsidRPr="005E6935" w:rsidRDefault="00C34EC9" w:rsidP="007902ED">
      <w:pPr>
        <w:rPr>
          <w:color w:val="000000" w:themeColor="text1"/>
        </w:rPr>
      </w:pPr>
      <w:r>
        <w:t xml:space="preserve">Disengagement at the </w:t>
      </w:r>
      <w:ins w:id="35" w:author="Dominic LaRoche [2]" w:date="2017-11-28T20:48:00Z">
        <w:r w:rsidR="00B42A6A">
          <w:t>university</w:t>
        </w:r>
      </w:ins>
      <w:del w:id="36" w:author="Dominic LaRoche [2]" w:date="2017-11-28T20:48:00Z">
        <w:r w:rsidDel="00B42A6A">
          <w:delText>college</w:delText>
        </w:r>
      </w:del>
      <w:r>
        <w:t xml:space="preserve"> level can lead to failing grades, higher dropout rates, and feeling </w:t>
      </w:r>
      <w:commentRangeStart w:id="37"/>
      <w:r>
        <w:t>disenfranchised</w:t>
      </w:r>
      <w:commentRangeEnd w:id="37"/>
      <w:r w:rsidR="00F34359">
        <w:rPr>
          <w:rStyle w:val="CommentReference"/>
        </w:rPr>
        <w:commentReference w:id="37"/>
      </w:r>
      <w:r>
        <w:t>.</w:t>
      </w:r>
      <w:r w:rsidR="00220A75">
        <w:t xml:space="preserve"> Therefore</w:t>
      </w:r>
      <w:r>
        <w:t>,</w:t>
      </w:r>
      <w:r w:rsidR="00C16FA7">
        <w:t xml:space="preserve"> to optimi</w:t>
      </w:r>
      <w:r w:rsidR="0086289E">
        <w:t xml:space="preserve">ze performance among </w:t>
      </w:r>
      <w:ins w:id="38" w:author="Dominic LaRoche [2]" w:date="2017-11-28T20:48:00Z">
        <w:r w:rsidR="00A87E67">
          <w:t>university</w:t>
        </w:r>
      </w:ins>
      <w:del w:id="39" w:author="Dominic LaRoche [2]" w:date="2017-11-28T20:48:00Z">
        <w:r w:rsidR="0086289E" w:rsidDel="00A87E67">
          <w:delText>college</w:delText>
        </w:r>
      </w:del>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0345237D" w:rsidR="0087094C" w:rsidRPr="003B1535" w:rsidRDefault="00A87E67" w:rsidP="003B1535">
      <w:pPr>
        <w:rPr>
          <w:color w:val="000000" w:themeColor="text1"/>
        </w:rPr>
      </w:pPr>
      <w:ins w:id="40" w:author="Dominic LaRoche [2]" w:date="2017-11-28T20:48:00Z">
        <w:r>
          <w:t>University</w:t>
        </w:r>
      </w:ins>
      <w:commentRangeStart w:id="41"/>
      <w:del w:id="42" w:author="Dominic LaRoche [2]" w:date="2017-11-28T20:48:00Z">
        <w:r w:rsidR="001B4F4F" w:rsidDel="00A87E67">
          <w:delText>College</w:delText>
        </w:r>
      </w:del>
      <w:commentRangeEnd w:id="41"/>
      <w:r w:rsidR="00022C78">
        <w:rPr>
          <w:rStyle w:val="CommentReference"/>
        </w:rPr>
        <w:commentReference w:id="41"/>
      </w:r>
      <w:r w:rsidR="001B4F4F">
        <w:t xml:space="preserve"> students are inundated with potential stressors, 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 xml:space="preserve">academic setting. </w:t>
      </w:r>
      <w:commentRangeStart w:id="43"/>
      <w:del w:id="44" w:author="Dominic LaRoche [2]" w:date="2017-11-28T20:28:00Z">
        <w:r w:rsidR="00BB7039" w:rsidDel="00022C78">
          <w:delText>To achieve</w:delText>
        </w:r>
        <w:r w:rsidR="006F5641" w:rsidDel="00022C78">
          <w:delText xml:space="preserve"> academic success</w:delText>
        </w:r>
        <w:r w:rsidR="00535A0D" w:rsidDel="00022C78">
          <w:delText>,</w:delText>
        </w:r>
        <w:r w:rsidR="006F5641" w:rsidDel="00022C78">
          <w:delText xml:space="preserve"> it is important</w:delText>
        </w:r>
        <w:r w:rsidR="00BB7039" w:rsidDel="00022C78">
          <w:delText xml:space="preserve"> for students</w:delText>
        </w:r>
        <w:r w:rsidR="006F5641" w:rsidDel="00022C78">
          <w:delText xml:space="preserve"> to be actively engaged in school.  </w:delText>
        </w:r>
      </w:del>
      <w:commentRangeEnd w:id="43"/>
      <w:r w:rsidR="00022C78">
        <w:rPr>
          <w:rStyle w:val="CommentReference"/>
        </w:rPr>
        <w:commentReference w:id="43"/>
      </w:r>
      <w:r w:rsidR="006F5641">
        <w:t>Stress</w:t>
      </w:r>
      <w:del w:id="45" w:author="Dominic LaRoche [2]" w:date="2017-11-28T20:30:00Z">
        <w:r w:rsidR="006F5641" w:rsidDel="00022C78">
          <w:delText>, however,</w:delText>
        </w:r>
      </w:del>
      <w:r w:rsidR="006F5641">
        <w:t xml:space="preserve">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w:t>
      </w:r>
      <w:r w:rsidR="003B1535" w:rsidRPr="003B1535">
        <w:rPr>
          <w:color w:val="000000" w:themeColor="text1"/>
        </w:rPr>
        <w:lastRenderedPageBreak/>
        <w:t xml:space="preserve">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130D3545"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w:t>
      </w:r>
      <w:del w:id="46" w:author="Dominic LaRoche [2]" w:date="2017-11-28T20:35:00Z">
        <w:r w:rsidR="00B428A2" w:rsidDel="00573487">
          <w:delText>as well as</w:delText>
        </w:r>
      </w:del>
      <w:ins w:id="47" w:author="Dominic LaRoche [2]" w:date="2017-11-28T20:35:00Z">
        <w:r w:rsidR="00573487">
          <w:t>and</w:t>
        </w:r>
      </w:ins>
      <w:r w:rsidR="00B428A2">
        <w:t xml:space="preserve">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ins w:id="48" w:author="Dominic LaRoche [2]" w:date="2017-11-28T20:37:00Z">
        <w:r w:rsidR="00573487">
          <w:t>.</w:t>
        </w:r>
      </w:ins>
      <w:del w:id="49" w:author="Dominic LaRoche [2]" w:date="2017-11-28T20:37:00Z">
        <w:r w:rsidR="00450D3B" w:rsidDel="00573487">
          <w:delText>,</w:delText>
        </w:r>
      </w:del>
      <w:r w:rsidR="00460190">
        <w:t xml:space="preserve"> </w:t>
      </w:r>
      <w:del w:id="50" w:author="Dominic LaRoche [2]" w:date="2017-11-28T20:37:00Z">
        <w:r w:rsidR="00460190" w:rsidDel="00573487">
          <w:delText>and in their study,</w:delText>
        </w:r>
        <w:r w:rsidR="00450D3B" w:rsidDel="00573487">
          <w:delText xml:space="preserve"> </w:delText>
        </w:r>
      </w:del>
      <w:proofErr w:type="spellStart"/>
      <w:r w:rsidR="006849CF">
        <w:t>Misra</w:t>
      </w:r>
      <w:proofErr w:type="spellEnd"/>
      <w:r w:rsidR="006849CF">
        <w:t xml:space="preserve"> and</w:t>
      </w:r>
      <w:r w:rsidR="00E82A6B">
        <w:t xml:space="preserve"> McKean (2000)</w:t>
      </w:r>
      <w:del w:id="51" w:author="Dominic LaRoche [2]" w:date="2017-11-28T20:38:00Z">
        <w:r w:rsidR="00B3267F" w:rsidDel="008C6BB0">
          <w:delText>,</w:delText>
        </w:r>
      </w:del>
      <w:r w:rsidR="00B3267F">
        <w:t xml:space="preserve"> </w:t>
      </w:r>
      <w:del w:id="52" w:author="Dominic LaRoche [2]" w:date="2017-11-28T20:38:00Z">
        <w:r w:rsidR="00B3267F" w:rsidDel="00573487">
          <w:delText>albeit the directionality was not clear</w:delText>
        </w:r>
        <w:r w:rsidR="00686DB9" w:rsidDel="00573487">
          <w:delText>,</w:delText>
        </w:r>
        <w:r w:rsidR="00E82A6B" w:rsidDel="00573487">
          <w:delText xml:space="preserve"> </w:delText>
        </w:r>
      </w:del>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ins w:id="53" w:author="Dominic LaRoche [2]" w:date="2017-11-28T20:39:00Z">
        <w:r w:rsidR="008C6BB0">
          <w:t xml:space="preserve">also </w:t>
        </w:r>
      </w:ins>
      <w:r w:rsidR="007E554A">
        <w:t>stress and time management</w:t>
      </w:r>
      <w:ins w:id="54" w:author="Dominic LaRoche [2]" w:date="2017-11-28T20:38:00Z">
        <w:r w:rsidR="008C6BB0">
          <w:t>,</w:t>
        </w:r>
        <w:r w:rsidR="008C6BB0" w:rsidRPr="008C6BB0">
          <w:t xml:space="preserve"> </w:t>
        </w:r>
        <w:r w:rsidR="008C6BB0">
          <w:t>albeit the directionality was not clear</w:t>
        </w:r>
      </w:ins>
      <w:r w:rsidR="00460190">
        <w:t>.</w:t>
      </w:r>
      <w:r w:rsidR="006A0F6F">
        <w:rPr>
          <w:color w:val="FF0000"/>
        </w:rPr>
        <w:t xml:space="preserve"> </w:t>
      </w:r>
    </w:p>
    <w:p w14:paraId="00A81B2F" w14:textId="26610DD6"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del w:id="55" w:author="Dominic LaRoche [2]" w:date="2017-11-28T20:40:00Z">
        <w:r w:rsidR="00AE5DDC" w:rsidDel="00FB1AF4">
          <w:delText xml:space="preserve">For instance, </w:delText>
        </w:r>
      </w:del>
      <w:proofErr w:type="spellStart"/>
      <w:r w:rsidR="00BA6C84">
        <w:t>Misra</w:t>
      </w:r>
      <w:proofErr w:type="spellEnd"/>
      <w:r w:rsidR="00BA6C84">
        <w:t xml:space="preserve"> and</w:t>
      </w:r>
      <w:r w:rsidR="000578B2">
        <w:t xml:space="preserve"> McKean’s (2000) research </w:t>
      </w:r>
      <w:del w:id="56" w:author="Dominic LaRoche [2]" w:date="2017-11-28T20:40:00Z">
        <w:r w:rsidR="000578B2" w:rsidDel="00FB1AF4">
          <w:delText>described above looked at</w:delText>
        </w:r>
      </w:del>
      <w:ins w:id="57" w:author="Dominic LaRoche [2]" w:date="2017-11-28T20:40:00Z">
        <w:r w:rsidR="00FB1AF4">
          <w:t>examined</w:t>
        </w:r>
      </w:ins>
      <w:r w:rsidR="000578B2">
        <w:t xml:space="preserve"> the </w:t>
      </w:r>
      <w:commentRangeStart w:id="58"/>
      <w:r w:rsidR="000578B2">
        <w:t>relationship</w:t>
      </w:r>
      <w:commentRangeEnd w:id="58"/>
      <w:r w:rsidR="00FB1AF4">
        <w:rPr>
          <w:rStyle w:val="CommentReference"/>
        </w:rPr>
        <w:commentReference w:id="58"/>
      </w:r>
      <w:ins w:id="59" w:author="Dominic LaRoche [2]" w:date="2017-11-28T20:41:00Z">
        <w:r w:rsidR="00FB1AF4">
          <w:t>.</w:t>
        </w:r>
      </w:ins>
      <w:r w:rsidR="000578B2">
        <w:t xml:space="preserve">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w:t>
      </w:r>
      <w:del w:id="60" w:author="Dominic LaRoche [2]" w:date="2017-11-28T20:44:00Z">
        <w:r w:rsidR="00113F08" w:rsidDel="00B42A6A">
          <w:rPr>
            <w:rFonts w:asciiTheme="majorHAnsi" w:hAnsiTheme="majorHAnsi" w:cstheme="majorHAnsi"/>
            <w:shd w:val="clear" w:color="auto" w:fill="FFFFFF"/>
          </w:rPr>
          <w:delText xml:space="preserve">the most </w:delText>
        </w:r>
      </w:del>
      <w:r w:rsidR="00113F08">
        <w:rPr>
          <w:rFonts w:asciiTheme="majorHAnsi" w:hAnsiTheme="majorHAnsi" w:cstheme="majorHAnsi"/>
          <w:shd w:val="clear" w:color="auto" w:fill="FFFFFF"/>
        </w:rPr>
        <w:t xml:space="preserve">vigorous exercise </w:t>
      </w:r>
      <w:r w:rsidR="008674CD">
        <w:rPr>
          <w:rFonts w:asciiTheme="majorHAnsi" w:hAnsiTheme="majorHAnsi" w:cstheme="majorHAnsi"/>
          <w:shd w:val="clear" w:color="auto" w:fill="FFFFFF"/>
        </w:rPr>
        <w:t xml:space="preserve">displayed </w:t>
      </w:r>
      <w:ins w:id="61" w:author="Dominic LaRoche [2]" w:date="2017-11-28T20:44:00Z">
        <w:r w:rsidR="00B42A6A">
          <w:rPr>
            <w:rFonts w:asciiTheme="majorHAnsi" w:hAnsiTheme="majorHAnsi" w:cstheme="majorHAnsi"/>
            <w:shd w:val="clear" w:color="auto" w:fill="FFFFFF"/>
          </w:rPr>
          <w:t xml:space="preserve">lower </w:t>
        </w:r>
      </w:ins>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w:t>
      </w:r>
      <w:del w:id="62" w:author="Dominic LaRoche [2]" w:date="2017-11-28T20:44:00Z">
        <w:r w:rsidR="00113F08" w:rsidDel="00B42A6A">
          <w:rPr>
            <w:rFonts w:asciiTheme="majorHAnsi" w:hAnsiTheme="majorHAnsi" w:cstheme="majorHAnsi"/>
            <w:shd w:val="clear" w:color="auto" w:fill="FFFFFF"/>
          </w:rPr>
          <w:delText xml:space="preserve">lower </w:delText>
        </w:r>
      </w:del>
      <w:r w:rsidR="00113F08">
        <w:rPr>
          <w:rFonts w:asciiTheme="majorHAnsi" w:hAnsiTheme="majorHAnsi" w:cstheme="majorHAnsi"/>
          <w:shd w:val="clear" w:color="auto" w:fill="FFFFFF"/>
        </w:rPr>
        <w:t xml:space="preserve">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17A5856D" w:rsidR="003A31AB" w:rsidRDefault="00737A56" w:rsidP="00737A56">
      <w:del w:id="63" w:author="Dominic LaRoche" w:date="2017-11-29T16:21:00Z">
        <w:r w:rsidDel="00251973">
          <w:delText>Fortunately, g</w:delText>
        </w:r>
      </w:del>
      <w:ins w:id="64" w:author="Dominic LaRoche" w:date="2017-11-29T16:21:00Z">
        <w:r w:rsidR="00251973">
          <w:t>G</w:t>
        </w:r>
      </w:ins>
      <w:r>
        <w:t>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proofErr w:type="gramStart"/>
      <w:r>
        <w:t>Similar to</w:t>
      </w:r>
      <w:proofErr w:type="gramEnd"/>
      <w:r>
        <w:t xml:space="preserve"> sleep, exercise has been shown to positively impact a myriad of life’s functions including mood, mental health, </w:t>
      </w:r>
      <w:del w:id="65" w:author="Dominic LaRoche" w:date="2017-11-29T16:23:00Z">
        <w:r w:rsidDel="002707DE">
          <w:delText>telomere length,</w:delText>
        </w:r>
        <w:r w:rsidRPr="00637EE7" w:rsidDel="002707DE">
          <w:rPr>
            <w:color w:val="7030A0"/>
          </w:rPr>
          <w:delText xml:space="preserve"> </w:delText>
        </w:r>
      </w:del>
      <w:r w:rsidRPr="001C2318">
        <w:rPr>
          <w:color w:val="000000" w:themeColor="text1"/>
        </w:rPr>
        <w:t xml:space="preserve">cognitive functioning, attention, </w:t>
      </w:r>
      <w:r w:rsidRPr="00741E91">
        <w:rPr>
          <w:color w:val="000000" w:themeColor="text1"/>
        </w:rPr>
        <w:t>cardiovascular health</w:t>
      </w:r>
      <w:r>
        <w:t xml:space="preserve">, </w:t>
      </w:r>
      <w:commentRangeStart w:id="66"/>
      <w:r>
        <w:t>stress</w:t>
      </w:r>
      <w:commentRangeEnd w:id="66"/>
      <w:r w:rsidR="002707DE">
        <w:rPr>
          <w:rStyle w:val="CommentReference"/>
        </w:rPr>
        <w:commentReference w:id="66"/>
      </w:r>
      <w:r>
        <w:t xml:space="preserve">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234B64DC"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 xml:space="preserve">Sadeh, </w:t>
      </w:r>
      <w:r w:rsidR="005E4881">
        <w:rPr>
          <w:color w:val="000000" w:themeColor="text1"/>
        </w:rPr>
        <w:lastRenderedPageBreak/>
        <w:t>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w:t>
      </w:r>
      <w:del w:id="67" w:author="Dominic LaRoche" w:date="2017-11-29T16:39:00Z">
        <w:r w:rsidRPr="00A36AAB" w:rsidDel="004145C9">
          <w:delText xml:space="preserve">the </w:delText>
        </w:r>
      </w:del>
      <w:r w:rsidRPr="00A36AAB">
        <w:t xml:space="preserve">healthy </w:t>
      </w:r>
      <w:del w:id="68" w:author="Dominic LaRoche" w:date="2017-11-29T16:39:00Z">
        <w:r w:rsidRPr="00A36AAB" w:rsidDel="004145C9">
          <w:delText xml:space="preserve">implementation of </w:delText>
        </w:r>
      </w:del>
      <w:r w:rsidRPr="00A36AAB">
        <w:t>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ins w:id="69" w:author="Dominic LaRoche" w:date="2017-11-29T17:15:00Z">
        <w:r w:rsidR="00953839">
          <w:t xml:space="preserve"> as defined by XXXX</w:t>
        </w:r>
      </w:ins>
      <w:r w:rsidRPr="00A36AAB">
        <w:t xml:space="preserve"> revolves</w:t>
      </w:r>
      <w:del w:id="70" w:author="Dominic LaRoche" w:date="2017-11-29T17:15:00Z">
        <w:r w:rsidRPr="00A36AAB" w:rsidDel="00953839">
          <w:delText xml:space="preserve"> more</w:delText>
        </w:r>
      </w:del>
      <w:r w:rsidRPr="00A36AAB">
        <w:t xml:space="preserve"> around the concept</w:t>
      </w:r>
      <w:del w:id="71" w:author="Dominic LaRoche" w:date="2017-11-29T17:16:00Z">
        <w:r w:rsidRPr="00A36AAB" w:rsidDel="00953839">
          <w:delText>s</w:delText>
        </w:r>
      </w:del>
      <w:r w:rsidRPr="00A36AAB">
        <w:t xml:space="preserve">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ins w:id="72" w:author="Dominic LaRoche" w:date="2017-11-29T17:17:00Z">
        <w:r w:rsidR="00953839">
          <w:t xml:space="preserve"> indirectly</w:t>
        </w:r>
      </w:ins>
      <w:r w:rsidRPr="00A36AAB">
        <w:t xml:space="preserve"> improve oth</w:t>
      </w:r>
      <w:r w:rsidR="006F2626">
        <w:t xml:space="preserve">er areas </w:t>
      </w:r>
      <w:r w:rsidR="006F2626">
        <w:lastRenderedPageBreak/>
        <w:t>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211DEA9F"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ins w:id="73" w:author="Dominic LaRoche" w:date="2017-11-29T17:28:00Z">
        <w:r w:rsidR="00C76439">
          <w:rPr>
            <w:rFonts w:ascii="Times New Roman" w:hAnsi="Times New Roman"/>
            <w:i/>
            <w:color w:val="000000"/>
          </w:rPr>
          <w:t>hypothesize</w:t>
        </w:r>
      </w:ins>
      <w:del w:id="74" w:author="Dominic LaRoche" w:date="2017-11-29T17:28:00Z">
        <w:r w:rsidRPr="007264B2" w:rsidDel="00C76439">
          <w:rPr>
            <w:rFonts w:ascii="Times New Roman" w:hAnsi="Times New Roman"/>
            <w:i/>
            <w:color w:val="000000"/>
          </w:rPr>
          <w:delText>believe</w:delText>
        </w:r>
      </w:del>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4583264B"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ins w:id="75" w:author="Dominic LaRoche" w:date="2017-11-29T17:27:00Z">
        <w:r w:rsidR="00B6633D">
          <w:rPr>
            <w:rFonts w:ascii="Times New Roman" w:hAnsi="Times New Roman"/>
            <w:i/>
            <w:color w:val="000000"/>
          </w:rPr>
          <w:t>lower levels of</w:t>
        </w:r>
      </w:ins>
      <w:del w:id="76" w:author="Dominic LaRoche" w:date="2017-11-29T17:27:00Z">
        <w:r w:rsidR="00E57030" w:rsidRPr="00E57030" w:rsidDel="00B6633D">
          <w:rPr>
            <w:rFonts w:ascii="Times New Roman" w:hAnsi="Times New Roman"/>
            <w:i/>
            <w:color w:val="000000"/>
          </w:rPr>
          <w:delText>as</w:delText>
        </w:r>
      </w:del>
      <w:r w:rsidR="00E57030" w:rsidRPr="00E57030">
        <w:rPr>
          <w:rFonts w:ascii="Times New Roman" w:hAnsi="Times New Roman"/>
          <w:i/>
          <w:color w:val="000000"/>
        </w:rPr>
        <w:t xml:space="preserve"> sleep hygiene </w:t>
      </w:r>
      <w:ins w:id="77" w:author="Dominic LaRoche" w:date="2017-11-29T17:27:00Z">
        <w:r w:rsidR="00B6633D">
          <w:rPr>
            <w:rFonts w:ascii="Times New Roman" w:hAnsi="Times New Roman"/>
            <w:i/>
            <w:color w:val="000000"/>
          </w:rPr>
          <w:t>will be associated</w:t>
        </w:r>
      </w:ins>
      <w:ins w:id="78" w:author="Dominic LaRoche" w:date="2017-11-29T17:28:00Z">
        <w:r w:rsidR="00B6633D">
          <w:rPr>
            <w:rFonts w:ascii="Times New Roman" w:hAnsi="Times New Roman"/>
            <w:i/>
            <w:color w:val="000000"/>
          </w:rPr>
          <w:t xml:space="preserve"> with</w:t>
        </w:r>
      </w:ins>
      <w:del w:id="79" w:author="Dominic LaRoche" w:date="2017-11-29T17:27:00Z">
        <w:r w:rsidR="00E57030" w:rsidRPr="00E57030" w:rsidDel="00B6633D">
          <w:rPr>
            <w:rFonts w:ascii="Times New Roman" w:hAnsi="Times New Roman"/>
            <w:i/>
            <w:color w:val="000000"/>
          </w:rPr>
          <w:delText>is impaired,</w:delText>
        </w:r>
      </w:del>
      <w:r w:rsidR="00E57030" w:rsidRPr="00E57030">
        <w:rPr>
          <w:rFonts w:ascii="Times New Roman" w:hAnsi="Times New Roman"/>
          <w:i/>
          <w:color w:val="000000"/>
        </w:rPr>
        <w:t xml:space="preserve"> impairments in academic engagement</w:t>
      </w:r>
      <w:del w:id="80" w:author="Dominic LaRoche" w:date="2017-11-29T17:28:00Z">
        <w:r w:rsidR="00E57030" w:rsidRPr="00E57030" w:rsidDel="00B6633D">
          <w:rPr>
            <w:rFonts w:ascii="Times New Roman" w:hAnsi="Times New Roman"/>
            <w:i/>
            <w:color w:val="000000"/>
          </w:rPr>
          <w:delText xml:space="preserve"> will be seen, as well</w:delText>
        </w:r>
      </w:del>
      <w:r w:rsidR="00E57030" w:rsidRPr="00E57030">
        <w:rPr>
          <w:rFonts w:ascii="Times New Roman" w:hAnsi="Times New Roman"/>
          <w:i/>
          <w:color w:val="000000"/>
        </w:rPr>
        <w:t xml:space="preserve">. </w:t>
      </w:r>
      <w:ins w:id="81" w:author="Dominic LaRoche" w:date="2017-11-29T17:28:00Z">
        <w:r w:rsidR="00B6633D">
          <w:rPr>
            <w:rFonts w:ascii="Times New Roman" w:hAnsi="Times New Roman"/>
            <w:i/>
            <w:color w:val="000000"/>
          </w:rPr>
          <w:t xml:space="preserve">Specifically, </w:t>
        </w:r>
      </w:ins>
      <w:del w:id="82" w:author="Dominic LaRoche" w:date="2017-11-29T17:28:00Z">
        <w:r w:rsidR="00E57030" w:rsidRPr="00E57030" w:rsidDel="00B6633D">
          <w:rPr>
            <w:rFonts w:ascii="Times New Roman" w:hAnsi="Times New Roman"/>
            <w:i/>
            <w:color w:val="000000"/>
          </w:rPr>
          <w:delText xml:space="preserve">I postulate that </w:delText>
        </w:r>
      </w:del>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w:t>
      </w:r>
      <w:ins w:id="83" w:author="Dominic LaRoche" w:date="2017-11-29T17:29:00Z">
        <w:r w:rsidR="00C76439">
          <w:rPr>
            <w:rFonts w:ascii="Times New Roman" w:hAnsi="Times New Roman"/>
            <w:i/>
            <w:color w:val="000000"/>
          </w:rPr>
          <w:t>I hypothesize</w:t>
        </w:r>
      </w:ins>
      <w:del w:id="84" w:author="Dominic LaRoche" w:date="2017-11-29T17:29:00Z">
        <w:r w:rsidR="00E334F1" w:rsidRPr="006579A4" w:rsidDel="00C76439">
          <w:rPr>
            <w:rFonts w:ascii="Times New Roman" w:hAnsi="Times New Roman"/>
            <w:i/>
            <w:color w:val="000000"/>
          </w:rPr>
          <w:delText>it is believed</w:delText>
        </w:r>
      </w:del>
      <w:r w:rsidR="00E334F1" w:rsidRPr="006579A4">
        <w:rPr>
          <w:rFonts w:ascii="Times New Roman" w:hAnsi="Times New Roman"/>
          <w:i/>
          <w:color w:val="000000"/>
        </w:rPr>
        <w:t xml:space="preserve"> that </w:t>
      </w:r>
      <w:ins w:id="85" w:author="Dominic LaRoche" w:date="2017-11-29T17:30:00Z">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ins>
      <w:r w:rsidR="00E334F1" w:rsidRPr="006579A4">
        <w:rPr>
          <w:rFonts w:ascii="Times New Roman" w:hAnsi="Times New Roman"/>
          <w:i/>
          <w:color w:val="000000"/>
        </w:rPr>
        <w:t xml:space="preserve">both the skills engagement and the performance engagement factors </w:t>
      </w:r>
      <w:del w:id="86" w:author="Dominic LaRoche" w:date="2017-11-29T17:30:00Z">
        <w:r w:rsidR="00E334F1" w:rsidRPr="006579A4" w:rsidDel="00C76439">
          <w:rPr>
            <w:rFonts w:ascii="Times New Roman" w:hAnsi="Times New Roman"/>
            <w:i/>
            <w:color w:val="000000"/>
          </w:rPr>
          <w:delText xml:space="preserve">will show the greatest effect of sleep hygiene practices </w:delText>
        </w:r>
      </w:del>
      <w:r w:rsidR="00E334F1" w:rsidRPr="006579A4">
        <w:rPr>
          <w:rFonts w:ascii="Times New Roman" w:hAnsi="Times New Roman"/>
          <w:i/>
          <w:color w:val="000000"/>
        </w:rPr>
        <w:t xml:space="preserve">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lastRenderedPageBreak/>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commentRangeStart w:id="87"/>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commentRangeEnd w:id="87"/>
      <w:r w:rsidR="00692074">
        <w:rPr>
          <w:rStyle w:val="CommentReference"/>
        </w:rPr>
        <w:commentReference w:id="87"/>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commentRangeStart w:id="88"/>
      <w:r w:rsidRPr="00652A39">
        <w:rPr>
          <w:rFonts w:ascii="Times New Roman" w:hAnsi="Times New Roman"/>
          <w:i/>
          <w:color w:val="000000"/>
        </w:rPr>
        <w:t>lower</w:t>
      </w:r>
      <w:commentRangeEnd w:id="88"/>
      <w:r w:rsidR="0007563D">
        <w:rPr>
          <w:rStyle w:val="CommentReference"/>
        </w:rPr>
        <w:commentReference w:id="88"/>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6D6E2AF9"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w:t>
      </w:r>
      <w:proofErr w:type="gramStart"/>
      <w:r w:rsidRPr="006B36AB">
        <w:rPr>
          <w:rFonts w:ascii="Times New Roman" w:hAnsi="Times New Roman"/>
          <w:i/>
        </w:rPr>
        <w:t>Due to the fact that</w:t>
      </w:r>
      <w:proofErr w:type="gramEnd"/>
      <w:r w:rsidRPr="006B36AB">
        <w:rPr>
          <w:rFonts w:ascii="Times New Roman" w:hAnsi="Times New Roman"/>
          <w:i/>
        </w:rPr>
        <w:t xml:space="preserve">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del w:id="89" w:author="Dominic LaRoche" w:date="2017-11-29T19:04:00Z">
        <w:r w:rsidR="00866750" w:rsidDel="0007563D">
          <w:rPr>
            <w:rFonts w:ascii="Times New Roman" w:hAnsi="Times New Roman"/>
            <w:i/>
          </w:rPr>
          <w:delText>buffer against</w:delText>
        </w:r>
      </w:del>
      <w:ins w:id="90" w:author="Dominic LaRoche" w:date="2017-11-29T19:04:00Z">
        <w:r w:rsidR="0007563D">
          <w:rPr>
            <w:rFonts w:ascii="Times New Roman" w:hAnsi="Times New Roman"/>
            <w:i/>
          </w:rPr>
          <w:t>mitigate</w:t>
        </w:r>
      </w:ins>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lastRenderedPageBreak/>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124941AE"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ins w:id="91" w:author="Dominic LaRoche" w:date="2017-11-29T19:13:00Z">
        <w:r w:rsidR="008447A1">
          <w:t xml:space="preserve">negatively </w:t>
        </w:r>
      </w:ins>
      <w:r w:rsidR="00A95323">
        <w:t>impacting academic engagement</w:t>
      </w:r>
      <w:r w:rsidR="004A3F41">
        <w:t>,</w:t>
      </w:r>
      <w:del w:id="92" w:author="Dominic LaRoche" w:date="2017-11-29T19:13:00Z">
        <w:r w:rsidR="001D136A" w:rsidDel="007D7A86">
          <w:delText xml:space="preserve"> and</w:delText>
        </w:r>
      </w:del>
      <w:r w:rsidR="0087715C">
        <w:t xml:space="preserve"> retention rates</w:t>
      </w:r>
      <w:ins w:id="93" w:author="Dominic LaRoche" w:date="2017-11-29T19:14:00Z">
        <w:r w:rsidR="007D7A86">
          <w:t>,</w:t>
        </w:r>
      </w:ins>
      <w:r w:rsidR="0087715C">
        <w:t xml:space="preserve"> and student success</w:t>
      </w:r>
      <w:del w:id="94" w:author="Dominic LaRoche" w:date="2017-11-29T19:14:00Z">
        <w:r w:rsidR="001D136A" w:rsidDel="007D7A86">
          <w:delText xml:space="preserve"> are being negatively impacted</w:delText>
        </w:r>
      </w:del>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30BB0B77"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w:t>
      </w:r>
      <w:proofErr w:type="gramStart"/>
      <w:r w:rsidR="000D1D18">
        <w:rPr>
          <w:color w:val="000000" w:themeColor="text1"/>
        </w:rPr>
        <w:t xml:space="preserve">as a whole, </w:t>
      </w:r>
      <w:r>
        <w:rPr>
          <w:color w:val="000000" w:themeColor="text1"/>
        </w:rPr>
        <w:t>while</w:t>
      </w:r>
      <w:proofErr w:type="gramEnd"/>
      <w:r>
        <w:rPr>
          <w:color w:val="000000" w:themeColor="text1"/>
        </w:rPr>
        <w:t xml:space="preserve"> others have focused</w:t>
      </w:r>
      <w:r w:rsidR="000D1D18">
        <w:rPr>
          <w:color w:val="000000" w:themeColor="text1"/>
        </w:rPr>
        <w:t xml:space="preserve"> more specifically at impacts</w:t>
      </w:r>
      <w:ins w:id="95" w:author="Dominic LaRoche" w:date="2017-11-29T19:20:00Z">
        <w:r w:rsidR="007D7A86">
          <w:rPr>
            <w:color w:val="000000" w:themeColor="text1"/>
          </w:rPr>
          <w:t xml:space="preserve"> of stress</w:t>
        </w:r>
      </w:ins>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77FE8A1F"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w:t>
      </w:r>
      <w:ins w:id="96" w:author="Dominic LaRoche" w:date="2017-11-29T19:32:00Z">
        <w:r w:rsidR="005D0AD3">
          <w:t xml:space="preserve">factors </w:t>
        </w:r>
        <w:r w:rsidR="005D0AD3">
          <w:t xml:space="preserve">of </w:t>
        </w:r>
      </w:ins>
      <w:r w:rsidR="00DB27AF">
        <w:t xml:space="preserve">psychological well-being </w:t>
      </w:r>
      <w:del w:id="97" w:author="Dominic LaRoche" w:date="2017-11-29T19:32:00Z">
        <w:r w:rsidR="00DB27AF" w:rsidDel="005D0AD3">
          <w:delText xml:space="preserve">above and beyond other factors </w:delText>
        </w:r>
      </w:del>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4AAF32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ins w:id="98" w:author="Dominic LaRoche" w:date="2017-11-29T19:48:00Z">
        <w:r w:rsidR="00DD7D74">
          <w:t xml:space="preserve">stressor types </w:t>
        </w:r>
      </w:ins>
      <w:r>
        <w:t>significantly improved predictability</w:t>
      </w:r>
      <w:ins w:id="99" w:author="Dominic LaRoche" w:date="2017-11-29T19:48:00Z">
        <w:r w:rsidR="00C14A59">
          <w:t xml:space="preserve"> of life satisfaction</w:t>
        </w:r>
      </w:ins>
      <w:r>
        <w:t>.  In a simil</w:t>
      </w:r>
      <w:r w:rsidR="006C57AE">
        <w:t>ar vein, McCullough et al. (2000</w:t>
      </w:r>
      <w:r>
        <w:t xml:space="preserve">) found that negative daily events contributed more </w:t>
      </w:r>
      <w:commentRangeStart w:id="100"/>
      <w:r>
        <w:t xml:space="preserve">variance to participant affect </w:t>
      </w:r>
      <w:commentRangeEnd w:id="100"/>
      <w:r w:rsidR="00C14A59">
        <w:rPr>
          <w:rStyle w:val="CommentReference"/>
        </w:rPr>
        <w:commentReference w:id="100"/>
      </w:r>
      <w:r>
        <w:t>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w:t>
      </w:r>
      <w:del w:id="101" w:author="Dominic LaRoche" w:date="2017-11-29T19:57:00Z">
        <w:r w:rsidR="00874130" w:rsidDel="00C14A59">
          <w:delText xml:space="preserve"> of the</w:delText>
        </w:r>
      </w:del>
      <w:r w:rsidR="00874130">
        <w:t xml:space="preserve"> </w:t>
      </w:r>
      <w:del w:id="102" w:author="Dominic LaRoche" w:date="2017-11-29T19:56:00Z">
        <w:r w:rsidR="00874130" w:rsidDel="00C14A59">
          <w:delText>everyday school</w:delText>
        </w:r>
      </w:del>
      <w:ins w:id="103" w:author="Dominic LaRoche" w:date="2017-11-29T19:56:00Z">
        <w:r w:rsidR="00C14A59">
          <w:t>common</w:t>
        </w:r>
      </w:ins>
      <w:r w:rsidR="00874130">
        <w:t xml:space="preserve"> problems</w:t>
      </w:r>
      <w:ins w:id="104" w:author="Dominic LaRoche" w:date="2017-11-29T19:56:00Z">
        <w:r w:rsidR="00C14A59">
          <w:t xml:space="preserve"> associated with sch</w:t>
        </w:r>
      </w:ins>
      <w:ins w:id="105" w:author="Dominic LaRoche" w:date="2017-11-29T19:57:00Z">
        <w:r w:rsidR="00C14A59">
          <w:t>ool</w:t>
        </w:r>
      </w:ins>
      <w:r w:rsidR="00874130">
        <w:t xml:space="preserve"> and family issues</w:t>
      </w:r>
      <w:del w:id="106" w:author="Dominic LaRoche" w:date="2017-11-29T19:56:00Z">
        <w:r w:rsidR="00874130" w:rsidDel="00C14A59">
          <w:delText xml:space="preserve"> variety</w:delText>
        </w:r>
      </w:del>
      <w:r w:rsidR="00874130">
        <w:t xml:space="preserve">, </w:t>
      </w:r>
      <w:r w:rsidR="008B6861">
        <w:t>were</w:t>
      </w:r>
      <w:r w:rsidR="00874130">
        <w:t xml:space="preserve"> significantly correlated </w:t>
      </w:r>
      <w:r w:rsidR="001C61A1">
        <w:t>with psychological functioning</w:t>
      </w:r>
      <w:ins w:id="107" w:author="Dominic LaRoche" w:date="2017-11-29T19:55:00Z">
        <w:r w:rsidR="00C14A59">
          <w:t>.</w:t>
        </w:r>
      </w:ins>
      <w:del w:id="108" w:author="Dominic LaRoche" w:date="2017-11-29T19:55:00Z">
        <w:r w:rsidR="001C61A1" w:rsidDel="00C14A59">
          <w:delText>,</w:delText>
        </w:r>
      </w:del>
      <w:r w:rsidR="008B6861">
        <w:t xml:space="preserve"> </w:t>
      </w:r>
      <w:ins w:id="109" w:author="Dominic LaRoche" w:date="2017-11-29T19:55:00Z">
        <w:r w:rsidR="00C14A59">
          <w:t>W</w:t>
        </w:r>
      </w:ins>
      <w:del w:id="110" w:author="Dominic LaRoche" w:date="2017-11-29T19:55:00Z">
        <w:r w:rsidR="008B6861" w:rsidDel="00C14A59">
          <w:delText>and</w:delText>
        </w:r>
        <w:r w:rsidR="007558B3" w:rsidDel="00C14A59">
          <w:delText xml:space="preserve"> </w:delText>
        </w:r>
        <w:r w:rsidR="00475796" w:rsidDel="00C14A59">
          <w:delText>w</w:delText>
        </w:r>
      </w:del>
      <w:r w:rsidR="00475796">
        <w:t>hen teased apart</w:t>
      </w:r>
      <w:ins w:id="111" w:author="Dominic LaRoche" w:date="2017-11-29T19:55:00Z">
        <w:r w:rsidR="00C14A59">
          <w:t>, these</w:t>
        </w:r>
      </w:ins>
      <w:r w:rsidR="00475796">
        <w:t xml:space="preserve"> </w:t>
      </w:r>
      <w:ins w:id="112" w:author="Dominic LaRoche" w:date="2017-11-29T19:58:00Z">
        <w:r w:rsidR="007C3562">
          <w:t>common</w:t>
        </w:r>
      </w:ins>
      <w:del w:id="113" w:author="Dominic LaRoche" w:date="2017-11-29T19:58:00Z">
        <w:r w:rsidR="00014B0F" w:rsidDel="007C3562">
          <w:delText>other</w:delText>
        </w:r>
      </w:del>
      <w:r w:rsidR="00BB15C0">
        <w:t xml:space="preserve"> stressful events</w:t>
      </w:r>
      <w:r>
        <w:t xml:space="preserve"> </w:t>
      </w:r>
      <w:r w:rsidR="008B6861">
        <w:t xml:space="preserve">showed a greater association with </w:t>
      </w:r>
      <w:r w:rsidR="007558B3">
        <w:t>psychological distress than those</w:t>
      </w:r>
      <w:del w:id="114" w:author="Dominic LaRoche" w:date="2017-11-29T19:56:00Z">
        <w:r w:rsidR="007558B3" w:rsidDel="00C14A59">
          <w:delText xml:space="preserve"> </w:delText>
        </w:r>
      </w:del>
      <w:del w:id="115" w:author="Dominic LaRoche" w:date="2017-11-29T19:55:00Z">
        <w:r w:rsidR="00192984" w:rsidDel="00C14A59">
          <w:delText>that were</w:delText>
        </w:r>
      </w:del>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484F89F8" w:rsidR="00782A67" w:rsidRDefault="001D62DB" w:rsidP="00933E8F">
      <w:pPr>
        <w:rPr>
          <w:rFonts w:ascii="Times New Roman" w:eastAsia="Times New Roman" w:hAnsi="Times New Roman" w:cs="Times New Roman"/>
          <w:kern w:val="0"/>
          <w:lang w:eastAsia="en-US"/>
        </w:rPr>
      </w:pPr>
      <w:commentRangeStart w:id="116"/>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ins w:id="117" w:author="Dominic LaRoche" w:date="2017-11-29T20:03:00Z">
        <w:r w:rsidR="008E4EE9">
          <w:rPr>
            <w:rFonts w:ascii="Times New Roman" w:eastAsia="Times New Roman" w:hAnsi="Times New Roman" w:cs="Times New Roman"/>
            <w:kern w:val="0"/>
            <w:lang w:eastAsia="en-US"/>
          </w:rPr>
          <w:t xml:space="preserve">These </w:t>
        </w:r>
      </w:ins>
      <w:del w:id="118" w:author="Dominic LaRoche" w:date="2017-11-29T20:03:00Z">
        <w:r w:rsidR="00E54869" w:rsidDel="008E4EE9">
          <w:rPr>
            <w:rFonts w:ascii="Times New Roman" w:eastAsia="Times New Roman" w:hAnsi="Times New Roman" w:cs="Times New Roman"/>
            <w:kern w:val="0"/>
            <w:lang w:eastAsia="en-US"/>
          </w:rPr>
          <w:delText>F</w:delText>
        </w:r>
      </w:del>
      <w:ins w:id="119" w:author="Dominic LaRoche" w:date="2017-11-29T20:03:00Z">
        <w:r w:rsidR="008E4EE9">
          <w:rPr>
            <w:rFonts w:ascii="Times New Roman" w:eastAsia="Times New Roman" w:hAnsi="Times New Roman" w:cs="Times New Roman"/>
            <w:kern w:val="0"/>
            <w:lang w:eastAsia="en-US"/>
          </w:rPr>
          <w:t>f</w:t>
        </w:r>
      </w:ins>
      <w:r w:rsidR="00E54869">
        <w:rPr>
          <w:rFonts w:ascii="Times New Roman" w:eastAsia="Times New Roman" w:hAnsi="Times New Roman" w:cs="Times New Roman"/>
          <w:kern w:val="0"/>
          <w:lang w:eastAsia="en-US"/>
        </w:rPr>
        <w:t>indings</w:t>
      </w:r>
      <w:ins w:id="120" w:author="Dominic LaRoche" w:date="2017-11-29T20:03:00Z">
        <w:r w:rsidR="008E4EE9">
          <w:rPr>
            <w:rFonts w:ascii="Times New Roman" w:eastAsia="Times New Roman" w:hAnsi="Times New Roman" w:cs="Times New Roman"/>
            <w:kern w:val="0"/>
            <w:lang w:eastAsia="en-US"/>
          </w:rPr>
          <w:t>,</w:t>
        </w:r>
      </w:ins>
      <w:r w:rsidR="00E54869">
        <w:rPr>
          <w:rFonts w:ascii="Times New Roman" w:eastAsia="Times New Roman" w:hAnsi="Times New Roman" w:cs="Times New Roman"/>
          <w:kern w:val="0"/>
          <w:lang w:eastAsia="en-US"/>
        </w:rPr>
        <w:t xml:space="preserve"> </w:t>
      </w:r>
      <w:del w:id="121" w:author="Dominic LaRoche" w:date="2017-11-29T20:03:00Z">
        <w:r w:rsidR="00E54869" w:rsidDel="008E4EE9">
          <w:rPr>
            <w:rFonts w:ascii="Times New Roman" w:eastAsia="Times New Roman" w:hAnsi="Times New Roman" w:cs="Times New Roman"/>
            <w:kern w:val="0"/>
            <w:lang w:eastAsia="en-US"/>
          </w:rPr>
          <w:delText xml:space="preserve">of this sort </w:delText>
        </w:r>
      </w:del>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commentRangeEnd w:id="116"/>
      <w:r w:rsidR="008E4EE9">
        <w:rPr>
          <w:rStyle w:val="CommentReference"/>
        </w:rPr>
        <w:commentReference w:id="116"/>
      </w:r>
      <w:r w:rsidR="00E54869">
        <w:rPr>
          <w:rFonts w:ascii="Times New Roman" w:eastAsia="Times New Roman" w:hAnsi="Times New Roman" w:cs="Times New Roman"/>
          <w:kern w:val="0"/>
          <w:lang w:eastAsia="en-US"/>
        </w:rPr>
        <w: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w:t>
      </w:r>
      <w:bookmarkStart w:id="122" w:name="_GoBack"/>
      <w:bookmarkEnd w:id="122"/>
      <w:r>
        <w:rPr>
          <w:rFonts w:ascii="Times New Roman" w:hAnsi="Times New Roman"/>
        </w:rPr>
        <w:t>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 xml:space="preserve">do not experience full sleep deprivation as measured by above or </w:t>
      </w:r>
      <w:r>
        <w:rPr>
          <w:rFonts w:ascii="Times New Roman" w:hAnsi="Times New Roman"/>
        </w:rPr>
        <w:lastRenderedPageBreak/>
        <w:t>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7ADA40E4"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w:t>
      </w:r>
      <w:r>
        <w:rPr>
          <w:rFonts w:ascii="Times New Roman" w:hAnsi="Times New Roman"/>
        </w:rPr>
        <w:lastRenderedPageBreak/>
        <w:t xml:space="preserve">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6F37DB1"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sidR="0004137D">
        <w:rPr>
          <w:rFonts w:ascii="Times New Roman" w:hAnsi="Times New Roman"/>
        </w:rPr>
        <w:t xml:space="preserve"> that</w:t>
      </w:r>
      <w:r>
        <w:rPr>
          <w:rFonts w:ascii="Times New Roman" w:hAnsi="Times New Roman"/>
        </w:rPr>
        <w:t xml:space="preserve"> is significantly impacted by insuf</w:t>
      </w:r>
      <w:r w:rsidR="0004137D">
        <w:rPr>
          <w:rFonts w:ascii="Times New Roman" w:hAnsi="Times New Roman"/>
        </w:rPr>
        <w:t>ficient sleep</w:t>
      </w:r>
      <w:r w:rsidR="0042728C">
        <w:rPr>
          <w:rFonts w:ascii="Times New Roman" w:hAnsi="Times New Roman"/>
        </w:rPr>
        <w:t xml:space="preserve"> 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515FECF7"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09DE9B73"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lastRenderedPageBreak/>
        <w:t xml:space="preserve">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214BD7C6"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FA3475D"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602F7DA"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580C20"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w:t>
      </w:r>
      <w:r w:rsidR="00E31D7D">
        <w:t xml:space="preserve">own et al., 2001; Crowley, Acebo, &amp; </w:t>
      </w:r>
      <w:r w:rsidR="00E31D7D">
        <w:lastRenderedPageBreak/>
        <w:t>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In a study by Orzech et al. </w:t>
      </w:r>
      <w:r w:rsidRPr="006006E7">
        <w:t>(2011)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6A9C10E2" w:rsidR="00F92C00" w:rsidRPr="00F309A8" w:rsidRDefault="00F92C00" w:rsidP="00F92C00">
      <w:pPr>
        <w:rPr>
          <w:color w:val="FFC000"/>
        </w:rPr>
      </w:pPr>
      <w:r>
        <w:t>Our behaviors and choices are integral to the quality and quantity of sleep we receive.  Certain conditions and practices have been found to be more</w:t>
      </w:r>
      <w:r w:rsidR="0099317C">
        <w:t xml:space="preserve"> conducive to sleeping well</w:t>
      </w:r>
      <w:r>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03E66A68"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DE77C28"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college level, where students often live in dorms, although </w:t>
      </w:r>
      <w:r w:rsidR="00F71D22">
        <w:t>noise in the environment was also significantly</w:t>
      </w:r>
      <w:r w:rsidR="009114AE">
        <w:t xml:space="preserve"> linked to sleep quality,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6C744271"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w:t>
      </w:r>
      <w:r w:rsidR="00C43194">
        <w:lastRenderedPageBreak/>
        <w:t>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the former study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2232D9C" w:rsidR="00D6030F" w:rsidRDefault="003840DB" w:rsidP="00795D16">
      <w:r>
        <w:t>Studies</w:t>
      </w:r>
      <w:r w:rsidR="00D043E6">
        <w:t xml:space="preserve"> by Rasberry et al. (2011) and Singh et al. (2012) both</w:t>
      </w:r>
      <w:r>
        <w:t xml:space="preserve"> involved investigating</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earch studies, study</w:t>
      </w:r>
      <w:r w:rsidR="001417CB">
        <w:t xml:space="preserve"> </w:t>
      </w:r>
      <w:r w:rsidR="00D043E6">
        <w:t xml:space="preserve">findings </w:t>
      </w:r>
      <w:r>
        <w:t xml:space="preserve">are suggestive </w:t>
      </w:r>
      <w:r>
        <w:lastRenderedPageBreak/>
        <w:t>of</w:t>
      </w:r>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w:t>
      </w:r>
    </w:p>
    <w:p w14:paraId="236F65CE" w14:textId="7E6112DC"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369900C"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w:t>
      </w:r>
      <w:r w:rsidR="00BD1D9B">
        <w:lastRenderedPageBreak/>
        <w:t xml:space="preserve">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861F8C2"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FC14D8">
        <w:t xml:space="preserve"> </w:t>
      </w:r>
      <w:r w:rsidR="00156394" w:rsidRPr="00FC14D8">
        <w:t>showing that discretionary time of college students is often utilized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58FDB2A9"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068EA5C0"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in a variety of ways.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w:t>
      </w:r>
      <w:r w:rsidR="009610F2" w:rsidRPr="009610F2">
        <w:rPr>
          <w:rFonts w:asciiTheme="majorHAnsi" w:hAnsiTheme="majorHAnsi" w:cstheme="majorHAnsi"/>
          <w:shd w:val="clear" w:color="auto" w:fill="FFFFFF"/>
        </w:rPr>
        <w:lastRenderedPageBreak/>
        <w:t xml:space="preserve">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7278C4B2"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03AB9">
        <w:t xml:space="preserve">Such findings then raise the issue of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03AB9">
        <w:t xml:space="preserve">college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4F814C6"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D91629" w:rsidRPr="00657A86">
        <w:rPr>
          <w:rFonts w:ascii="Times New Roman" w:hAnsi="Times New Roman"/>
          <w:color w:val="000000" w:themeColor="text1"/>
        </w:rPr>
        <w:t>Although in this research, the correlation wi</w:t>
      </w:r>
      <w:r w:rsidR="00D91629">
        <w:rPr>
          <w:rFonts w:ascii="Times New Roman" w:hAnsi="Times New Roman"/>
          <w:color w:val="000000" w:themeColor="text1"/>
        </w:rPr>
        <w:t>th mood was only seen in female</w:t>
      </w:r>
      <w:r w:rsidR="00D91629" w:rsidRPr="00657A86">
        <w:rPr>
          <w:rFonts w:ascii="Times New Roman" w:hAnsi="Times New Roman"/>
          <w:color w:val="000000" w:themeColor="text1"/>
        </w:rPr>
        <w:t xml:space="preserve">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6153EE58"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5"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6"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7"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8"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9"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20"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21"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22"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3"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4"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5"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6"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7"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8"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9"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30"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31"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32"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3"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4"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5"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6"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7"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8"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9"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40"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41"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42"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3"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4"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5"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6"/>
      <w:headerReference w:type="first" r:id="rId47"/>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minic LaRoche [2]" w:date="2017-11-28T19:59:00Z" w:initials="DL">
    <w:p w14:paraId="56995859" w14:textId="5BBD667C" w:rsidR="00692074" w:rsidRDefault="00692074">
      <w:pPr>
        <w:pStyle w:val="CommentText"/>
      </w:pPr>
      <w:r>
        <w:rPr>
          <w:rStyle w:val="CommentReference"/>
        </w:rPr>
        <w:annotationRef/>
      </w:r>
      <w:r>
        <w:t>Trying to eliminate this sort of phrasing</w:t>
      </w:r>
    </w:p>
  </w:comment>
  <w:comment w:id="21" w:author="Dominic LaRoche [2]" w:date="2017-11-28T20:46:00Z" w:initials="DL">
    <w:p w14:paraId="2D6E36A0" w14:textId="149F0EEC" w:rsidR="00692074" w:rsidRDefault="00692074">
      <w:pPr>
        <w:pStyle w:val="CommentText"/>
      </w:pPr>
      <w:r>
        <w:rPr>
          <w:rStyle w:val="CommentReference"/>
        </w:rPr>
        <w:annotationRef/>
      </w:r>
      <w:r>
        <w:t>You switch between university and college so I am trying to make it consistent</w:t>
      </w:r>
    </w:p>
  </w:comment>
  <w:comment w:id="37" w:author="Dominic LaRoche [2]" w:date="2017-11-28T20:25:00Z" w:initials="DL">
    <w:p w14:paraId="55B5A683" w14:textId="5C8A0D1C" w:rsidR="00692074" w:rsidRDefault="00692074">
      <w:pPr>
        <w:pStyle w:val="CommentText"/>
      </w:pPr>
      <w:r>
        <w:rPr>
          <w:rStyle w:val="CommentReference"/>
        </w:rPr>
        <w:annotationRef/>
      </w:r>
      <w:r>
        <w:t>Citation for this claim?</w:t>
      </w:r>
    </w:p>
  </w:comment>
  <w:comment w:id="41" w:author="Dominic LaRoche [2]" w:date="2017-11-28T20:33:00Z" w:initials="DL">
    <w:p w14:paraId="386141F5" w14:textId="7BEDC42D" w:rsidR="00692074" w:rsidRDefault="00692074">
      <w:pPr>
        <w:pStyle w:val="CommentText"/>
      </w:pPr>
      <w:r>
        <w:rPr>
          <w:rStyle w:val="CommentReference"/>
        </w:rPr>
        <w:annotationRef/>
      </w:r>
      <w:r>
        <w:t>I am not sure how to handle this paragraph.  It seems a bit abrupt to start talking about stress.  What is the main point of this paragraph?</w:t>
      </w:r>
    </w:p>
  </w:comment>
  <w:comment w:id="43" w:author="Dominic LaRoche [2]" w:date="2017-11-28T20:29:00Z" w:initials="DL">
    <w:p w14:paraId="4B0D48C5" w14:textId="3644BD0F" w:rsidR="00692074" w:rsidRDefault="00692074">
      <w:pPr>
        <w:pStyle w:val="CommentText"/>
      </w:pPr>
      <w:r>
        <w:rPr>
          <w:rStyle w:val="CommentReference"/>
        </w:rPr>
        <w:annotationRef/>
      </w:r>
      <w:r>
        <w:t>I am not sure you need to restate this here.</w:t>
      </w:r>
    </w:p>
  </w:comment>
  <w:comment w:id="58" w:author="Dominic LaRoche [2]" w:date="2017-11-28T20:41:00Z" w:initials="DL">
    <w:p w14:paraId="3CAA64A2" w14:textId="741480E3" w:rsidR="00692074" w:rsidRDefault="00692074">
      <w:pPr>
        <w:pStyle w:val="CommentText"/>
      </w:pPr>
      <w:r>
        <w:rPr>
          <w:rStyle w:val="CommentReference"/>
        </w:rPr>
        <w:annotationRef/>
      </w:r>
      <w:r>
        <w:t>Did you mean to say something here?  This sentence is incomplete…</w:t>
      </w:r>
    </w:p>
  </w:comment>
  <w:comment w:id="66" w:author="Dominic LaRoche" w:date="2017-11-29T16:23:00Z" w:initials="DL">
    <w:p w14:paraId="1F27533B" w14:textId="66E59057" w:rsidR="00692074" w:rsidRDefault="00692074">
      <w:pPr>
        <w:pStyle w:val="CommentText"/>
      </w:pPr>
      <w:r>
        <w:rPr>
          <w:rStyle w:val="CommentReference"/>
        </w:rPr>
        <w:annotationRef/>
      </w:r>
      <w:r>
        <w:t>Telomere length does not seem relevant…</w:t>
      </w:r>
    </w:p>
  </w:comment>
  <w:comment w:id="87" w:author="Dominic LaRoche" w:date="2017-11-29T18:55:00Z" w:initials="DL">
    <w:p w14:paraId="2F809D79" w14:textId="00A2A007" w:rsidR="00692074" w:rsidRDefault="00692074">
      <w:pPr>
        <w:pStyle w:val="CommentText"/>
      </w:pPr>
      <w:r>
        <w:rPr>
          <w:rStyle w:val="CommentReference"/>
        </w:rPr>
        <w:annotationRef/>
      </w:r>
      <w:r>
        <w:t xml:space="preserve">It isn’t </w:t>
      </w:r>
      <w:proofErr w:type="gramStart"/>
      <w:r>
        <w:t>really clear</w:t>
      </w:r>
      <w:proofErr w:type="gramEnd"/>
      <w:r>
        <w:t xml:space="preserve"> how this is supported in your exposition, maybe I missed something.</w:t>
      </w:r>
    </w:p>
  </w:comment>
  <w:comment w:id="88" w:author="Dominic LaRoche" w:date="2017-11-29T19:00:00Z" w:initials="DL">
    <w:p w14:paraId="787D3081" w14:textId="22266B97" w:rsidR="0007563D" w:rsidRDefault="0007563D">
      <w:pPr>
        <w:pStyle w:val="CommentText"/>
      </w:pPr>
      <w:r>
        <w:rPr>
          <w:rStyle w:val="CommentReference"/>
        </w:rPr>
        <w:annotationRef/>
      </w:r>
      <w:r>
        <w:t>Wouldn’t this be associated with higher levels of academic engagement?</w:t>
      </w:r>
    </w:p>
  </w:comment>
  <w:comment w:id="100" w:author="Dominic LaRoche" w:date="2017-11-29T19:51:00Z" w:initials="DL">
    <w:p w14:paraId="73D5687C" w14:textId="7CDABF92" w:rsidR="00C14A59" w:rsidRDefault="00C14A59">
      <w:pPr>
        <w:pStyle w:val="CommentText"/>
      </w:pPr>
      <w:r>
        <w:rPr>
          <w:rStyle w:val="CommentReference"/>
        </w:rPr>
        <w:annotationRef/>
      </w:r>
      <w:r>
        <w:t xml:space="preserve">This seems like odd wording, did they do an ANOVA </w:t>
      </w:r>
    </w:p>
  </w:comment>
  <w:comment w:id="116" w:author="Dominic LaRoche" w:date="2017-11-29T20:04:00Z" w:initials="DL">
    <w:p w14:paraId="78F4DE2C" w14:textId="7FB9BB2E" w:rsidR="008E4EE9" w:rsidRDefault="008E4EE9">
      <w:pPr>
        <w:pStyle w:val="CommentText"/>
      </w:pPr>
      <w:r>
        <w:rPr>
          <w:rStyle w:val="CommentReference"/>
        </w:rPr>
        <w:annotationRef/>
      </w:r>
      <w:r>
        <w:t xml:space="preserve">I’m not </w:t>
      </w:r>
      <w:proofErr w:type="gramStart"/>
      <w:r>
        <w:t>really sure</w:t>
      </w:r>
      <w:proofErr w:type="gramEnd"/>
      <w:r>
        <w:t xml:space="preserve"> what the topic of this paragraph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95859" w15:done="0"/>
  <w15:commentEx w15:paraId="2D6E36A0" w15:done="0"/>
  <w15:commentEx w15:paraId="55B5A683" w15:done="0"/>
  <w15:commentEx w15:paraId="386141F5" w15:done="0"/>
  <w15:commentEx w15:paraId="4B0D48C5" w15:done="0"/>
  <w15:commentEx w15:paraId="3CAA64A2" w15:done="0"/>
  <w15:commentEx w15:paraId="1F27533B" w15:done="0"/>
  <w15:commentEx w15:paraId="2F809D79" w15:done="0"/>
  <w15:commentEx w15:paraId="787D3081" w15:done="0"/>
  <w15:commentEx w15:paraId="73D5687C" w15:done="0"/>
  <w15:commentEx w15:paraId="78F4D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95859" w16cid:durableId="1DC956C0"/>
  <w16cid:commentId w16cid:paraId="2D6E36A0" w16cid:durableId="1DC956C1"/>
  <w16cid:commentId w16cid:paraId="55B5A683" w16cid:durableId="1DC956C2"/>
  <w16cid:commentId w16cid:paraId="386141F5" w16cid:durableId="1DC956C3"/>
  <w16cid:commentId w16cid:paraId="4B0D48C5" w16cid:durableId="1DC956C4"/>
  <w16cid:commentId w16cid:paraId="3CAA64A2" w16cid:durableId="1DC956C5"/>
  <w16cid:commentId w16cid:paraId="1F27533B" w16cid:durableId="1DC95D88"/>
  <w16cid:commentId w16cid:paraId="2F809D79" w16cid:durableId="1DC9812B"/>
  <w16cid:commentId w16cid:paraId="787D3081" w16cid:durableId="1DC9824A"/>
  <w16cid:commentId w16cid:paraId="73D5687C" w16cid:durableId="1DC98E4F"/>
  <w16cid:commentId w16cid:paraId="78F4DE2C" w16cid:durableId="1DC99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53752" w14:textId="77777777" w:rsidR="00490C9E" w:rsidRDefault="00490C9E">
      <w:pPr>
        <w:spacing w:line="240" w:lineRule="auto"/>
      </w:pPr>
      <w:r>
        <w:separator/>
      </w:r>
    </w:p>
  </w:endnote>
  <w:endnote w:type="continuationSeparator" w:id="0">
    <w:p w14:paraId="5E1C9D34" w14:textId="77777777" w:rsidR="00490C9E" w:rsidRDefault="00490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39D1" w14:textId="77777777" w:rsidR="00490C9E" w:rsidRDefault="00490C9E">
      <w:pPr>
        <w:spacing w:line="240" w:lineRule="auto"/>
      </w:pPr>
      <w:r>
        <w:separator/>
      </w:r>
    </w:p>
  </w:footnote>
  <w:footnote w:type="continuationSeparator" w:id="0">
    <w:p w14:paraId="3F7B960C" w14:textId="77777777" w:rsidR="00490C9E" w:rsidRDefault="00490C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E58" w14:textId="253E8BDA" w:rsidR="00692074" w:rsidRDefault="00692074">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E4EE9">
      <w:rPr>
        <w:rStyle w:val="Strong"/>
        <w:noProof/>
      </w:rPr>
      <w:t>29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B126" w14:textId="46BD8057" w:rsidR="00692074" w:rsidRDefault="0069207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7563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LaRoche">
    <w15:presenceInfo w15:providerId="AD" w15:userId="S-1-5-21-2346431672-2121911913-3984636220-1725"/>
  </w15:person>
  <w15:person w15:author="Dominic LaRoche [2]">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E7"/>
    <w:rsid w:val="00002C01"/>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C78"/>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6F65"/>
    <w:rsid w:val="0008777B"/>
    <w:rsid w:val="000908EC"/>
    <w:rsid w:val="00090BA5"/>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4DB6"/>
    <w:rsid w:val="00185A81"/>
    <w:rsid w:val="00186092"/>
    <w:rsid w:val="00186B81"/>
    <w:rsid w:val="0018705C"/>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1559"/>
    <w:rsid w:val="00312B56"/>
    <w:rsid w:val="00312E6A"/>
    <w:rsid w:val="00313768"/>
    <w:rsid w:val="00314A6B"/>
    <w:rsid w:val="00315057"/>
    <w:rsid w:val="003152F6"/>
    <w:rsid w:val="003173C1"/>
    <w:rsid w:val="003216A9"/>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16AA"/>
    <w:rsid w:val="004116BF"/>
    <w:rsid w:val="00411851"/>
    <w:rsid w:val="00412306"/>
    <w:rsid w:val="004124A5"/>
    <w:rsid w:val="00413E52"/>
    <w:rsid w:val="00413F5C"/>
    <w:rsid w:val="004145C9"/>
    <w:rsid w:val="004150D8"/>
    <w:rsid w:val="00416E92"/>
    <w:rsid w:val="00417B66"/>
    <w:rsid w:val="00417D18"/>
    <w:rsid w:val="00417DA8"/>
    <w:rsid w:val="00422B8F"/>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F20"/>
    <w:rsid w:val="00480DBE"/>
    <w:rsid w:val="004810A6"/>
    <w:rsid w:val="00482209"/>
    <w:rsid w:val="004850B4"/>
    <w:rsid w:val="00486210"/>
    <w:rsid w:val="0049040E"/>
    <w:rsid w:val="00490C9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308D"/>
    <w:rsid w:val="004F47A3"/>
    <w:rsid w:val="004F5896"/>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AD3"/>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4502C"/>
    <w:rsid w:val="0064719B"/>
    <w:rsid w:val="006500A4"/>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A078F"/>
    <w:rsid w:val="006A0B61"/>
    <w:rsid w:val="006A0F6F"/>
    <w:rsid w:val="006A312C"/>
    <w:rsid w:val="006A316F"/>
    <w:rsid w:val="006A391F"/>
    <w:rsid w:val="006A3BDA"/>
    <w:rsid w:val="006A40E2"/>
    <w:rsid w:val="006A46EB"/>
    <w:rsid w:val="006A5D3E"/>
    <w:rsid w:val="006A66BE"/>
    <w:rsid w:val="006A69CB"/>
    <w:rsid w:val="006A6F73"/>
    <w:rsid w:val="006B097C"/>
    <w:rsid w:val="006B36AB"/>
    <w:rsid w:val="006B45B1"/>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CC0"/>
    <w:rsid w:val="007C4532"/>
    <w:rsid w:val="007C54DA"/>
    <w:rsid w:val="007C7E67"/>
    <w:rsid w:val="007D0197"/>
    <w:rsid w:val="007D0901"/>
    <w:rsid w:val="007D213F"/>
    <w:rsid w:val="007D43B5"/>
    <w:rsid w:val="007D5568"/>
    <w:rsid w:val="007D67E9"/>
    <w:rsid w:val="007D6D8F"/>
    <w:rsid w:val="007D7A86"/>
    <w:rsid w:val="007E12F3"/>
    <w:rsid w:val="007E1918"/>
    <w:rsid w:val="007E1C82"/>
    <w:rsid w:val="007E2266"/>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2A6A"/>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F3E"/>
    <w:rsid w:val="00C011EE"/>
    <w:rsid w:val="00C0290A"/>
    <w:rsid w:val="00C043F1"/>
    <w:rsid w:val="00C0457E"/>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559C"/>
    <w:rsid w:val="00CA6115"/>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5592"/>
    <w:rsid w:val="00E560CD"/>
    <w:rsid w:val="00E57030"/>
    <w:rsid w:val="00E61780"/>
    <w:rsid w:val="00E62BDB"/>
    <w:rsid w:val="00E64D32"/>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2043"/>
    <w:rsid w:val="00E924BA"/>
    <w:rsid w:val="00E94532"/>
    <w:rsid w:val="00E95ABC"/>
    <w:rsid w:val="00EA0289"/>
    <w:rsid w:val="00EA06BA"/>
    <w:rsid w:val="00EA09EF"/>
    <w:rsid w:val="00EA1845"/>
    <w:rsid w:val="00EA2610"/>
    <w:rsid w:val="00EA3676"/>
    <w:rsid w:val="00EA381E"/>
    <w:rsid w:val="00EA5A63"/>
    <w:rsid w:val="00EA65F5"/>
    <w:rsid w:val="00EA6A00"/>
    <w:rsid w:val="00EA6A4F"/>
    <w:rsid w:val="00EB0C22"/>
    <w:rsid w:val="00EB1CFD"/>
    <w:rsid w:val="00EB2209"/>
    <w:rsid w:val="00EB2D3A"/>
    <w:rsid w:val="00EB76DF"/>
    <w:rsid w:val="00EC0B4F"/>
    <w:rsid w:val="00EC1984"/>
    <w:rsid w:val="00EC3C41"/>
    <w:rsid w:val="00EC431D"/>
    <w:rsid w:val="00EC469A"/>
    <w:rsid w:val="00EC59A4"/>
    <w:rsid w:val="00EC7F15"/>
    <w:rsid w:val="00ED27B2"/>
    <w:rsid w:val="00ED40DB"/>
    <w:rsid w:val="00ED5376"/>
    <w:rsid w:val="00ED5538"/>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3F01"/>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093/sleep/30.9.1213"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dx.doi.org/10.1016/j.cpr.2005.04.007" TargetMode="External"/><Relationship Id="rId29" Type="http://schemas.openxmlformats.org/officeDocument/2006/relationships/hyperlink" Target="https://doi.org/10.1177/1090198107313481" TargetMode="Externa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s://www.ncbi.nlm.nih.gov/pmc/articles/PMC1978335/"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psycnet.apa.org/doi/10.1037/0894-4105.21.6.78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s://doi.org/10.1177/1559827609351133" TargetMode="External"/><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doi.org/10.1016/j.neulet.2008.06.024"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header" Target="header1.xml"/><Relationship Id="rId20" Type="http://schemas.openxmlformats.org/officeDocument/2006/relationships/hyperlink" Target="https://doi.org/10.1007/BF00844860" TargetMode="External"/><Relationship Id="rId41" Type="http://schemas.openxmlformats.org/officeDocument/2006/relationships/hyperlink" Target="http://psycnet.apa.org/doi/10.1521/scpq.19.2.93.33313"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1752A"/>
    <w:rsid w:val="00B2277E"/>
    <w:rsid w:val="00B2287F"/>
    <w:rsid w:val="00B35C3B"/>
    <w:rsid w:val="00BF44EC"/>
    <w:rsid w:val="00D66E14"/>
    <w:rsid w:val="00DB0207"/>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7DA41F-94EB-4468-BADF-58A0CB72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243</TotalTime>
  <Pages>62</Pages>
  <Words>15694</Words>
  <Characters>89462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Effects of Stress and the Self Care Practices of Sleep Hygiene and Exercise on Academic Engagement in Undergraduate Students</vt:lpstr>
    </vt:vector>
  </TitlesOfParts>
  <Company/>
  <LinksUpToDate>false</LinksUpToDate>
  <CharactersWithSpaces>104947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Dominic LaRoche</cp:lastModifiedBy>
  <cp:revision>31</cp:revision>
  <dcterms:created xsi:type="dcterms:W3CDTF">2017-11-27T15:43:00Z</dcterms:created>
  <dcterms:modified xsi:type="dcterms:W3CDTF">2017-11-30T03:05:00Z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