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2B" w:rsidRDefault="0014292B"/>
    <w:p w:rsidR="00C32CC6" w:rsidRPr="00C32CC6" w:rsidRDefault="00C32CC6" w:rsidP="00C32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C6">
        <w:rPr>
          <w:rFonts w:ascii="Arial" w:eastAsia="Times New Roman" w:hAnsi="Arial" w:cs="Arial"/>
          <w:color w:val="000000"/>
          <w:sz w:val="23"/>
          <w:szCs w:val="23"/>
        </w:rPr>
        <w:t xml:space="preserve">Jessica Ava, </w:t>
      </w:r>
      <w:proofErr w:type="spellStart"/>
      <w:r w:rsidRPr="00C32CC6">
        <w:rPr>
          <w:rFonts w:ascii="Arial" w:eastAsia="Times New Roman" w:hAnsi="Arial" w:cs="Arial"/>
          <w:color w:val="000000"/>
          <w:sz w:val="23"/>
          <w:szCs w:val="23"/>
        </w:rPr>
        <w:t>Yoshira</w:t>
      </w:r>
      <w:proofErr w:type="spellEnd"/>
      <w:r w:rsidRPr="00C32CC6">
        <w:rPr>
          <w:rFonts w:ascii="Arial" w:eastAsia="Times New Roman" w:hAnsi="Arial" w:cs="Arial"/>
          <w:color w:val="000000"/>
          <w:sz w:val="23"/>
          <w:szCs w:val="23"/>
        </w:rPr>
        <w:t xml:space="preserve"> Ornelas Van Horne, Dominic </w:t>
      </w:r>
      <w:proofErr w:type="spellStart"/>
      <w:r w:rsidRPr="00C32CC6">
        <w:rPr>
          <w:rFonts w:ascii="Arial" w:eastAsia="Times New Roman" w:hAnsi="Arial" w:cs="Arial"/>
          <w:color w:val="000000"/>
          <w:sz w:val="23"/>
          <w:szCs w:val="23"/>
        </w:rPr>
        <w:t>LaRoche</w:t>
      </w:r>
      <w:proofErr w:type="spellEnd"/>
    </w:p>
    <w:p w:rsidR="00C32CC6" w:rsidRPr="00C32CC6" w:rsidRDefault="00C32CC6" w:rsidP="00C32C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CC6" w:rsidRPr="00C32CC6" w:rsidRDefault="00C32CC6" w:rsidP="00C32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C6">
        <w:rPr>
          <w:rFonts w:ascii="Arial" w:eastAsia="Times New Roman" w:hAnsi="Arial" w:cs="Arial"/>
          <w:color w:val="000000"/>
          <w:sz w:val="23"/>
          <w:szCs w:val="23"/>
        </w:rPr>
        <w:t>Phase I</w:t>
      </w:r>
    </w:p>
    <w:p w:rsidR="00C32CC6" w:rsidRPr="00C32CC6" w:rsidRDefault="00C32CC6" w:rsidP="00C32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C6">
        <w:rPr>
          <w:rFonts w:ascii="Arial" w:eastAsia="Times New Roman" w:hAnsi="Arial" w:cs="Arial"/>
          <w:color w:val="000000"/>
          <w:sz w:val="23"/>
          <w:szCs w:val="23"/>
        </w:rPr>
        <w:t xml:space="preserve">Primary objective:  To determine weight loss in the </w:t>
      </w:r>
      <w:proofErr w:type="spellStart"/>
      <w:proofErr w:type="gramStart"/>
      <w:r w:rsidRPr="00C32CC6">
        <w:rPr>
          <w:rFonts w:ascii="Arial" w:eastAsia="Times New Roman" w:hAnsi="Arial" w:cs="Arial"/>
          <w:color w:val="000000"/>
          <w:sz w:val="23"/>
          <w:szCs w:val="23"/>
        </w:rPr>
        <w:t>hispanic</w:t>
      </w:r>
      <w:proofErr w:type="spellEnd"/>
      <w:proofErr w:type="gramEnd"/>
      <w:r w:rsidRPr="00C32CC6">
        <w:rPr>
          <w:rFonts w:ascii="Arial" w:eastAsia="Times New Roman" w:hAnsi="Arial" w:cs="Arial"/>
          <w:color w:val="000000"/>
          <w:sz w:val="23"/>
          <w:szCs w:val="23"/>
        </w:rPr>
        <w:t xml:space="preserve"> male population is achievable after 12 weeks, by using a culturally adaptive weight loss intervention. The culturally adaptive weight loss intervention includes diet, physical activity, and behavior modification changes. </w:t>
      </w:r>
    </w:p>
    <w:p w:rsidR="00C32CC6" w:rsidRPr="00C32CC6" w:rsidRDefault="00C32CC6" w:rsidP="00C32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C6">
        <w:rPr>
          <w:rFonts w:ascii="Arial" w:eastAsia="Times New Roman" w:hAnsi="Arial" w:cs="Arial"/>
          <w:color w:val="000000"/>
          <w:sz w:val="23"/>
          <w:szCs w:val="23"/>
        </w:rPr>
        <w:t xml:space="preserve">Secondary objective: To assess the feasibility, acceptability and efficacy as measured by recruitment and retention. Comparison of recruitment strategies to determine their relative efficacy and retention rates of each. </w:t>
      </w:r>
    </w:p>
    <w:p w:rsidR="00C32CC6" w:rsidRPr="00C32CC6" w:rsidRDefault="00C32CC6" w:rsidP="00C32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CC6" w:rsidRPr="00C32CC6" w:rsidRDefault="00C32CC6" w:rsidP="00C32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C6">
        <w:rPr>
          <w:rFonts w:ascii="Arial" w:eastAsia="Times New Roman" w:hAnsi="Arial" w:cs="Arial"/>
          <w:color w:val="000000"/>
          <w:sz w:val="23"/>
          <w:szCs w:val="23"/>
        </w:rPr>
        <w:t>Phase II</w:t>
      </w:r>
    </w:p>
    <w:p w:rsidR="00C32CC6" w:rsidRPr="00C32CC6" w:rsidRDefault="00C32CC6" w:rsidP="00C32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C6">
        <w:rPr>
          <w:rFonts w:ascii="Arial" w:eastAsia="Times New Roman" w:hAnsi="Arial" w:cs="Arial"/>
          <w:color w:val="000000"/>
          <w:sz w:val="23"/>
          <w:szCs w:val="23"/>
        </w:rPr>
        <w:t xml:space="preserve">Primary Objective:  To determine if a 10% weight loss in the </w:t>
      </w:r>
      <w:proofErr w:type="spellStart"/>
      <w:proofErr w:type="gramStart"/>
      <w:r w:rsidRPr="00C32CC6">
        <w:rPr>
          <w:rFonts w:ascii="Arial" w:eastAsia="Times New Roman" w:hAnsi="Arial" w:cs="Arial"/>
          <w:color w:val="000000"/>
          <w:sz w:val="23"/>
          <w:szCs w:val="23"/>
        </w:rPr>
        <w:t>hispanic</w:t>
      </w:r>
      <w:proofErr w:type="spellEnd"/>
      <w:proofErr w:type="gramEnd"/>
      <w:r w:rsidRPr="00C32CC6">
        <w:rPr>
          <w:rFonts w:ascii="Arial" w:eastAsia="Times New Roman" w:hAnsi="Arial" w:cs="Arial"/>
          <w:color w:val="000000"/>
          <w:sz w:val="23"/>
          <w:szCs w:val="23"/>
        </w:rPr>
        <w:t xml:space="preserve"> male population is achievable after 24 weeks of intervention.</w:t>
      </w:r>
    </w:p>
    <w:p w:rsidR="00C32CC6" w:rsidRPr="00C32CC6" w:rsidRDefault="00C32CC6" w:rsidP="00C32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CC6">
        <w:rPr>
          <w:rFonts w:ascii="Arial" w:eastAsia="Times New Roman" w:hAnsi="Arial" w:cs="Arial"/>
          <w:color w:val="000000"/>
          <w:sz w:val="23"/>
          <w:szCs w:val="23"/>
        </w:rPr>
        <w:t>Secondary Objective:  To determine if the choice of technology modifies the rate of weight loss or retention</w:t>
      </w:r>
      <w:proofErr w:type="gramStart"/>
      <w:r w:rsidRPr="00C32CC6">
        <w:rPr>
          <w:rFonts w:ascii="Arial" w:eastAsia="Times New Roman" w:hAnsi="Arial" w:cs="Arial"/>
          <w:color w:val="000000"/>
          <w:sz w:val="23"/>
          <w:szCs w:val="23"/>
        </w:rPr>
        <w:t>..</w:t>
      </w:r>
      <w:proofErr w:type="gramEnd"/>
    </w:p>
    <w:p w:rsidR="0014292B" w:rsidRDefault="00C32CC6" w:rsidP="00C32CC6">
      <w:r w:rsidRPr="00C32CC6">
        <w:rPr>
          <w:rFonts w:ascii="Times New Roman" w:eastAsia="Times New Roman" w:hAnsi="Times New Roman" w:cs="Times New Roman"/>
          <w:sz w:val="24"/>
          <w:szCs w:val="24"/>
        </w:rPr>
        <w:br/>
      </w:r>
      <w:r w:rsidRPr="00C32CC6">
        <w:rPr>
          <w:rFonts w:ascii="Arial" w:eastAsia="Times New Roman" w:hAnsi="Arial" w:cs="Arial"/>
          <w:color w:val="000000"/>
          <w:sz w:val="23"/>
          <w:szCs w:val="23"/>
        </w:rPr>
        <w:t>To assess our primary objective from phase I and II we will estimate the average percent change among participants after 12 weeks and 24 weeks and give a 95% confidence interval around the estimate.  To assess the secondary objective from phase I we will use pairwise t-tests among the three recruitment efforts to determine if there are any differences.  To assess the secondary objective from phase II we will use a 1-way ANOVA with technology group.</w:t>
      </w:r>
      <w:bookmarkStart w:id="0" w:name="_GoBack"/>
      <w:bookmarkEnd w:id="0"/>
    </w:p>
    <w:sectPr w:rsidR="0014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2B"/>
    <w:rsid w:val="0014292B"/>
    <w:rsid w:val="004365F5"/>
    <w:rsid w:val="00616194"/>
    <w:rsid w:val="00C3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2D3D0-0BA5-4D28-8D61-C4B756D6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8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1</cp:revision>
  <dcterms:created xsi:type="dcterms:W3CDTF">2015-04-08T00:15:00Z</dcterms:created>
  <dcterms:modified xsi:type="dcterms:W3CDTF">2015-04-08T00:56:00Z</dcterms:modified>
</cp:coreProperties>
</file>