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914" w:rsidRDefault="008A4B05">
      <w:pPr>
        <w:pStyle w:val="Title"/>
      </w:pPr>
      <w:r>
        <w:t>LaRoche Exam 3 Answers</w:t>
      </w:r>
      <w:bookmarkStart w:id="0" w:name="_GoBack"/>
      <w:bookmarkEnd w:id="0"/>
    </w:p>
    <w:p w:rsidR="00221914" w:rsidRDefault="008A4B05">
      <w:pPr>
        <w:pStyle w:val="Author"/>
      </w:pPr>
      <w:r>
        <w:t>Dominic LaRoche</w:t>
      </w:r>
    </w:p>
    <w:p w:rsidR="00221914" w:rsidRDefault="008A4B05">
      <w:pPr>
        <w:pStyle w:val="Date"/>
      </w:pPr>
      <w:r>
        <w:t>Sunday, December 06, 2015</w:t>
      </w:r>
    </w:p>
    <w:p w:rsidR="00221914" w:rsidRDefault="008A4B05">
      <w:pPr>
        <w:pStyle w:val="Heading1"/>
      </w:pPr>
      <w:bookmarkStart w:id="1" w:name="part-a"/>
      <w:bookmarkEnd w:id="1"/>
      <w:r>
        <w:t>Part A</w:t>
      </w:r>
    </w:p>
    <w:p w:rsidR="00221914" w:rsidRDefault="008A4B05">
      <w:pPr>
        <w:pStyle w:val="Heading2"/>
      </w:pPr>
      <w:bookmarkStart w:id="2" w:name="glaucoma-screening"/>
      <w:bookmarkEnd w:id="2"/>
      <w:r>
        <w:t>1 Glaucoma Screening</w:t>
      </w:r>
    </w:p>
    <w:tbl>
      <w:tblPr>
        <w:tblW w:w="3472" w:type="pct"/>
        <w:tblLook w:val="04A0" w:firstRow="1" w:lastRow="0" w:firstColumn="1" w:lastColumn="0" w:noHBand="0" w:noVBand="1"/>
      </w:tblPr>
      <w:tblGrid>
        <w:gridCol w:w="1162"/>
        <w:gridCol w:w="2152"/>
        <w:gridCol w:w="2207"/>
        <w:gridCol w:w="979"/>
      </w:tblGrid>
      <w:tr w:rsidR="00221914">
        <w:tc>
          <w:tcPr>
            <w:tcW w:w="0" w:type="auto"/>
            <w:tcBorders>
              <w:bottom w:val="single" w:sz="0" w:space="0" w:color="auto"/>
            </w:tcBorders>
            <w:vAlign w:val="bottom"/>
          </w:tcPr>
          <w:p w:rsidR="00221914" w:rsidRDefault="008A4B05">
            <w:pPr>
              <w:pStyle w:val="Compact"/>
              <w:jc w:val="center"/>
            </w:pPr>
            <w:r>
              <w:t> </w:t>
            </w:r>
          </w:p>
        </w:tc>
        <w:tc>
          <w:tcPr>
            <w:tcW w:w="0" w:type="auto"/>
            <w:tcBorders>
              <w:bottom w:val="single" w:sz="0" w:space="0" w:color="auto"/>
            </w:tcBorders>
            <w:vAlign w:val="bottom"/>
          </w:tcPr>
          <w:p w:rsidR="00221914" w:rsidRDefault="008A4B05">
            <w:pPr>
              <w:pStyle w:val="Compact"/>
              <w:jc w:val="center"/>
            </w:pPr>
            <w:r>
              <w:t>Glaucoma Pos</w:t>
            </w:r>
          </w:p>
        </w:tc>
        <w:tc>
          <w:tcPr>
            <w:tcW w:w="0" w:type="auto"/>
            <w:tcBorders>
              <w:bottom w:val="single" w:sz="0" w:space="0" w:color="auto"/>
            </w:tcBorders>
            <w:vAlign w:val="bottom"/>
          </w:tcPr>
          <w:p w:rsidR="00221914" w:rsidRDefault="008A4B05">
            <w:pPr>
              <w:pStyle w:val="Compact"/>
              <w:jc w:val="center"/>
            </w:pPr>
            <w:r>
              <w:t>Gloucoma Neg</w:t>
            </w:r>
          </w:p>
        </w:tc>
        <w:tc>
          <w:tcPr>
            <w:tcW w:w="0" w:type="auto"/>
            <w:tcBorders>
              <w:bottom w:val="single" w:sz="0" w:space="0" w:color="auto"/>
            </w:tcBorders>
            <w:vAlign w:val="bottom"/>
          </w:tcPr>
          <w:p w:rsidR="00221914" w:rsidRDefault="008A4B05">
            <w:pPr>
              <w:pStyle w:val="Compact"/>
              <w:jc w:val="center"/>
            </w:pPr>
            <w:r>
              <w:t>Total</w:t>
            </w:r>
          </w:p>
        </w:tc>
      </w:tr>
      <w:tr w:rsidR="00221914">
        <w:tc>
          <w:tcPr>
            <w:tcW w:w="0" w:type="auto"/>
          </w:tcPr>
          <w:p w:rsidR="00221914" w:rsidRDefault="008A4B05">
            <w:pPr>
              <w:pStyle w:val="Compact"/>
              <w:jc w:val="center"/>
            </w:pPr>
            <w:r>
              <w:rPr>
                <w:b/>
              </w:rPr>
              <w:t>Test +</w:t>
            </w:r>
          </w:p>
        </w:tc>
        <w:tc>
          <w:tcPr>
            <w:tcW w:w="0" w:type="auto"/>
          </w:tcPr>
          <w:p w:rsidR="00221914" w:rsidRDefault="008A4B05">
            <w:pPr>
              <w:pStyle w:val="Compact"/>
              <w:jc w:val="center"/>
            </w:pPr>
            <w:r>
              <w:t>87</w:t>
            </w:r>
          </w:p>
        </w:tc>
        <w:tc>
          <w:tcPr>
            <w:tcW w:w="0" w:type="auto"/>
          </w:tcPr>
          <w:p w:rsidR="00221914" w:rsidRDefault="008A4B05">
            <w:pPr>
              <w:pStyle w:val="Compact"/>
              <w:jc w:val="center"/>
            </w:pPr>
            <w:r>
              <w:t>14</w:t>
            </w:r>
          </w:p>
        </w:tc>
        <w:tc>
          <w:tcPr>
            <w:tcW w:w="0" w:type="auto"/>
          </w:tcPr>
          <w:p w:rsidR="00221914" w:rsidRDefault="008A4B05">
            <w:pPr>
              <w:pStyle w:val="Compact"/>
              <w:jc w:val="center"/>
            </w:pPr>
            <w:r>
              <w:t>101</w:t>
            </w:r>
          </w:p>
        </w:tc>
      </w:tr>
      <w:tr w:rsidR="00221914">
        <w:tc>
          <w:tcPr>
            <w:tcW w:w="0" w:type="auto"/>
          </w:tcPr>
          <w:p w:rsidR="00221914" w:rsidRDefault="008A4B05">
            <w:pPr>
              <w:pStyle w:val="Compact"/>
              <w:jc w:val="center"/>
            </w:pPr>
            <w:r>
              <w:rPr>
                <w:b/>
              </w:rPr>
              <w:t>Test -</w:t>
            </w:r>
          </w:p>
        </w:tc>
        <w:tc>
          <w:tcPr>
            <w:tcW w:w="0" w:type="auto"/>
          </w:tcPr>
          <w:p w:rsidR="00221914" w:rsidRDefault="008A4B05">
            <w:pPr>
              <w:pStyle w:val="Compact"/>
              <w:jc w:val="center"/>
            </w:pPr>
            <w:r>
              <w:t>14</w:t>
            </w:r>
          </w:p>
        </w:tc>
        <w:tc>
          <w:tcPr>
            <w:tcW w:w="0" w:type="auto"/>
          </w:tcPr>
          <w:p w:rsidR="00221914" w:rsidRDefault="008A4B05">
            <w:pPr>
              <w:pStyle w:val="Compact"/>
              <w:jc w:val="center"/>
            </w:pPr>
            <w:r>
              <w:t>362</w:t>
            </w:r>
          </w:p>
        </w:tc>
        <w:tc>
          <w:tcPr>
            <w:tcW w:w="0" w:type="auto"/>
          </w:tcPr>
          <w:p w:rsidR="00221914" w:rsidRDefault="008A4B05">
            <w:pPr>
              <w:pStyle w:val="Compact"/>
              <w:jc w:val="center"/>
            </w:pPr>
            <w:r>
              <w:t>376</w:t>
            </w:r>
          </w:p>
        </w:tc>
      </w:tr>
      <w:tr w:rsidR="00221914">
        <w:tc>
          <w:tcPr>
            <w:tcW w:w="0" w:type="auto"/>
          </w:tcPr>
          <w:p w:rsidR="00221914" w:rsidRDefault="008A4B05">
            <w:pPr>
              <w:pStyle w:val="Compact"/>
              <w:jc w:val="center"/>
            </w:pPr>
            <w:r>
              <w:rPr>
                <w:b/>
              </w:rPr>
              <w:t>Total</w:t>
            </w:r>
          </w:p>
        </w:tc>
        <w:tc>
          <w:tcPr>
            <w:tcW w:w="0" w:type="auto"/>
          </w:tcPr>
          <w:p w:rsidR="00221914" w:rsidRDefault="008A4B05">
            <w:pPr>
              <w:pStyle w:val="Compact"/>
              <w:jc w:val="center"/>
            </w:pPr>
            <w:r>
              <w:t>103</w:t>
            </w:r>
          </w:p>
        </w:tc>
        <w:tc>
          <w:tcPr>
            <w:tcW w:w="0" w:type="auto"/>
          </w:tcPr>
          <w:p w:rsidR="00221914" w:rsidRDefault="008A4B05">
            <w:pPr>
              <w:pStyle w:val="Compact"/>
              <w:jc w:val="center"/>
            </w:pPr>
            <w:r>
              <w:t>376</w:t>
            </w:r>
          </w:p>
        </w:tc>
        <w:tc>
          <w:tcPr>
            <w:tcW w:w="0" w:type="auto"/>
          </w:tcPr>
          <w:p w:rsidR="00221914" w:rsidRDefault="008A4B05">
            <w:pPr>
              <w:pStyle w:val="Compact"/>
              <w:jc w:val="center"/>
            </w:pPr>
            <w:r>
              <w:t>479</w:t>
            </w:r>
          </w:p>
        </w:tc>
      </w:tr>
    </w:tbl>
    <w:p w:rsidR="00221914" w:rsidRDefault="008A4B05">
      <w:pPr>
        <w:numPr>
          <w:ilvl w:val="0"/>
          <w:numId w:val="4"/>
        </w:numPr>
      </w:pPr>
      <w:r>
        <w:t>Sensitivity = 87/103x100 = 84.5</w:t>
      </w:r>
    </w:p>
    <w:p w:rsidR="00221914" w:rsidRDefault="008A4B05">
      <w:pPr>
        <w:numPr>
          <w:ilvl w:val="0"/>
          <w:numId w:val="4"/>
        </w:numPr>
      </w:pPr>
      <w:r>
        <w:t>Specificity = 362/376x100 = 96.3</w:t>
      </w:r>
    </w:p>
    <w:p w:rsidR="00221914" w:rsidRDefault="008A4B05">
      <w:pPr>
        <w:numPr>
          <w:ilvl w:val="0"/>
          <w:numId w:val="4"/>
        </w:numPr>
      </w:pPr>
      <w:r>
        <w:t>PPV = 87/101x100 = 86.1</w:t>
      </w:r>
    </w:p>
    <w:p w:rsidR="00221914" w:rsidRDefault="008A4B05">
      <w:pPr>
        <w:numPr>
          <w:ilvl w:val="0"/>
          <w:numId w:val="4"/>
        </w:numPr>
      </w:pPr>
      <w:r>
        <w:t>NPV = 362/376 = 96.3</w:t>
      </w:r>
    </w:p>
    <w:p w:rsidR="00221914" w:rsidRDefault="008A4B05">
      <w:pPr>
        <w:numPr>
          <w:ilvl w:val="0"/>
          <w:numId w:val="4"/>
        </w:numPr>
      </w:pPr>
      <w:r>
        <w:t>Yes, since this test has a high specificity and negative predictive value the risk of incorectly classifying a patient as having gloucoma is small. However, we have no information on the costs of the test or the</w:t>
      </w:r>
      <w:r>
        <w:t xml:space="preserve"> benenfits of early glaucoma detection which would both be important factors fo considering whether this test is a valuable screening tools. We also don't know if the population sampled is representative of the general population and this would have to be </w:t>
      </w:r>
      <w:r>
        <w:t>assessed before assuming the observed sensitivity and specificity for the test would apply to the general population.</w:t>
      </w:r>
    </w:p>
    <w:p w:rsidR="00221914" w:rsidRDefault="008A4B05">
      <w:pPr>
        <w:pStyle w:val="Heading2"/>
      </w:pPr>
      <w:bookmarkStart w:id="3" w:name="what-should-holiday-travelers-know-about"/>
      <w:bookmarkEnd w:id="3"/>
      <w:r>
        <w:t>What should holiday travelers know about flu risk?</w:t>
      </w:r>
    </w:p>
    <w:p w:rsidR="00DB2DFB" w:rsidRDefault="00DB2DFB" w:rsidP="00DB2DFB">
      <w:pPr>
        <w:ind w:firstLine="720"/>
      </w:pPr>
      <w:bookmarkStart w:id="4" w:name="part-b"/>
      <w:bookmarkEnd w:id="4"/>
      <w:r>
        <w:t xml:space="preserve">As many Americans travel by air to visit family and friends during the holidays they may risk contracting the flu. </w:t>
      </w:r>
      <w:r>
        <w:t xml:space="preserve"> </w:t>
      </w:r>
      <w:r>
        <w:t>Travelling by air has been identified as a major vehicle for the spread of communicable diseases such as the influenza virus</w:t>
      </w:r>
      <w:r>
        <w:t>.</w:t>
      </w:r>
      <w:r>
        <w:fldChar w:fldCharType="begin" w:fldLock="1"/>
      </w:r>
      <w:r>
        <w:instrText>ADDIN CSL_CITATION { "citationItems" : [ { "id" : "ITEM-1", "itemData" : { "DOI" : "10.1128/microbiolspec.IOL5-0009-2015", "PMID" : "26542037", "abstract" : "Infectious diseases are still among the leading causes of death worldwide due to their persistence, emergence, and reemergence. As the recent Ebola virus disease and MERS-CoV outbreaks demonstrate, the modern epidemics and large-scale infectious outbreaks emerge and spread quickly. Air transportation is a major vehicle for the rapid spread and dissemination of communicable diseases, and there have been a number of reported outbreaks of serious airborne diseases aboard commercial flights including tuberculosis, severe acute respiratory syndrome, influenza, smallpox, and measles, to name a few. In 2014 alone, over 3.3 billion passengers (a number equivalent to 42% of the world population) and 50 million metric tons of cargo traveled by air from 41,000 airports and 50,000 routes worldwide, and significant growth is anticipated, with passenger numbers expected to reach 5.9 billion by 2030. Given the increasing numbers of travelers, the risk of infectious disease transmission during air travel is a significant concern, and this chapter focuses on the current knowledge about transmission of infectious diseases in the context of both transmissions within the aircraft passenger cabin and commercial aircraft serving as vehicles of worldwide infection spread.", "author" : [ { "dropping-particle" : "", "family" : "Mangili", "given" : "Alexandra", "non-dropping-particle" : "", "parse-names" : false, "suffix" : "" }, { "dropping-particle" : "", "family" : "Vindenes", "given" : "Tine", "non-dropping-particle" : "", "parse-names" : false, "suffix" : "" }, { "dropping-particle" : "", "family" : "Gendreau", "given" : "Mark", "non-dropping-particle" : "", "parse-names" : false, "suffix" : "" } ], "container-title" : "Microbiology spectrum", "id" : "ITEM-1", "issue" : "5", "issued" : { "date-parts" : [ [ "2015", "10" ] ] }, "title" : "Infectious Risks of Air Travel.", "type" : "article-journal", "volume" : "3" }, "uris" : [ "http://www.mendeley.com/documents/?uuid=ac879590-deec-4755-8f85-2b1f71513255" ] }, { "id" : "ITEM-2", "itemData" : { "PMID" : "15152977", "abstract" : "The role of air travel in the global spread of influenza has been the subject of a significant body of research, but this question has yet to be explored within the U.S. The goal of this research is to explore whether knowledge of U.S. air travel patterns and volumes leads to better forecasting of epidemics. We report the results of a series of simulations for the 1998-1999 through 2000-2001 influenza seasons using a standard compartmental model coupled with air transportation data. These preliminary results suggest that air travel may play an important role in the spread of annual influenza within the U.S., particularly in cities with large air travel volumes.", "author" : [ { "dropping-particle" : "", "family" : "Grais", "given" : "R F", "non-dropping-particle" : "", "parse-names" : false, "suffix" : "" }, { "dropping-particle" : "", "family" : "Ellis", "given" : "J H", "non-dropping-particle" : "", "parse-names" : false, "suffix" : "" }, { "dropping-particle" : "", "family" : "Kress", "given" : "A", "non-dropping-particle" : "", "parse-names" : false, "suffix" : "" }, { "dropping-particle" : "", "family" : "Glass", "given" : "G E", "non-dropping-particle" : "", "parse-names" : false, "suffix" : "" } ], "container-title" : "Health care management science", "id" : "ITEM-2", "issue" : "2", "issued" : { "date-parts" : [ [ "2004", "5" ] ] }, "page" : "127-34", "title" : "Modeling the spread of annual influenza epidemics in the U.S.: the potential role of air travel.", "type" : "article-journal", "volume" : "7" }, "uris" : [ "http://www.mendeley.com/documents/?uuid=4e25352c-636a-40c9-8d72-206e382081fd"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Pr>
          <w:noProof/>
          <w:vertAlign w:val="superscript"/>
        </w:rPr>
        <w:t>1,2</w:t>
      </w:r>
      <w:r>
        <w:fldChar w:fldCharType="end"/>
      </w:r>
      <w:r>
        <w:t xml:space="preserve"> </w:t>
      </w:r>
      <w:r>
        <w:t xml:space="preserve"> </w:t>
      </w:r>
      <w:r>
        <w:t>Air travelers risk transmission of the flu from both fellow passengers and the airline crew</w:t>
      </w:r>
      <w:r>
        <w:t>.</w:t>
      </w:r>
      <w:r>
        <w:fldChar w:fldCharType="begin" w:fldLock="1"/>
      </w:r>
      <w:r>
        <w:instrText>ADDIN CSL_CITATION { "citationItems" : [ { "id" : "ITEM-1", "itemData" : { "PMID" : "23316545", "abstract" : "INTRODUCTION: Air carrier and professional corporate aircrews provide a unique and highly distinct population in which to examine potential transport and transmission of infectious diseases (ID). This study sought to assess frequency of flying while acutely ill, identify clinical triggers in self-grounding, determine employer support for self-grounding, examine rates of influenza vaccination, and identify unmet needs for current information on ID issues related to extensive travel required of professional aircrews.\r\n\r\nMETHODS: Anonymous questionnaires were completed by select European mainline, U.S. regional airline, and professional corporate aircrews on ID topics such as flying while ill, flying with ill crewmembers, receipt of influenza vaccination, disinfection, and other aviation medical issues. Data were analyzed and reported as composite and stratified by airline vs. corporate aviation respondents.\r\n\r\nRESULTS: Aircrews often flew while ill (or with ill crewmembers); 52% flew until fever reached 38 degrees C (100.4 degrees F) and an additional 37% flew up to 38.89 degrees C (102 degrees F). Rate of annual influenza vaccination was quite low for all groups, but especially so for airline crews (21-27%), even given potential occupational exposure risk. Crews also had strongly differing perceptions of employer views on self-grounding, depending upon employment setting.\r\n\r\nCONCLUSIONS: There were sizable disparities between aircrew flying for U.S. regional, European mainline, and large corporate aviation departments with respect to self-grounding when ill and routinely receiving a seasonal influenza vaccination. All study groups reported a pressing need for enhanced anonymous access to current ID and medical information.", "author" : [ { "dropping-particle" : "", "family" : "Schwartz", "given" : "Michael D", "non-dropping-particle" : "", "parse-names" : false, "suffix" : "" }, { "dropping-particle" : "", "family" : "Macias-Moriarity", "given" : "Lilia Z", "non-dropping-particle" : "", "parse-names" : false, "suffix" : "" }, { "dropping-particle" : "", "family" : "Schelling", "given" : "Joerg", "non-dropping-particle" : "", "parse-names" : false, "suffix" : "" } ], "container-title" : "Aviation, space, and environmental medicine", "id" : "ITEM-1", "issue" : "12", "issued" : { "date-parts" : [ [ "2012", "12" ] ] }, "page" : "1167-70", "title" : "Professional aircrews' attitudes toward infectious diseases and aviation medical issues.", "type" : "article-journal", "volume" : "83" }, "uris" : [ "http://www.mendeley.com/documents/?uuid=3e4a39cf-7d4f-4188-864c-76573bf59572" ] }, { "id" : "ITEM-2", "itemData" : { "DOI" : "10.1186/1741-7015-7-81", "PMID" : "20034378", "abstract" : "BACKGROUND: Clearly air travel, by transporting infectious individuals from one geographic location to another, significantly affects the rate of spread of influenza A (H1N1). However, the possibility of within-flight transmission of H1N1 has not been evaluated; although it is known that smallpox, measles, tuberculosis, SARS and seasonal influenza can be transmitted during commercial flights. Here we present the first quantitative risk assessment to assess the potential for within-flight transmission of H1N1.\r\n\r\nMETHODS: We model airborne transmission of infectious viral particles of H1N1 within a Boeing 747 using methodology from the field of quantitative microbial risk assessment.\r\n\r\nRESULTS: The risk of catching H1N1 will essentially be confined to passengers travelling in the same cabin as the source case. Not surprisingly, we find that the longer the flight the greater the number of infections that can be expected. We calculate that H1N1, even during long flights, poses a low to moderate within-flight transmission risk if the source case travels First Class. Specifically, 0-1 infections could occur during a 5 hour flight, 1-3 during an 11 hour flight and 2-5 during a 17 hour flight. However, within-flight transmission could be significant, particularly during long flights, if the source case travels in Economy Class. Specifically, two to five infections could occur during a 5 hour flight, 5-10 during an 11 hour flight and 7-17 during a 17 hour flight. If the aircraft is only partially loaded, under certain conditions more infections could occur in First Class than in Economy Class. During a 17 hour flight, a greater number of infections would occur in First Class than in Economy if the First Class Cabin is fully occupied, but Economy class is less than 30% full.\r\n\r\nCONCLUSIONS: Our results provide insights into the potential utility of air travel restrictions on controlling influenza pandemics in the winter of 2009/2010. They show travel by one infectious individual, rather than causing a single outbreak of H1N1, could cause several simultaneous outbreaks. These results imply that, during a pandemic, quarantining passengers who travel in Economy on long-haul flights could potentially be an important control strategy. Notably, our results show that quarantining passengers who travel First Class would be unlikely to be an effective control strategy.", "author" : [ { "dropping-particle" : "", "family" : "Wagner", "given" : "Bradley G", "non-dropping-particle" : "", "parse-names" : false, "suffix" : "" }, { "dropping-particle" : "", "family" : "Coburn", "given" : "Brian J", "non-dropping-particle" : "", "parse-names" : false, "suffix" : "" }, { "dropping-particle" : "", "family" : "Blower", "given" : "Sally", "non-dropping-particle" : "", "parse-names" : false, "suffix" : "" } ], "container-title" : "BMC medicine", "id" : "ITEM-2", "issued" : { "date-parts" : [ [ "2009", "1" ] ] }, "page" : "81", "title" : "Calculating the potential for within-flight transmission of influenza A (H1N1).", "type" : "article-journal", "volume" : "7" }, "uris" : [ "http://www.mendeley.com/documents/?uuid=b51f7d63-e26e-402a-b6fe-364ba0e3d493"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Pr>
          <w:noProof/>
          <w:vertAlign w:val="superscript"/>
        </w:rPr>
        <w:t>3,4</w:t>
      </w:r>
      <w:r>
        <w:fldChar w:fldCharType="end"/>
      </w:r>
      <w:r>
        <w:t xml:space="preserve"> </w:t>
      </w:r>
      <w:r>
        <w:t xml:space="preserve"> </w:t>
      </w:r>
      <w:r>
        <w:t>The risk of contracting the flu from a fellow passenger is moderated by several factors including the duration of the flight and the density of passengers</w:t>
      </w:r>
      <w:r>
        <w:t>.</w:t>
      </w:r>
      <w:r>
        <w:fldChar w:fldCharType="begin" w:fldLock="1"/>
      </w:r>
      <w:r>
        <w:instrText>ADDIN CSL_CITATION { "citationItems" : [ { "id" : "ITEM-1", "itemData" : { "DOI" : "10.1186/1741-7015-7-81", "PMID" : "20034378", "abstract" : "BACKGROUND: Clearly air travel, by transporting infectious individuals from one geographic location to another, significantly affects the rate of spread of influenza A (H1N1). However, the possibility of within-flight transmission of H1N1 has not been evaluated; although it is known that smallpox, measles, tuberculosis, SARS and seasonal influenza can be transmitted during commercial flights. Here we present the first quantitative risk assessment to assess the potential for within-flight transmission of H1N1.\r\n\r\nMETHODS: We model airborne transmission of infectious viral particles of H1N1 within a Boeing 747 using methodology from the field of quantitative microbial risk assessment.\r\n\r\nRESULTS: The risk of catching H1N1 will essentially be confined to passengers travelling in the same cabin as the source case. Not surprisingly, we find that the longer the flight the greater the number of infections that can be expected. We calculate that H1N1, even during long flights, poses a low to moderate within-flight transmission risk if the source case travels First Class. Specifically, 0-1 infections could occur during a 5 hour flight, 1-3 during an 11 hour flight and 2-5 during a 17 hour flight. However, within-flight transmission could be significant, particularly during long flights, if the source case travels in Economy Class. Specifically, two to five infections could occur during a 5 hour flight, 5-10 during an 11 hour flight and 7-17 during a 17 hour flight. If the aircraft is only partially loaded, under certain conditions more infections could occur in First Class than in Economy Class. During a 17 hour flight, a greater number of infections would occur in First Class than in Economy if the First Class Cabin is fully occupied, but Economy class is less than 30% full.\r\n\r\nCONCLUSIONS: Our results provide insights into the potential utility of air travel restrictions on controlling influenza pandemics in the winter of 2009/2010. They show travel by one infectious individual, rather than causing a single outbreak of H1N1, could cause several simultaneous outbreaks. These results imply that, during a pandemic, quarantining passengers who travel in Economy on long-haul flights could potentially be an important control strategy. Notably, our results show that quarantining passengers who travel First Class would be unlikely to be an effective control strategy.", "author" : [ { "dropping-particle" : "", "family" : "Wagner", "given" : "Bradley G", "non-dropping-particle" : "", "parse-names" : false, "suffix" : "" }, { "dropping-particle" : "", "family" : "Coburn", "given" : "Brian J", "non-dropping-particle" : "", "parse-names" : false, "suffix" : "" }, { "dropping-particle" : "", "family" : "Blower", "given" : "Sally", "non-dropping-particle" : "", "parse-names" : false, "suffix" : "" } ], "container-title" : "BMC medicine", "id" : "ITEM-1", "issued" : { "date-parts" : [ [ "2009", "1" ] ] }, "page" : "81", "title" : "Calculating the potential for within-flight transmission of influenza A (H1N1).", "type" : "article-journal", "volume" : "7" }, "uris" : [ "http://www.mendeley.com/documents/?uuid=b51f7d63-e26e-402a-b6fe-364ba0e3d493"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Pr>
          <w:noProof/>
          <w:vertAlign w:val="superscript"/>
        </w:rPr>
        <w:t>4</w:t>
      </w:r>
      <w:r>
        <w:fldChar w:fldCharType="end"/>
      </w:r>
      <w:r>
        <w:t xml:space="preserve"> </w:t>
      </w:r>
      <w:r>
        <w:t xml:space="preserve"> </w:t>
      </w:r>
      <w:r>
        <w:t xml:space="preserve">Modelling has suggested that longer flights and higher densities of passengers (i.e. economy vs first class) increases the risk of </w:t>
      </w:r>
      <w:r>
        <w:t>infection.</w:t>
      </w:r>
      <w:r>
        <w:fldChar w:fldCharType="begin" w:fldLock="1"/>
      </w:r>
      <w:r>
        <w:instrText>ADDIN CSL_CITATION { "citationItems" : [ { "id" : "ITEM-1", "itemData" : { "DOI" : "10.1186/1741-7015-7-81", "PMID" : "20034378", "abstract" : "BACKGROUND: Clearly air travel, by transporting infectious individuals from one geographic location to another, significantly affects the rate of spread of influenza A (H1N1). However, the possibility of within-flight transmission of H1N1 has not been evaluated; although it is known that smallpox, measles, tuberculosis, SARS and seasonal influenza can be transmitted during commercial flights. Here we present the first quantitative risk assessment to assess the potential for within-flight transmission of H1N1.\r\n\r\nMETHODS: We model airborne transmission of infectious viral particles of H1N1 within a Boeing 747 using methodology from the field of quantitative microbial risk assessment.\r\n\r\nRESULTS: The risk of catching H1N1 will essentially be confined to passengers travelling in the same cabin as the source case. Not surprisingly, we find that the longer the flight the greater the number of infections that can be expected. We calculate that H1N1, even during long flights, poses a low to moderate within-flight transmission risk if the source case travels First Class. Specifically, 0-1 infections could occur during a 5 hour flight, 1-3 during an 11 hour flight and 2-5 during a 17 hour flight. However, within-flight transmission could be significant, particularly during long flights, if the source case travels in Economy Class. Specifically, two to five infections could occur during a 5 hour flight, 5-10 during an 11 hour flight and 7-17 during a 17 hour flight. If the aircraft is only partially loaded, under certain conditions more infections could occur in First Class than in Economy Class. During a 17 hour flight, a greater number of infections would occur in First Class than in Economy if the First Class Cabin is fully occupied, but Economy class is less than 30% full.\r\n\r\nCONCLUSIONS: Our results provide insights into the potential utility of air travel restrictions on controlling influenza pandemics in the winter of 2009/2010. They show travel by one infectious individual, rather than causing a single outbreak of H1N1, could cause several simultaneous outbreaks. These results imply that, during a pandemic, quarantining passengers who travel in Economy on long-haul flights could potentially be an important control strategy. Notably, our results show that quarantining passengers who travel First Class would be unlikely to be an effective control strategy.", "author" : [ { "dropping-particle" : "", "family" : "Wagner", "given" : "Bradley G", "non-dropping-particle" : "", "parse-names" : false, "suffix" : "" }, { "dropping-particle" : "", "family" : "Coburn", "given" : "Brian J", "non-dropping-particle" : "", "parse-names" : false, "suffix" : "" }, { "dropping-particle" : "", "family" : "Blower", "given" : "Sally", "non-dropping-particle" : "", "parse-names" : false, "suffix" : "" } ], "container-title" : "BMC medicine", "id" : "ITEM-1", "issued" : { "date-parts" : [ [ "2009", "1" ] ] }, "page" : "81", "title" : "Calculating the potential for within-flight transmission of influenza A (H1N1).", "type" : "article-journal", "volume" : "7" }, "uris" : [ "http://www.mendeley.com/documents/?uuid=b51f7d63-e26e-402a-b6fe-364ba0e3d493"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Pr>
          <w:noProof/>
          <w:vertAlign w:val="superscript"/>
        </w:rPr>
        <w:t>4</w:t>
      </w:r>
      <w:r>
        <w:fldChar w:fldCharType="end"/>
      </w:r>
      <w:r>
        <w:t xml:space="preserve"> </w:t>
      </w:r>
      <w:r>
        <w:t xml:space="preserve"> Travelers</w:t>
      </w:r>
      <w:r>
        <w:t xml:space="preserve"> can reduce their risk of infection by avoiding hand contact with hard surfaces within the airplane cabin and increasing the ventilation rate</w:t>
      </w:r>
      <w:r>
        <w:t>.</w:t>
      </w:r>
      <w:r>
        <w:fldChar w:fldCharType="begin" w:fldLock="1"/>
      </w:r>
      <w:r>
        <w:instrText>ADDIN CSL_CITATION { "citationItems" : [ { "id" : "ITEM-1", "itemData" : { "PMID" : "24955468", "abstract" : "Infectious particles can be deposited on surfaces. Susceptible persons who contacted these contaminated surfaces may transfer the pathogens to their mucous membranes via hands, leading to a risk of respiratory infection. The exposure and infection risk contributed by this transmission route depend on indoor surface material, ventilation, and human behavior. In this study, quantitative infection risk assessments were used to compare the significances of these factors. The risks of three pathogens, influenza A virus, respiratory syncytial virus (RSV), and rhinovirus, in an aircraft cabin and in a hospital ward were assessed. Results showed that reducing the contact rate is relatively more effective than increasing the ventilation rate to lower the infection risk. Nonfabric surface materials were found to be much more favorable in the indirect contact transmission for RSV and rhinovirus than fabric surface materials. In the cases considered in this study, halving the ventilation rate and doubling the hand contact rate to surfaces and the hand contact rate to mucous membranes would increase the risk by 3.7-16.2%, 34.4-94.2%, and 24.1-117.7%, respectively. Contacting contaminated nonfabric surfaces may pose an indirect contact risk up to three orders of magnitude higher than that of contacting contaminated fabric surfaces. These findings provide more consideration for infection control and building environmental design.", "author" : [ { "dropping-particle" : "", "family" : "Sze-To", "given" : "Gin Nam", "non-dropping-particle" : "", "parse-names" : false, "suffix" : "" }, { "dropping-particle" : "", "family" : "Yang", "given" : "Yang", "non-dropping-particle" : "", "parse-names" : false, "suffix" : "" }, { "dropping-particle" : "", "family" : "Kwan", "given" : "Joseph K C", "non-dropping-particle" : "", "parse-names" : false, "suffix" : "" }, { "dropping-particle" : "", "family" : "Yu", "given" : "Samuel C T", "non-dropping-particle" : "", "parse-names" : false, "suffix" : "" }, { "dropping-particle" : "", "family" : "Chao", "given" : "Christopher Y H", "non-dropping-particle" : "", "parse-names" : false, "suffix" : "" } ], "container-title" : "Risk analysis : an official publication of the Society for Risk Analysis", "id" : "ITEM-1", "issue" : "5", "issued" : { "date-parts" : [ [ "2014", "5" ] ] }, "page" : "818-30", "title" : "Effects of surface material, ventilation, and human behavior on indirect contact transmission risk of respiratory infection.", "type" : "article-journal", "volume" : "34" }, "uris" : [ "http://www.mendeley.com/documents/?uuid=ba74e85f-3f70-43b6-91bf-fd66a8ba1ec3"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Pr>
          <w:noProof/>
          <w:vertAlign w:val="superscript"/>
        </w:rPr>
        <w:t>5</w:t>
      </w:r>
      <w:r>
        <w:fldChar w:fldCharType="end"/>
      </w:r>
      <w:r>
        <w:t xml:space="preserve"> </w:t>
      </w:r>
      <w:r>
        <w:t xml:space="preserve"> Finally, sick travelers play an important role in the spread of influenza and airport screening provides only a partial solution</w:t>
      </w:r>
      <w:r>
        <w:t>.</w:t>
      </w:r>
      <w:r>
        <w:fldChar w:fldCharType="begin" w:fldLock="1"/>
      </w:r>
      <w:r>
        <w:instrText>ADDIN CSL_CITATION { "citationItems" : [ { "id" : "ITEM-1", "itemData" : { "DOI" : "10.1016/j.tmaid.2009.02.006", "PMID" : "19717097", "abstract" : "BACKGROUND: A stochastic discrete event simulation model was developed to assess the effectiveness of passenger screening for Pandemic Influenza (PI) at U.S. airport foreign entry.\r\n\r\nMETHODS: International passengers arriving at 18 U.S. airports from Asia, Europe, South America, and Canada were assigned to one of three states: not infected, infected with PI, infected with other respiratory illness. Passengers passed through layered screening then exited the model. 80% screening effectiveness was assumed for symptomatic passengers; 6% asymptomatic passengers.\r\n\r\nRESULTS: In the first 100 days of a global pandemic, U.S. airport screening would evaluate over 17 M passengers with 800 K secondary screenings. 11,570 PI infected passengers (majority asymptomatic) would enter the U.S. undetected from all 18 airports. Foreign airport departure screening significantly decreased the false negative (infected/undetected) passengers. U.S. attack rates: no screening (26.9%-30.9%); screening (26.4%-30.6%); however airport screening results in 800 K-1.8 M less U.S. PI cases; 16 K-35 K less deaths (2% fatality rate). Antiviral medications for travel contact prophylaxis (10 contacts/PI passenger) were high - 8.8M. False positives from all 18 airports: 100-200/day.\r\n\r\nCONCLUSIONS: Foreign shore exit screening greatly reduces numbers of PI infected passengers. U.S. airport screening identifies 50% infected individuals; efficacy is limited by the asymptomatic PI infected. Screening will not significantly delay arrival of PI via international air transport, but will reduce the rate of new US cases and subsequent deaths.", "author" : [ { "dropping-particle" : "", "family" : "Malone", "given" : "John D", "non-dropping-particle" : "", "parse-names" : false, "suffix" : "" }, { "dropping-particle" : "", "family" : "Brigantic", "given" : "Robert", "non-dropping-particle" : "", "parse-names" : false, "suffix" : "" }, { "dropping-particle" : "", "family" : "Muller", "given" : "George A", "non-dropping-particle" : "", "parse-names" : false, "suffix" : "" }, { "dropping-particle" : "", "family" : "Gadgil", "given" : "Ashok", "non-dropping-particle" : "", "parse-names" : false, "suffix" : "" }, { "dropping-particle" : "", "family" : "Delp", "given" : "Woody", "non-dropping-particle" : "", "parse-names" : false, "suffix" : "" }, { "dropping-particle" : "", "family" : "McMahon", "given" : "Benjamin H", "non-dropping-particle" : "", "parse-names" : false, "suffix" : "" }, { "dropping-particle" : "", "family" : "Lee", "given" : "Russell", "non-dropping-particle" : "", "parse-names" : false, "suffix" : "" }, { "dropping-particle" : "", "family" : "Kulesz", "given" : "Jim", "non-dropping-particle" : "", "parse-names" : false, "suffix" : "" }, { "dropping-particle" : "", "family" : "Mihelic", "given" : "F Matthew", "non-dropping-particle" : "", "parse-names" : false, "suffix" : "" } ], "container-title" : "Travel medicine and infectious disease", "id" : "ITEM-1", "issue" : "4", "issued" : { "date-parts" : [ [ "2009", "7" ] ] }, "page" : "181-91", "title" : "U.S. airport entry screening in response to pandemic influenza: modeling and analysis.", "type" : "article-journal", "volume" : "7" }, "uris" : [ "http://www.mendeley.com/documents/?uuid=0d160871-876b-41ac-ac84-633c6ff52bf9"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Pr>
          <w:noProof/>
          <w:vertAlign w:val="superscript"/>
        </w:rPr>
        <w:t>6</w:t>
      </w:r>
      <w:r>
        <w:fldChar w:fldCharType="end"/>
      </w:r>
      <w:r>
        <w:t xml:space="preserve"> </w:t>
      </w:r>
      <w:r>
        <w:t xml:space="preserve"> To avoid contributing to the spread of influenza, potentially to friends and family, avoid traveling this holiday season if you are sick.</w:t>
      </w:r>
    </w:p>
    <w:p w:rsidR="00DB2DFB" w:rsidRDefault="00DB2DFB" w:rsidP="00DB2DFB">
      <w:r>
        <w:lastRenderedPageBreak/>
        <w:t>References</w:t>
      </w:r>
    </w:p>
    <w:p w:rsidR="00DB2DFB" w:rsidRDefault="00DB2DFB" w:rsidP="00DB2DFB">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Pr>
          <w:rFonts w:ascii="Cambria" w:hAnsi="Cambria" w:cs="Times New Roman"/>
          <w:noProof/>
        </w:rPr>
        <w:t xml:space="preserve">1. </w:t>
      </w:r>
      <w:r>
        <w:rPr>
          <w:rFonts w:ascii="Cambria" w:hAnsi="Cambria" w:cs="Times New Roman"/>
          <w:noProof/>
        </w:rPr>
        <w:tab/>
        <w:t xml:space="preserve">Mangili A, Vindenes T, Gendreau M. Infectious Risks of Air Travel. </w:t>
      </w:r>
      <w:r>
        <w:rPr>
          <w:rFonts w:ascii="Cambria" w:hAnsi="Cambria" w:cs="Times New Roman"/>
          <w:i/>
          <w:iCs/>
          <w:noProof/>
        </w:rPr>
        <w:t>Microbiol Spectr</w:t>
      </w:r>
      <w:r>
        <w:rPr>
          <w:rFonts w:ascii="Cambria" w:hAnsi="Cambria" w:cs="Times New Roman"/>
          <w:noProof/>
        </w:rPr>
        <w:t>. 2015;3(5). doi:10.1128/microbiolspec.IOL5-0009-2015.</w:t>
      </w:r>
    </w:p>
    <w:p w:rsidR="00DB2DFB" w:rsidRDefault="00DB2DFB" w:rsidP="00DB2DFB">
      <w:pPr>
        <w:widowControl w:val="0"/>
        <w:autoSpaceDE w:val="0"/>
        <w:autoSpaceDN w:val="0"/>
        <w:adjustRightInd w:val="0"/>
        <w:ind w:left="640" w:hanging="640"/>
        <w:rPr>
          <w:rFonts w:ascii="Cambria" w:hAnsi="Cambria" w:cs="Times New Roman"/>
          <w:noProof/>
        </w:rPr>
      </w:pPr>
      <w:r>
        <w:rPr>
          <w:rFonts w:ascii="Cambria" w:hAnsi="Cambria" w:cs="Times New Roman"/>
          <w:noProof/>
        </w:rPr>
        <w:t xml:space="preserve">2. </w:t>
      </w:r>
      <w:r>
        <w:rPr>
          <w:rFonts w:ascii="Cambria" w:hAnsi="Cambria" w:cs="Times New Roman"/>
          <w:noProof/>
        </w:rPr>
        <w:tab/>
        <w:t xml:space="preserve">Grais RF, Ellis JH, Kress A, Glass GE. Modeling the spread of annual influenza epidemics in the U.S.: the potential role of air travel. </w:t>
      </w:r>
      <w:r>
        <w:rPr>
          <w:rFonts w:ascii="Cambria" w:hAnsi="Cambria" w:cs="Times New Roman"/>
          <w:i/>
          <w:iCs/>
          <w:noProof/>
        </w:rPr>
        <w:t>Health Care Manag Sci</w:t>
      </w:r>
      <w:r>
        <w:rPr>
          <w:rFonts w:ascii="Cambria" w:hAnsi="Cambria" w:cs="Times New Roman"/>
          <w:noProof/>
        </w:rPr>
        <w:t>. 2004;7(2):127-134. http://www.ncbi.nlm.nih.gov/pubmed/15152977. Accessed December 7, 2015.</w:t>
      </w:r>
    </w:p>
    <w:p w:rsidR="00DB2DFB" w:rsidRDefault="00DB2DFB" w:rsidP="00DB2DFB">
      <w:pPr>
        <w:widowControl w:val="0"/>
        <w:autoSpaceDE w:val="0"/>
        <w:autoSpaceDN w:val="0"/>
        <w:adjustRightInd w:val="0"/>
        <w:ind w:left="640" w:hanging="640"/>
        <w:rPr>
          <w:rFonts w:ascii="Cambria" w:hAnsi="Cambria" w:cs="Times New Roman"/>
          <w:noProof/>
        </w:rPr>
      </w:pPr>
      <w:r>
        <w:rPr>
          <w:rFonts w:ascii="Cambria" w:hAnsi="Cambria" w:cs="Times New Roman"/>
          <w:noProof/>
        </w:rPr>
        <w:t xml:space="preserve">3. </w:t>
      </w:r>
      <w:r>
        <w:rPr>
          <w:rFonts w:ascii="Cambria" w:hAnsi="Cambria" w:cs="Times New Roman"/>
          <w:noProof/>
        </w:rPr>
        <w:tab/>
        <w:t xml:space="preserve">Schwartz MD, Macias-Moriarity LZ, Schelling J. Professional aircrews’ attitudes toward infectious diseases and aviation medical issues. </w:t>
      </w:r>
      <w:r>
        <w:rPr>
          <w:rFonts w:ascii="Cambria" w:hAnsi="Cambria" w:cs="Times New Roman"/>
          <w:i/>
          <w:iCs/>
          <w:noProof/>
        </w:rPr>
        <w:t>Aviat Space Environ Med</w:t>
      </w:r>
      <w:r>
        <w:rPr>
          <w:rFonts w:ascii="Cambria" w:hAnsi="Cambria" w:cs="Times New Roman"/>
          <w:noProof/>
        </w:rPr>
        <w:t>. 2012;83(12):1167-1170. http://www.ncbi.nlm.nih.gov/pubmed/23316545. Accessed December 7, 2015.</w:t>
      </w:r>
    </w:p>
    <w:p w:rsidR="00DB2DFB" w:rsidRDefault="00DB2DFB" w:rsidP="00DB2DFB">
      <w:pPr>
        <w:widowControl w:val="0"/>
        <w:autoSpaceDE w:val="0"/>
        <w:autoSpaceDN w:val="0"/>
        <w:adjustRightInd w:val="0"/>
        <w:ind w:left="640" w:hanging="640"/>
        <w:rPr>
          <w:rFonts w:ascii="Cambria" w:hAnsi="Cambria" w:cs="Times New Roman"/>
          <w:noProof/>
        </w:rPr>
      </w:pPr>
      <w:r>
        <w:rPr>
          <w:rFonts w:ascii="Cambria" w:hAnsi="Cambria" w:cs="Times New Roman"/>
          <w:noProof/>
        </w:rPr>
        <w:t xml:space="preserve">4. </w:t>
      </w:r>
      <w:r>
        <w:rPr>
          <w:rFonts w:ascii="Cambria" w:hAnsi="Cambria" w:cs="Times New Roman"/>
          <w:noProof/>
        </w:rPr>
        <w:tab/>
        <w:t xml:space="preserve">Wagner BG, Coburn BJ, Blower S. Calculating the potential for within-flight transmission of influenza A (H1N1). </w:t>
      </w:r>
      <w:r>
        <w:rPr>
          <w:rFonts w:ascii="Cambria" w:hAnsi="Cambria" w:cs="Times New Roman"/>
          <w:i/>
          <w:iCs/>
          <w:noProof/>
        </w:rPr>
        <w:t>BMC Med</w:t>
      </w:r>
      <w:r>
        <w:rPr>
          <w:rFonts w:ascii="Cambria" w:hAnsi="Cambria" w:cs="Times New Roman"/>
          <w:noProof/>
        </w:rPr>
        <w:t>. 2009;7:81. doi:10.1186/1741-7015-7-81.</w:t>
      </w:r>
    </w:p>
    <w:p w:rsidR="00DB2DFB" w:rsidRDefault="00DB2DFB" w:rsidP="00DB2DFB">
      <w:pPr>
        <w:widowControl w:val="0"/>
        <w:autoSpaceDE w:val="0"/>
        <w:autoSpaceDN w:val="0"/>
        <w:adjustRightInd w:val="0"/>
        <w:ind w:left="640" w:hanging="640"/>
        <w:rPr>
          <w:rFonts w:ascii="Cambria" w:hAnsi="Cambria" w:cs="Times New Roman"/>
          <w:noProof/>
        </w:rPr>
      </w:pPr>
      <w:r>
        <w:rPr>
          <w:rFonts w:ascii="Cambria" w:hAnsi="Cambria" w:cs="Times New Roman"/>
          <w:noProof/>
        </w:rPr>
        <w:t xml:space="preserve">5. </w:t>
      </w:r>
      <w:r>
        <w:rPr>
          <w:rFonts w:ascii="Cambria" w:hAnsi="Cambria" w:cs="Times New Roman"/>
          <w:noProof/>
        </w:rPr>
        <w:tab/>
        <w:t xml:space="preserve">Sze-To GN, Yang Y, Kwan JKC, Yu SCT, Chao CYH. Effects of surface material, ventilation, and human behavior on indirect contact transmission risk of respiratory infection. </w:t>
      </w:r>
      <w:r>
        <w:rPr>
          <w:rFonts w:ascii="Cambria" w:hAnsi="Cambria" w:cs="Times New Roman"/>
          <w:i/>
          <w:iCs/>
          <w:noProof/>
        </w:rPr>
        <w:t>Risk Anal</w:t>
      </w:r>
      <w:r>
        <w:rPr>
          <w:rFonts w:ascii="Cambria" w:hAnsi="Cambria" w:cs="Times New Roman"/>
          <w:noProof/>
        </w:rPr>
        <w:t>. 2014;34(5):818-830. http://www.ncbi.nlm.nih.gov/pubmed/24955468. Accessed November 22, 2015.</w:t>
      </w:r>
    </w:p>
    <w:p w:rsidR="00DB2DFB" w:rsidRDefault="00DB2DFB" w:rsidP="00DB2DFB">
      <w:pPr>
        <w:widowControl w:val="0"/>
        <w:autoSpaceDE w:val="0"/>
        <w:autoSpaceDN w:val="0"/>
        <w:adjustRightInd w:val="0"/>
        <w:ind w:left="640" w:hanging="640"/>
        <w:rPr>
          <w:rFonts w:ascii="Cambria" w:hAnsi="Cambria"/>
          <w:noProof/>
        </w:rPr>
      </w:pPr>
      <w:r>
        <w:rPr>
          <w:rFonts w:ascii="Cambria" w:hAnsi="Cambria" w:cs="Times New Roman"/>
          <w:noProof/>
        </w:rPr>
        <w:t xml:space="preserve">6. </w:t>
      </w:r>
      <w:r>
        <w:rPr>
          <w:rFonts w:ascii="Cambria" w:hAnsi="Cambria" w:cs="Times New Roman"/>
          <w:noProof/>
        </w:rPr>
        <w:tab/>
        <w:t xml:space="preserve">Malone JD, Brigantic R, Muller GA, et al. U.S. airport entry screening in response to pandemic influenza: modeling and analysis. </w:t>
      </w:r>
      <w:r>
        <w:rPr>
          <w:rFonts w:ascii="Cambria" w:hAnsi="Cambria" w:cs="Times New Roman"/>
          <w:i/>
          <w:iCs/>
          <w:noProof/>
        </w:rPr>
        <w:t>Travel Med Infect Dis</w:t>
      </w:r>
      <w:r>
        <w:rPr>
          <w:rFonts w:ascii="Cambria" w:hAnsi="Cambria" w:cs="Times New Roman"/>
          <w:noProof/>
        </w:rPr>
        <w:t>. 2009;7(4):181-191. doi:10.1016/j.tmaid.2009.02.006.</w:t>
      </w:r>
    </w:p>
    <w:p w:rsidR="00221914" w:rsidRDefault="00DB2DFB" w:rsidP="00DB2DFB">
      <w:pPr>
        <w:pStyle w:val="Heading1"/>
      </w:pPr>
      <w:r>
        <w:fldChar w:fldCharType="end"/>
      </w:r>
      <w:r w:rsidR="008A4B05">
        <w:t>Part B</w:t>
      </w:r>
    </w:p>
    <w:p w:rsidR="00221914" w:rsidRDefault="008A4B05">
      <w:pPr>
        <w:pStyle w:val="Heading2"/>
      </w:pPr>
      <w:bookmarkStart w:id="5" w:name="scenario-i"/>
      <w:bookmarkEnd w:id="5"/>
      <w:r>
        <w:t>Scenario I</w:t>
      </w:r>
    </w:p>
    <w:p w:rsidR="00221914" w:rsidRDefault="008A4B05">
      <w:r>
        <w:t>1.) Is the consumption of 3 or mor</w:t>
      </w:r>
      <w:r>
        <w:t>e 12 Oz sodas per day in ages 10 - 20 positively associated with an increased odds of obesity by age 25 - 35?</w:t>
      </w:r>
    </w:p>
    <w:p w:rsidR="00221914" w:rsidRDefault="008A4B05">
      <w:r>
        <w:t>2.)</w:t>
      </w:r>
    </w:p>
    <w:tbl>
      <w:tblPr>
        <w:tblW w:w="4166" w:type="pct"/>
        <w:tblLook w:val="04A0" w:firstRow="1" w:lastRow="0" w:firstColumn="1" w:lastColumn="0" w:noHBand="0" w:noVBand="1"/>
      </w:tblPr>
      <w:tblGrid>
        <w:gridCol w:w="3452"/>
        <w:gridCol w:w="2294"/>
        <w:gridCol w:w="1086"/>
        <w:gridCol w:w="967"/>
      </w:tblGrid>
      <w:tr w:rsidR="00221914" w:rsidTr="00F54C44">
        <w:tc>
          <w:tcPr>
            <w:tcW w:w="0" w:type="auto"/>
            <w:tcBorders>
              <w:bottom w:val="single" w:sz="0" w:space="0" w:color="auto"/>
            </w:tcBorders>
            <w:vAlign w:val="bottom"/>
          </w:tcPr>
          <w:p w:rsidR="00221914" w:rsidRDefault="008A4B05">
            <w:pPr>
              <w:pStyle w:val="Compact"/>
              <w:jc w:val="center"/>
            </w:pPr>
            <w:r>
              <w:t> </w:t>
            </w:r>
          </w:p>
        </w:tc>
        <w:tc>
          <w:tcPr>
            <w:tcW w:w="0" w:type="auto"/>
            <w:tcBorders>
              <w:bottom w:val="single" w:sz="2" w:space="0" w:color="auto"/>
            </w:tcBorders>
            <w:vAlign w:val="bottom"/>
          </w:tcPr>
          <w:p w:rsidR="00221914" w:rsidRDefault="008A4B05">
            <w:pPr>
              <w:pStyle w:val="Compact"/>
              <w:jc w:val="center"/>
            </w:pPr>
            <w:r>
              <w:t>Normal Weight</w:t>
            </w:r>
          </w:p>
        </w:tc>
        <w:tc>
          <w:tcPr>
            <w:tcW w:w="0" w:type="auto"/>
            <w:tcBorders>
              <w:bottom w:val="single" w:sz="2" w:space="0" w:color="auto"/>
            </w:tcBorders>
            <w:vAlign w:val="bottom"/>
          </w:tcPr>
          <w:p w:rsidR="00221914" w:rsidRDefault="008A4B05">
            <w:pPr>
              <w:pStyle w:val="Compact"/>
              <w:jc w:val="center"/>
            </w:pPr>
            <w:r>
              <w:t>Obese</w:t>
            </w:r>
          </w:p>
        </w:tc>
        <w:tc>
          <w:tcPr>
            <w:tcW w:w="0" w:type="auto"/>
            <w:tcBorders>
              <w:bottom w:val="single" w:sz="0" w:space="0" w:color="auto"/>
            </w:tcBorders>
            <w:vAlign w:val="bottom"/>
          </w:tcPr>
          <w:p w:rsidR="00221914" w:rsidRDefault="008A4B05">
            <w:pPr>
              <w:pStyle w:val="Compact"/>
              <w:jc w:val="center"/>
            </w:pPr>
            <w:r>
              <w:t>Total</w:t>
            </w:r>
          </w:p>
        </w:tc>
      </w:tr>
      <w:tr w:rsidR="00221914" w:rsidTr="00F54C44">
        <w:tc>
          <w:tcPr>
            <w:tcW w:w="0" w:type="auto"/>
            <w:tcBorders>
              <w:right w:val="single" w:sz="4" w:space="0" w:color="auto"/>
            </w:tcBorders>
          </w:tcPr>
          <w:p w:rsidR="00221914" w:rsidRPr="00F54C44" w:rsidRDefault="008A4B05">
            <w:pPr>
              <w:pStyle w:val="Compact"/>
              <w:jc w:val="center"/>
            </w:pPr>
            <w:r w:rsidRPr="00F54C44">
              <w:t>Low Soda Consumption</w:t>
            </w:r>
          </w:p>
        </w:tc>
        <w:tc>
          <w:tcPr>
            <w:tcW w:w="0" w:type="auto"/>
            <w:tcBorders>
              <w:top w:val="single" w:sz="2" w:space="0" w:color="auto"/>
              <w:left w:val="single" w:sz="4" w:space="0" w:color="auto"/>
              <w:bottom w:val="single" w:sz="4" w:space="0" w:color="auto"/>
              <w:right w:val="single" w:sz="4" w:space="0" w:color="auto"/>
            </w:tcBorders>
          </w:tcPr>
          <w:p w:rsidR="00221914" w:rsidRDefault="008A4B05">
            <w:pPr>
              <w:pStyle w:val="Compact"/>
              <w:jc w:val="center"/>
            </w:pPr>
            <w:r>
              <w:t>20</w:t>
            </w:r>
          </w:p>
        </w:tc>
        <w:tc>
          <w:tcPr>
            <w:tcW w:w="0" w:type="auto"/>
            <w:tcBorders>
              <w:top w:val="single" w:sz="2" w:space="0" w:color="auto"/>
              <w:left w:val="single" w:sz="4" w:space="0" w:color="auto"/>
              <w:bottom w:val="single" w:sz="4" w:space="0" w:color="auto"/>
              <w:right w:val="single" w:sz="4" w:space="0" w:color="auto"/>
            </w:tcBorders>
          </w:tcPr>
          <w:p w:rsidR="00221914" w:rsidRDefault="008A4B05">
            <w:pPr>
              <w:pStyle w:val="Compact"/>
              <w:jc w:val="center"/>
            </w:pPr>
            <w:r>
              <w:t>15</w:t>
            </w:r>
          </w:p>
        </w:tc>
        <w:tc>
          <w:tcPr>
            <w:tcW w:w="0" w:type="auto"/>
            <w:tcBorders>
              <w:left w:val="single" w:sz="4" w:space="0" w:color="auto"/>
              <w:bottom w:val="single" w:sz="4" w:space="0" w:color="auto"/>
            </w:tcBorders>
          </w:tcPr>
          <w:p w:rsidR="00221914" w:rsidRDefault="008A4B05">
            <w:pPr>
              <w:pStyle w:val="Compact"/>
              <w:jc w:val="center"/>
            </w:pPr>
            <w:r>
              <w:t>35</w:t>
            </w:r>
          </w:p>
        </w:tc>
      </w:tr>
      <w:tr w:rsidR="00221914" w:rsidTr="00F54C44">
        <w:tc>
          <w:tcPr>
            <w:tcW w:w="0" w:type="auto"/>
            <w:tcBorders>
              <w:right w:val="single" w:sz="4" w:space="0" w:color="auto"/>
            </w:tcBorders>
          </w:tcPr>
          <w:p w:rsidR="00221914" w:rsidRPr="00F54C44" w:rsidRDefault="008A4B05">
            <w:pPr>
              <w:pStyle w:val="Compact"/>
              <w:jc w:val="center"/>
            </w:pPr>
            <w:r w:rsidRPr="00F54C44">
              <w:t>High Soda Consumption</w:t>
            </w:r>
          </w:p>
        </w:tc>
        <w:tc>
          <w:tcPr>
            <w:tcW w:w="0" w:type="auto"/>
            <w:tcBorders>
              <w:top w:val="single" w:sz="4" w:space="0" w:color="auto"/>
              <w:left w:val="single" w:sz="4" w:space="0" w:color="auto"/>
              <w:bottom w:val="single" w:sz="4" w:space="0" w:color="auto"/>
              <w:right w:val="single" w:sz="4" w:space="0" w:color="auto"/>
            </w:tcBorders>
          </w:tcPr>
          <w:p w:rsidR="00221914" w:rsidRDefault="008A4B05">
            <w:pPr>
              <w:pStyle w:val="Compact"/>
              <w:jc w:val="center"/>
            </w:pPr>
            <w:r>
              <w:t>30</w:t>
            </w:r>
          </w:p>
        </w:tc>
        <w:tc>
          <w:tcPr>
            <w:tcW w:w="0" w:type="auto"/>
            <w:tcBorders>
              <w:top w:val="single" w:sz="4" w:space="0" w:color="auto"/>
              <w:left w:val="single" w:sz="4" w:space="0" w:color="auto"/>
              <w:bottom w:val="single" w:sz="4" w:space="0" w:color="auto"/>
              <w:right w:val="single" w:sz="4" w:space="0" w:color="auto"/>
            </w:tcBorders>
          </w:tcPr>
          <w:p w:rsidR="00221914" w:rsidRDefault="008A4B05">
            <w:pPr>
              <w:pStyle w:val="Compact"/>
              <w:jc w:val="center"/>
            </w:pPr>
            <w:r>
              <w:t>35</w:t>
            </w:r>
          </w:p>
        </w:tc>
        <w:tc>
          <w:tcPr>
            <w:tcW w:w="0" w:type="auto"/>
            <w:tcBorders>
              <w:top w:val="single" w:sz="4" w:space="0" w:color="auto"/>
              <w:left w:val="single" w:sz="4" w:space="0" w:color="auto"/>
            </w:tcBorders>
          </w:tcPr>
          <w:p w:rsidR="00221914" w:rsidRDefault="008A4B05">
            <w:pPr>
              <w:pStyle w:val="Compact"/>
              <w:jc w:val="center"/>
            </w:pPr>
            <w:r>
              <w:t>65</w:t>
            </w:r>
          </w:p>
        </w:tc>
      </w:tr>
      <w:tr w:rsidR="00221914" w:rsidTr="00F54C44">
        <w:tc>
          <w:tcPr>
            <w:tcW w:w="0" w:type="auto"/>
            <w:tcBorders>
              <w:right w:val="single" w:sz="4" w:space="0" w:color="auto"/>
            </w:tcBorders>
          </w:tcPr>
          <w:p w:rsidR="00221914" w:rsidRDefault="008A4B05">
            <w:pPr>
              <w:pStyle w:val="Compact"/>
              <w:jc w:val="center"/>
            </w:pPr>
            <w:r>
              <w:rPr>
                <w:b/>
              </w:rPr>
              <w:t>Total</w:t>
            </w:r>
          </w:p>
        </w:tc>
        <w:tc>
          <w:tcPr>
            <w:tcW w:w="0" w:type="auto"/>
            <w:tcBorders>
              <w:top w:val="single" w:sz="4" w:space="0" w:color="auto"/>
              <w:left w:val="single" w:sz="4" w:space="0" w:color="auto"/>
              <w:right w:val="single" w:sz="4" w:space="0" w:color="auto"/>
            </w:tcBorders>
          </w:tcPr>
          <w:p w:rsidR="00221914" w:rsidRDefault="008A4B05">
            <w:pPr>
              <w:pStyle w:val="Compact"/>
              <w:jc w:val="center"/>
            </w:pPr>
            <w:r>
              <w:t>50</w:t>
            </w:r>
          </w:p>
        </w:tc>
        <w:tc>
          <w:tcPr>
            <w:tcW w:w="0" w:type="auto"/>
            <w:tcBorders>
              <w:top w:val="single" w:sz="4" w:space="0" w:color="auto"/>
              <w:left w:val="single" w:sz="4" w:space="0" w:color="auto"/>
            </w:tcBorders>
          </w:tcPr>
          <w:p w:rsidR="00221914" w:rsidRDefault="008A4B05">
            <w:pPr>
              <w:pStyle w:val="Compact"/>
              <w:jc w:val="center"/>
            </w:pPr>
            <w:r>
              <w:t>50</w:t>
            </w:r>
          </w:p>
        </w:tc>
        <w:tc>
          <w:tcPr>
            <w:tcW w:w="0" w:type="auto"/>
          </w:tcPr>
          <w:p w:rsidR="00221914" w:rsidRDefault="008A4B05">
            <w:pPr>
              <w:pStyle w:val="Compact"/>
              <w:jc w:val="center"/>
            </w:pPr>
            <w:r>
              <w:t>100</w:t>
            </w:r>
          </w:p>
        </w:tc>
      </w:tr>
    </w:tbl>
    <w:p w:rsidR="00221914" w:rsidRDefault="008A4B05">
      <w:r>
        <w:t>3.) OR = (20x35)/(30x15) = 1.56</w:t>
      </w:r>
    </w:p>
    <w:p w:rsidR="00221914" w:rsidRDefault="008A4B05">
      <w:r>
        <w:t>4.) We find that individuals who consumed 3 or more 12 Oz sodas per day between the ages of 10and 20 were 1.56 times more likley to be obese by ages 25 - 30.</w:t>
      </w:r>
    </w:p>
    <w:p w:rsidR="00221914" w:rsidRDefault="008A4B05">
      <w:r>
        <w:lastRenderedPageBreak/>
        <w:t>5.) The strengths of this case control study are that BMI categories are clearly separated, reducing the risk of missclassification bias. Cases and controls are selected from the same age cohort which is important because obesity is probably positively ass</w:t>
      </w:r>
      <w:r>
        <w:t>ociated with age.</w:t>
      </w:r>
    </w:p>
    <w:p w:rsidR="00221914" w:rsidRDefault="008A4B05">
      <w:r>
        <w:t xml:space="preserve">6.) This study has several weaknesses. The largest of which is likely that there does not seem to be any effort to control for confounders other than age. High soda consumption may be associated with many other factors which may actually </w:t>
      </w:r>
      <w:r>
        <w:t>be causal for obesity such as a high-fat diet, high consumption of processed foods, lack of exercise, etc. Moreover, the exposure is poorly defined and may be difficult for participants to recall. For example, what if someone consumed no soda until they we</w:t>
      </w:r>
      <w:r>
        <w:t>re 15 and then consumed 6 cans per day for 3 years and then quit again, how would this participant be classified?</w:t>
      </w:r>
    </w:p>
    <w:p w:rsidR="00221914" w:rsidRDefault="008A4B05">
      <w:pPr>
        <w:pStyle w:val="Heading2"/>
      </w:pPr>
      <w:bookmarkStart w:id="6" w:name="scenario-ii"/>
      <w:bookmarkEnd w:id="6"/>
      <w:r>
        <w:t>Scenario II</w:t>
      </w:r>
    </w:p>
    <w:p w:rsidR="00221914" w:rsidRDefault="008A4B05">
      <w:r>
        <w:t>1.) Is increased consumption of soda significantly associated with an increased risk for obesity.</w:t>
      </w:r>
    </w:p>
    <w:p w:rsidR="00221914" w:rsidRDefault="008A4B05">
      <w:r>
        <w:t>2a.) I selected the National Hea</w:t>
      </w:r>
      <w:r>
        <w:t>lth and Nutrition Examination Survey (NHANES). 2b.) I selected this survey because it pulled information from a population of both men and women from all over the country and included, dietary, lifestyle, and health information. I considered the Framingham</w:t>
      </w:r>
      <w:r>
        <w:t xml:space="preserve"> Heart Study but it was very difficult to tell when dietary information was collected and the population is not as representative of the US population. In order to determine the effects of dietary soda intake we need to be able to control for other, potent</w:t>
      </w:r>
      <w:r>
        <w:t>ially confounding, effects such as lifestyle factors or other dietary trends and it appears NHANES has this information. I also selected the NHANES cohort becuse they now have 16 years of data (annual surveys began in 1999), which should be a sufficient ti</w:t>
      </w:r>
      <w:r>
        <w:t>me frame to detect an association between soda and obesity.</w:t>
      </w:r>
    </w:p>
    <w:p w:rsidR="00221914" w:rsidRDefault="008A4B05">
      <w:r>
        <w:t xml:space="preserve">3.) In order to make the findings as generalizable as possible I will use very limited exclusion criteria. To ensure adequate sampling time frame, the only inclusion criteria is enrollment in the </w:t>
      </w:r>
      <w:r>
        <w:t>NHANES cohort by the year 2000. Missing data from loss to follow up or death will be treated according to statistical best practices.</w:t>
      </w:r>
    </w:p>
    <w:p w:rsidR="00221914" w:rsidRDefault="008A4B05">
      <w:r>
        <w:t>4.) Exclusion cirteria will be: - Physical or mental disabilities - Developmental disorders - Having a BMI of 30 or greate</w:t>
      </w:r>
      <w:r>
        <w:t>r at enrollment - Other health impairments which limit normal everyday activities</w:t>
      </w:r>
    </w:p>
    <w:p w:rsidR="00221914" w:rsidRDefault="008A4B05">
      <w:r>
        <w:t>5.) I would want to include information on physical activity, the proportion of the diet coming from high-fat foods, and the amount of other sugary foods. These are all facto</w:t>
      </w:r>
      <w:r>
        <w:t>rs hypothesized to contribute to obesity, which may also be correlated with soda consumption, and so must be included in the analysis in order to identify the relationship between soda and obesity.</w:t>
      </w:r>
    </w:p>
    <w:p w:rsidR="00221914" w:rsidRDefault="008A4B05">
      <w:r>
        <w:t>6.) Since many people are aware that drinking soda is gene</w:t>
      </w:r>
      <w:r>
        <w:t>rally unhealthy there may be a tendency for people to report drinking less soda than they actually do. In fact, this phenomona may actually be greater in healthier individuals who are more aware and self-conscious of their health. This would lead to inform</w:t>
      </w:r>
      <w:r>
        <w:t>ation bias and, if the assumption about healthy individuals were true, could bias the result away from the null.</w:t>
      </w:r>
    </w:p>
    <w:p w:rsidR="00221914" w:rsidRDefault="008A4B05">
      <w:r>
        <w:lastRenderedPageBreak/>
        <w:t xml:space="preserve">7.) The strengths of this cohort study are that participants are followed through time so that we can identify a temporal relationship between </w:t>
      </w:r>
      <w:r>
        <w:t>soda consumption and obesity. Since the study draws from a representative sample of the US population, it should be generalizable to the healthy US population.</w:t>
      </w:r>
    </w:p>
    <w:p w:rsidR="00221914" w:rsidRDefault="008A4B05">
      <w:r>
        <w:t>8.) There may be many factors related to the onset of obesity, including genetic effects, that a</w:t>
      </w:r>
      <w:r>
        <w:t>re not available for this cohort. Moreover, self-reported diet may have a substantial amount of measurement error among all participants and this could bias estimates towards the null.</w:t>
      </w:r>
    </w:p>
    <w:sectPr w:rsidR="00221914">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B05" w:rsidRDefault="008A4B05" w:rsidP="00A446D5">
      <w:pPr>
        <w:spacing w:before="0" w:after="0"/>
      </w:pPr>
      <w:r>
        <w:separator/>
      </w:r>
    </w:p>
  </w:endnote>
  <w:endnote w:type="continuationSeparator" w:id="0">
    <w:p w:rsidR="008A4B05" w:rsidRDefault="008A4B05" w:rsidP="00A446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B05" w:rsidRDefault="008A4B05" w:rsidP="00A446D5">
      <w:pPr>
        <w:spacing w:before="0" w:after="0"/>
      </w:pPr>
      <w:r>
        <w:separator/>
      </w:r>
    </w:p>
  </w:footnote>
  <w:footnote w:type="continuationSeparator" w:id="0">
    <w:p w:rsidR="008A4B05" w:rsidRDefault="008A4B05" w:rsidP="00A446D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6D5" w:rsidRDefault="00A446D5">
    <w:pPr>
      <w:pStyle w:val="Header"/>
    </w:pPr>
    <w:r>
      <w:t>LaRoche Exam 3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AB678A4"/>
    <w:multiLevelType w:val="multilevel"/>
    <w:tmpl w:val="DF0ED3D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B8C4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7E4391"/>
    <w:multiLevelType w:val="multilevel"/>
    <w:tmpl w:val="B6BCE5D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CC8723B"/>
    <w:multiLevelType w:val="multilevel"/>
    <w:tmpl w:val="6F800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1914"/>
    <w:rsid w:val="004E29B3"/>
    <w:rsid w:val="00590D07"/>
    <w:rsid w:val="00784D58"/>
    <w:rsid w:val="008A4B05"/>
    <w:rsid w:val="008D6863"/>
    <w:rsid w:val="00A446D5"/>
    <w:rsid w:val="00B86B75"/>
    <w:rsid w:val="00BC48D5"/>
    <w:rsid w:val="00C36279"/>
    <w:rsid w:val="00DB2DFB"/>
    <w:rsid w:val="00E315A3"/>
    <w:rsid w:val="00F54C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8713A-F918-483C-A10A-BB8A8BDF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A446D5"/>
    <w:pPr>
      <w:tabs>
        <w:tab w:val="center" w:pos="4680"/>
        <w:tab w:val="right" w:pos="9360"/>
      </w:tabs>
      <w:spacing w:before="0" w:after="0"/>
    </w:pPr>
  </w:style>
  <w:style w:type="character" w:customStyle="1" w:styleId="HeaderChar">
    <w:name w:val="Header Char"/>
    <w:basedOn w:val="DefaultParagraphFont"/>
    <w:link w:val="Header"/>
    <w:rsid w:val="00A446D5"/>
  </w:style>
  <w:style w:type="paragraph" w:styleId="Footer">
    <w:name w:val="footer"/>
    <w:basedOn w:val="Normal"/>
    <w:link w:val="FooterChar"/>
    <w:unhideWhenUsed/>
    <w:rsid w:val="00A446D5"/>
    <w:pPr>
      <w:tabs>
        <w:tab w:val="center" w:pos="4680"/>
        <w:tab w:val="right" w:pos="9360"/>
      </w:tabs>
      <w:spacing w:before="0" w:after="0"/>
    </w:pPr>
  </w:style>
  <w:style w:type="character" w:customStyle="1" w:styleId="FooterChar">
    <w:name w:val="Footer Char"/>
    <w:basedOn w:val="DefaultParagraphFont"/>
    <w:link w:val="Footer"/>
    <w:rsid w:val="00A4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54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4785</Words>
  <Characters>27281</Characters>
  <Application>Microsoft Office Word</Application>
  <DocSecurity>0</DocSecurity>
  <Lines>227</Lines>
  <Paragraphs>64</Paragraphs>
  <ScaleCrop>false</ScaleCrop>
  <Company/>
  <LinksUpToDate>false</LinksUpToDate>
  <CharactersWithSpaces>32002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LaRoche Exam 3 Answers</dc:title>
  <dc:creator>Dominic LaRoche</dc:creator>
  <cp:lastModifiedBy>Dominic LaRoche</cp:lastModifiedBy>
  <cp:revision>5</cp:revision>
  <dcterms:created xsi:type="dcterms:W3CDTF">2015-12-09T19:17:00Z</dcterms:created>
  <dcterms:modified xsi:type="dcterms:W3CDTF">2015-12-09T19:21:00Z</dcterms:modified>
</cp:coreProperties>
</file>