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35" w:rsidRDefault="00AD0235" w:rsidP="00BE175F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ОПУХОЛИ ГОЛОВЫ И ШЕИ</w:t>
      </w:r>
    </w:p>
    <w:p w:rsidR="00AD0235" w:rsidRDefault="00AD0235" w:rsidP="00BE175F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45D7" w:rsidRDefault="00AD0235" w:rsidP="00BE175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МОДЕЛЬ ПАЦИЕНТОВ</w:t>
      </w:r>
      <w:r w:rsidR="00883B24" w:rsidRPr="00002A52">
        <w:rPr>
          <w:rFonts w:ascii="Times New Roman" w:hAnsi="Times New Roman" w:cs="Times New Roman"/>
          <w:sz w:val="28"/>
          <w:szCs w:val="28"/>
        </w:rPr>
        <w:t>:</w:t>
      </w:r>
      <w:r w:rsidR="005145D7" w:rsidRPr="005145D7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Коды по МКБ-10</w:t>
      </w:r>
    </w:p>
    <w:p w:rsidR="00AD0235" w:rsidRDefault="00AD0235" w:rsidP="00AD0235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С00 </w:t>
      </w:r>
      <w:r>
        <w:rPr>
          <w:rFonts w:ascii="Times New Roman" w:hAnsi="Times New Roman" w:cs="Times New Roman"/>
          <w:sz w:val="28"/>
          <w:szCs w:val="28"/>
        </w:rPr>
        <w:t>– С14 – ЗНО губы, полости рта и глотки</w:t>
      </w:r>
    </w:p>
    <w:p w:rsidR="00AD0235" w:rsidRDefault="00AD0235" w:rsidP="00AD0235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С30 </w:t>
      </w:r>
      <w:r>
        <w:rPr>
          <w:rFonts w:ascii="Times New Roman" w:hAnsi="Times New Roman" w:cs="Times New Roman"/>
          <w:sz w:val="28"/>
          <w:szCs w:val="28"/>
        </w:rPr>
        <w:t>– ЗНО полости носа и среднего уха</w:t>
      </w:r>
    </w:p>
    <w:p w:rsidR="00AD0235" w:rsidRDefault="00AD0235" w:rsidP="00AD0235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С31 </w:t>
      </w:r>
      <w:r>
        <w:rPr>
          <w:rFonts w:ascii="Times New Roman" w:hAnsi="Times New Roman" w:cs="Times New Roman"/>
          <w:sz w:val="28"/>
          <w:szCs w:val="28"/>
        </w:rPr>
        <w:t>– ЗНО придаточных пазух</w:t>
      </w:r>
    </w:p>
    <w:p w:rsidR="00AD0235" w:rsidRDefault="00AD0235" w:rsidP="00AD0235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С32 </w:t>
      </w:r>
      <w:r>
        <w:rPr>
          <w:rFonts w:ascii="Times New Roman" w:hAnsi="Times New Roman" w:cs="Times New Roman"/>
          <w:sz w:val="28"/>
          <w:szCs w:val="28"/>
        </w:rPr>
        <w:t xml:space="preserve">– ЗНО гортани </w:t>
      </w:r>
    </w:p>
    <w:p w:rsidR="00AD0235" w:rsidRPr="00225F93" w:rsidRDefault="00AD0235" w:rsidP="00AD0235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С73 </w:t>
      </w:r>
      <w:r>
        <w:rPr>
          <w:rFonts w:ascii="Times New Roman" w:hAnsi="Times New Roman" w:cs="Times New Roman"/>
          <w:sz w:val="28"/>
          <w:szCs w:val="28"/>
        </w:rPr>
        <w:t>– ЗНО щитовидной железы</w:t>
      </w:r>
    </w:p>
    <w:p w:rsidR="00883B24" w:rsidRPr="00002A52" w:rsidRDefault="00883B24" w:rsidP="00883B24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A52">
        <w:rPr>
          <w:rFonts w:ascii="Times New Roman" w:hAnsi="Times New Roman" w:cs="Times New Roman"/>
          <w:b/>
          <w:sz w:val="28"/>
          <w:szCs w:val="28"/>
          <w:u w:val="single"/>
        </w:rPr>
        <w:t>ТЕРМИНЫ И ОПРЕДЕЛЕНИЯ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A52">
        <w:rPr>
          <w:rFonts w:ascii="Times New Roman" w:hAnsi="Times New Roman" w:cs="Times New Roman"/>
          <w:sz w:val="28"/>
          <w:szCs w:val="28"/>
        </w:rPr>
        <w:t>Предреабилитация</w:t>
      </w:r>
      <w:proofErr w:type="spellEnd"/>
      <w:r w:rsidRPr="00002A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2A52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002A52">
        <w:rPr>
          <w:rFonts w:ascii="Times New Roman" w:hAnsi="Times New Roman" w:cs="Times New Roman"/>
          <w:sz w:val="28"/>
          <w:szCs w:val="28"/>
        </w:rPr>
        <w:t>) – реабилитация с момента постановки диагноза до начала лечения (хирургического лечения/химиотерапии/лучевой терапии).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2A52">
        <w:rPr>
          <w:rFonts w:ascii="Times New Roman" w:hAnsi="Times New Roman" w:cs="Times New Roman"/>
          <w:sz w:val="28"/>
          <w:szCs w:val="28"/>
        </w:rPr>
        <w:t xml:space="preserve"> этап реабилитации –реабилитация в период специализированного лечения основного заболевания (включая хирургическое лечение/химиотерапию/лучевую терапию)   в отделениях медицинских организаций по профилю основного заболевания;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2A52">
        <w:rPr>
          <w:rFonts w:ascii="Times New Roman" w:hAnsi="Times New Roman" w:cs="Times New Roman"/>
          <w:sz w:val="28"/>
          <w:szCs w:val="28"/>
        </w:rPr>
        <w:t xml:space="preserve"> этап реабилитации </w:t>
      </w:r>
      <w:proofErr w:type="gramStart"/>
      <w:r w:rsidRPr="00002A52">
        <w:rPr>
          <w:rFonts w:ascii="Times New Roman" w:hAnsi="Times New Roman" w:cs="Times New Roman"/>
          <w:sz w:val="28"/>
          <w:szCs w:val="28"/>
        </w:rPr>
        <w:t>-  реабилитация</w:t>
      </w:r>
      <w:proofErr w:type="gramEnd"/>
      <w:r w:rsidRPr="00002A52">
        <w:rPr>
          <w:rFonts w:ascii="Times New Roman" w:hAnsi="Times New Roman" w:cs="Times New Roman"/>
          <w:sz w:val="28"/>
          <w:szCs w:val="28"/>
        </w:rPr>
        <w:t xml:space="preserve"> в стационарных условиях медицинских организаций (реабилитационных центров, отделений реабилитации), в ранний восстановительный период течения заболевания, поздний реабилитационный период, период остаточных явлений течения заболевания.</w:t>
      </w:r>
    </w:p>
    <w:p w:rsidR="006D6F66" w:rsidRDefault="00883B24" w:rsidP="006D6F66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02A52">
        <w:rPr>
          <w:rFonts w:ascii="Times New Roman" w:hAnsi="Times New Roman" w:cs="Times New Roman"/>
          <w:sz w:val="28"/>
          <w:szCs w:val="28"/>
        </w:rPr>
        <w:t xml:space="preserve"> этап реабилитации – реабилитация в ранний и поздний реабилитационный периоды, период остаточных явлений течения заболевания в отделениях (кабинетах) реабилитации, физиотерапии, лечебной физкультуры, рефлексотерапии, мануальной терапии, психотерапии, медицинской психологии, кабинетах логопеда (учителя-дефектолога), оказывающих медицинскую помощь в амбулаторных условиях, </w:t>
      </w:r>
      <w:r w:rsidR="006D6F66">
        <w:rPr>
          <w:rFonts w:ascii="Times New Roman" w:hAnsi="Times New Roman" w:cs="Times New Roman"/>
          <w:sz w:val="28"/>
          <w:szCs w:val="28"/>
        </w:rPr>
        <w:t xml:space="preserve">дневных стационарах, </w:t>
      </w:r>
      <w:r w:rsidR="006D6F66" w:rsidRPr="00FB01A6">
        <w:rPr>
          <w:rFonts w:ascii="Times New Roman" w:hAnsi="Times New Roman" w:cs="Times New Roman"/>
          <w:sz w:val="28"/>
          <w:szCs w:val="28"/>
        </w:rPr>
        <w:t>а также выездными бригадами на дому</w:t>
      </w:r>
      <w:r w:rsidR="006D6F66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6D6F66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6D6F66">
        <w:rPr>
          <w:rFonts w:ascii="Times New Roman" w:hAnsi="Times New Roman" w:cs="Times New Roman"/>
          <w:sz w:val="28"/>
          <w:szCs w:val="28"/>
        </w:rPr>
        <w:t>. в условиях санаторно-курортных организаций).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</w:rPr>
        <w:lastRenderedPageBreak/>
        <w:t>В случае реабилитации онкологических больных тактика восстановительного лечения и выбор ее методов не привязана к срокам госпитализации.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</w:rPr>
        <w:t>На втором и третьем этапах реабилитации не исключается возможность применения гидротерапии, бальнеотерапии. Без уровня доказательности.</w:t>
      </w:r>
    </w:p>
    <w:p w:rsidR="00883B24" w:rsidRPr="00065356" w:rsidRDefault="00883B24" w:rsidP="00883B24">
      <w:pPr>
        <w:rPr>
          <w:rFonts w:ascii="Times New Roman" w:hAnsi="Times New Roman" w:cs="Times New Roman"/>
          <w:sz w:val="28"/>
          <w:szCs w:val="28"/>
        </w:rPr>
      </w:pPr>
    </w:p>
    <w:p w:rsidR="00883B24" w:rsidRPr="00002A52" w:rsidRDefault="00883B24" w:rsidP="00883B24">
      <w:pPr>
        <w:rPr>
          <w:rFonts w:ascii="Times New Roman" w:hAnsi="Times New Roman" w:cs="Times New Roman"/>
          <w:b/>
          <w:sz w:val="28"/>
          <w:szCs w:val="28"/>
        </w:rPr>
      </w:pPr>
      <w:r w:rsidRPr="00002A52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002A52">
        <w:rPr>
          <w:rFonts w:ascii="Times New Roman" w:hAnsi="Times New Roman" w:cs="Times New Roman"/>
          <w:b/>
          <w:sz w:val="28"/>
          <w:szCs w:val="28"/>
        </w:rPr>
        <w:t>) ПРЕДРЕАБИЛИТАЦИЯ</w:t>
      </w:r>
    </w:p>
    <w:p w:rsidR="00644993" w:rsidRDefault="00BE175F" w:rsidP="00644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пререабилитации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значительно ускоряет функциональное восстановление, сокращает сроки пребывания в стационаре после операции и снижает частоту развития осложнений и летальных исходов на фоне лечения онкологического заболевания.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Преабилитация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включает в себя физическую подготовку (ЛФК), психологическую и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нутритивную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поддержку, информирование больных. </w:t>
      </w:r>
      <w:r w:rsidRPr="00BE175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>1</w:t>
      </w:r>
      <w:r w:rsidRPr="00BE175F">
        <w:rPr>
          <w:rFonts w:ascii="Times New Roman" w:hAnsi="Times New Roman" w:cs="Times New Roman"/>
          <w:sz w:val="28"/>
          <w:szCs w:val="28"/>
        </w:rPr>
        <w:t>].</w:t>
      </w:r>
      <w:r w:rsidR="00644993">
        <w:rPr>
          <w:rFonts w:ascii="Times New Roman" w:hAnsi="Times New Roman" w:cs="Times New Roman"/>
          <w:sz w:val="28"/>
          <w:szCs w:val="28"/>
        </w:rPr>
        <w:t xml:space="preserve"> </w:t>
      </w:r>
      <w:r w:rsidR="00644993" w:rsidRPr="00644993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proofErr w:type="gramStart"/>
      <w:r w:rsidR="00644993" w:rsidRPr="00644993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644993" w:rsidRPr="0064499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644993" w:rsidRPr="00644993">
        <w:rPr>
          <w:rFonts w:ascii="Times New Roman" w:hAnsi="Times New Roman" w:cs="Times New Roman"/>
          <w:sz w:val="28"/>
          <w:szCs w:val="28"/>
        </w:rPr>
        <w:t>)</w:t>
      </w:r>
    </w:p>
    <w:p w:rsidR="00BE175F" w:rsidRDefault="00BE175F" w:rsidP="00644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 xml:space="preserve">Большинству больных показано занятие лечебной физкультурой, в особенности тем из них, у которых имеется выраженная мышечная слабость и высокая утомляемость. Физическая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пререабилитация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>, как правило, состоит из аэробной нагрузки средней интенсивности, которая улучшает толерантность к физическим нагрузкам, улучшает качество жизни и увеличивает тонус мышц.</w:t>
      </w:r>
      <w:r w:rsidR="00644993">
        <w:rPr>
          <w:rFonts w:ascii="Times New Roman" w:hAnsi="Times New Roman" w:cs="Times New Roman"/>
          <w:sz w:val="28"/>
          <w:szCs w:val="28"/>
        </w:rPr>
        <w:t xml:space="preserve">[2] </w:t>
      </w:r>
      <w:r w:rsidRPr="00BE175F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proofErr w:type="gramStart"/>
      <w:r w:rsidRPr="00BE175F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E175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>).</w:t>
      </w:r>
    </w:p>
    <w:p w:rsidR="00BE175F" w:rsidRPr="00BE175F" w:rsidRDefault="00BE175F" w:rsidP="00644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 xml:space="preserve">Проведение лечебной физкультуры на предоперационном этапе уменьшает общее число осложнений в послеоперационном периоде, снижает частоту </w:t>
      </w:r>
      <w:r w:rsidR="00644993">
        <w:rPr>
          <w:rFonts w:ascii="Times New Roman" w:hAnsi="Times New Roman" w:cs="Times New Roman"/>
          <w:sz w:val="28"/>
          <w:szCs w:val="28"/>
        </w:rPr>
        <w:t xml:space="preserve">развития </w:t>
      </w:r>
      <w:proofErr w:type="spellStart"/>
      <w:r w:rsidR="00644993">
        <w:rPr>
          <w:rFonts w:ascii="Times New Roman" w:hAnsi="Times New Roman" w:cs="Times New Roman"/>
          <w:sz w:val="28"/>
          <w:szCs w:val="28"/>
        </w:rPr>
        <w:t>лимфедемы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. </w:t>
      </w:r>
      <w:r w:rsidRPr="00644993">
        <w:rPr>
          <w:rFonts w:ascii="Times New Roman" w:hAnsi="Times New Roman" w:cs="Times New Roman"/>
          <w:sz w:val="28"/>
          <w:szCs w:val="28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 xml:space="preserve">3]  </w:t>
      </w:r>
      <w:r w:rsidRPr="00BE175F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-B (уровень достоверности доказательств –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>).</w:t>
      </w:r>
    </w:p>
    <w:p w:rsidR="00BE175F" w:rsidRPr="00BE175F" w:rsidRDefault="00BE175F" w:rsidP="00BE17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lastRenderedPageBreak/>
        <w:t>Программы профилактической гимнастики и обучение тактике глотания до начала лечения может уменьшить нарушения глотания при проведении компле</w:t>
      </w:r>
      <w:r w:rsidR="00644993">
        <w:rPr>
          <w:rFonts w:ascii="Times New Roman" w:hAnsi="Times New Roman" w:cs="Times New Roman"/>
          <w:sz w:val="28"/>
          <w:szCs w:val="28"/>
        </w:rPr>
        <w:t>ксной противоопухолевой терапии</w:t>
      </w:r>
      <w:r w:rsidRPr="00BE175F">
        <w:rPr>
          <w:rFonts w:ascii="Times New Roman" w:hAnsi="Times New Roman" w:cs="Times New Roman"/>
          <w:sz w:val="28"/>
          <w:szCs w:val="28"/>
        </w:rPr>
        <w:t xml:space="preserve"> </w:t>
      </w:r>
      <w:r w:rsidRPr="00644993">
        <w:rPr>
          <w:rFonts w:ascii="Times New Roman" w:hAnsi="Times New Roman" w:cs="Times New Roman"/>
          <w:sz w:val="28"/>
          <w:szCs w:val="28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>4</w:t>
      </w:r>
      <w:r w:rsidRPr="00BE175F">
        <w:rPr>
          <w:rFonts w:ascii="Times New Roman" w:hAnsi="Times New Roman" w:cs="Times New Roman"/>
          <w:sz w:val="28"/>
          <w:szCs w:val="28"/>
        </w:rPr>
        <w:t>]</w:t>
      </w:r>
      <w:r w:rsidR="00644993">
        <w:rPr>
          <w:rFonts w:ascii="Times New Roman" w:hAnsi="Times New Roman" w:cs="Times New Roman"/>
          <w:sz w:val="28"/>
          <w:szCs w:val="28"/>
        </w:rPr>
        <w:t xml:space="preserve">. </w:t>
      </w:r>
      <w:r w:rsidRPr="00BE175F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B (уровень достоверности доказательств –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BE175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E175F">
        <w:rPr>
          <w:rFonts w:ascii="Times New Roman" w:hAnsi="Times New Roman" w:cs="Times New Roman"/>
          <w:sz w:val="28"/>
          <w:szCs w:val="28"/>
        </w:rPr>
        <w:t>).</w:t>
      </w:r>
    </w:p>
    <w:p w:rsidR="00BE175F" w:rsidRPr="00BE175F" w:rsidRDefault="00644993" w:rsidP="00BE17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Рекомендовано</w:t>
      </w:r>
      <w:r w:rsidR="00BE175F" w:rsidRPr="00BE1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75F" w:rsidRPr="00BE175F">
        <w:rPr>
          <w:rFonts w:ascii="Times New Roman" w:hAnsi="Times New Roman" w:cs="Times New Roman"/>
          <w:sz w:val="28"/>
          <w:szCs w:val="28"/>
        </w:rPr>
        <w:t>мониторирование</w:t>
      </w:r>
      <w:proofErr w:type="spellEnd"/>
      <w:r w:rsidR="00BE175F" w:rsidRPr="00BE175F">
        <w:rPr>
          <w:rFonts w:ascii="Times New Roman" w:hAnsi="Times New Roman" w:cs="Times New Roman"/>
          <w:sz w:val="28"/>
          <w:szCs w:val="28"/>
        </w:rPr>
        <w:t xml:space="preserve"> питательного статуса у пациентов, которые имеют достоверную потерю массы тела (5% от исходной массы тела за предыдущий месяц или 10% от исходной массы тела за предшествующие 6 месяцев), а также при нарушении функции глотания вследствие болевого синдрома или опухолевого поражения. Таким больным необходимо проведение </w:t>
      </w:r>
      <w:proofErr w:type="spellStart"/>
      <w:r w:rsidR="00BE175F" w:rsidRPr="00BE175F">
        <w:rPr>
          <w:rFonts w:ascii="Times New Roman" w:hAnsi="Times New Roman" w:cs="Times New Roman"/>
          <w:sz w:val="28"/>
          <w:szCs w:val="28"/>
        </w:rPr>
        <w:t>нутритивной</w:t>
      </w:r>
      <w:proofErr w:type="spellEnd"/>
      <w:r w:rsidR="00BE175F" w:rsidRPr="00BE175F">
        <w:rPr>
          <w:rFonts w:ascii="Times New Roman" w:hAnsi="Times New Roman" w:cs="Times New Roman"/>
          <w:sz w:val="28"/>
          <w:szCs w:val="28"/>
        </w:rPr>
        <w:t xml:space="preserve"> поддержки. Предпочтительный способ – пероральное питание (</w:t>
      </w:r>
      <w:proofErr w:type="spellStart"/>
      <w:r w:rsidR="00BE175F" w:rsidRPr="00BE175F">
        <w:rPr>
          <w:rFonts w:ascii="Times New Roman" w:hAnsi="Times New Roman" w:cs="Times New Roman"/>
          <w:sz w:val="28"/>
          <w:szCs w:val="28"/>
        </w:rPr>
        <w:t>сиппинг</w:t>
      </w:r>
      <w:proofErr w:type="spellEnd"/>
      <w:r w:rsidR="00BE175F" w:rsidRPr="00BE175F">
        <w:rPr>
          <w:rFonts w:ascii="Times New Roman" w:hAnsi="Times New Roman" w:cs="Times New Roman"/>
          <w:sz w:val="28"/>
          <w:szCs w:val="28"/>
        </w:rPr>
        <w:t xml:space="preserve">). При невозможности или неадекватности перорального питания необходима установка </w:t>
      </w:r>
      <w:proofErr w:type="spellStart"/>
      <w:r w:rsidR="00BE175F" w:rsidRPr="00BE175F">
        <w:rPr>
          <w:rFonts w:ascii="Times New Roman" w:hAnsi="Times New Roman" w:cs="Times New Roman"/>
          <w:sz w:val="28"/>
          <w:szCs w:val="28"/>
        </w:rPr>
        <w:t>назогастрального</w:t>
      </w:r>
      <w:proofErr w:type="spellEnd"/>
      <w:r w:rsidR="00BE175F" w:rsidRPr="00BE175F">
        <w:rPr>
          <w:rFonts w:ascii="Times New Roman" w:hAnsi="Times New Roman" w:cs="Times New Roman"/>
          <w:sz w:val="28"/>
          <w:szCs w:val="28"/>
        </w:rPr>
        <w:t xml:space="preserve"> зонда или наложение временной </w:t>
      </w:r>
      <w:proofErr w:type="spellStart"/>
      <w:r w:rsidR="00BE175F" w:rsidRPr="00BE175F">
        <w:rPr>
          <w:rFonts w:ascii="Times New Roman" w:hAnsi="Times New Roman" w:cs="Times New Roman"/>
          <w:sz w:val="28"/>
          <w:szCs w:val="28"/>
        </w:rPr>
        <w:t>чрескожной</w:t>
      </w:r>
      <w:proofErr w:type="spellEnd"/>
      <w:r w:rsidR="00BE175F" w:rsidRPr="00BE175F">
        <w:rPr>
          <w:rFonts w:ascii="Times New Roman" w:hAnsi="Times New Roman" w:cs="Times New Roman"/>
          <w:sz w:val="28"/>
          <w:szCs w:val="28"/>
        </w:rPr>
        <w:t xml:space="preserve"> (перкутанной) эндоскопической </w:t>
      </w:r>
      <w:proofErr w:type="spellStart"/>
      <w:r w:rsidR="00BE175F" w:rsidRPr="00BE175F">
        <w:rPr>
          <w:rFonts w:ascii="Times New Roman" w:hAnsi="Times New Roman" w:cs="Times New Roman"/>
          <w:sz w:val="28"/>
          <w:szCs w:val="28"/>
        </w:rPr>
        <w:t>гастростомы</w:t>
      </w:r>
      <w:proofErr w:type="spellEnd"/>
      <w:r w:rsidR="00BE175F" w:rsidRPr="00BE175F">
        <w:rPr>
          <w:rFonts w:ascii="Times New Roman" w:hAnsi="Times New Roman" w:cs="Times New Roman"/>
          <w:sz w:val="28"/>
          <w:szCs w:val="28"/>
        </w:rPr>
        <w:t xml:space="preserve"> (ПЭГ). При невозможности использования </w:t>
      </w:r>
      <w:proofErr w:type="spellStart"/>
      <w:r w:rsidR="00BE175F" w:rsidRPr="00BE175F">
        <w:rPr>
          <w:rFonts w:ascii="Times New Roman" w:hAnsi="Times New Roman" w:cs="Times New Roman"/>
          <w:sz w:val="28"/>
          <w:szCs w:val="28"/>
        </w:rPr>
        <w:t>энтерального</w:t>
      </w:r>
      <w:proofErr w:type="spellEnd"/>
      <w:r w:rsidR="00BE175F" w:rsidRPr="00BE175F">
        <w:rPr>
          <w:rFonts w:ascii="Times New Roman" w:hAnsi="Times New Roman" w:cs="Times New Roman"/>
          <w:sz w:val="28"/>
          <w:szCs w:val="28"/>
        </w:rPr>
        <w:t xml:space="preserve"> питания показано проведение парентерального питания. Калорийность рациона должна составлять 25-30 ккал/кг массы тела в сутки, доза белка – 1,0-1,5 г/кг массы тела в сутки. Необходимо восполнение суточной потребности в витаминах и микроэлементах. Предпочтительнее использовать готовые смеси, обогащенные белком и омега-3 жирными кислотами. Их использование достоверно снижает частоту инфекционных осложнений в послеоперационном периоде. </w:t>
      </w:r>
    </w:p>
    <w:p w:rsidR="00BE175F" w:rsidRPr="00BE175F" w:rsidRDefault="00BE175F" w:rsidP="00BE17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 xml:space="preserve">Профилактическая установка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назогастрального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зонда или ПЭГ не рекомендована при нормальном питательном статусе, незначительной потере массы тела, отсутствии обструкции дыхательных путей, тяжелой дисфагии. Однако эти больные нуждаются в последующем мониторинге калорийности рациона и оценке динамики массы тела на протяжении всей противоопухолевой терапии. При необходимости во время противоопухолевого лечения или после его окончания может быть </w:t>
      </w:r>
      <w:proofErr w:type="gramStart"/>
      <w:r w:rsidRPr="00BE175F">
        <w:rPr>
          <w:rFonts w:ascii="Times New Roman" w:hAnsi="Times New Roman" w:cs="Times New Roman"/>
          <w:sz w:val="28"/>
          <w:szCs w:val="28"/>
        </w:rPr>
        <w:t>установлена</w:t>
      </w:r>
      <w:proofErr w:type="gramEnd"/>
      <w:r w:rsidRPr="00BE175F">
        <w:rPr>
          <w:rFonts w:ascii="Times New Roman" w:hAnsi="Times New Roman" w:cs="Times New Roman"/>
          <w:sz w:val="28"/>
          <w:szCs w:val="28"/>
        </w:rPr>
        <w:t xml:space="preserve"> временная ПЭГ или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назогастральный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зонд. </w:t>
      </w:r>
    </w:p>
    <w:p w:rsidR="00BE175F" w:rsidRPr="00BE175F" w:rsidRDefault="00BE175F" w:rsidP="00BE17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BE175F">
        <w:rPr>
          <w:rFonts w:ascii="Times New Roman" w:hAnsi="Times New Roman" w:cs="Times New Roman"/>
          <w:sz w:val="28"/>
          <w:szCs w:val="28"/>
        </w:rPr>
        <w:t xml:space="preserve">Показаниями для профилактической установки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назогастрального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зонда или наложения ПЭГ являются: 1) достоверная значительная потеря массы тела (5% от исходной массы тела за предыдущий месяц или 10% от исходной массы тела за предшествующие 6 месяцев); 2) имеющаяся дегидратация, дисфагия, анорексия, болевой синдром, который ограничивает способность больного достаточно питаться или пить;</w:t>
      </w:r>
      <w:proofErr w:type="gramEnd"/>
      <w:r w:rsidRPr="00BE175F">
        <w:rPr>
          <w:rFonts w:ascii="Times New Roman" w:hAnsi="Times New Roman" w:cs="Times New Roman"/>
          <w:sz w:val="28"/>
          <w:szCs w:val="28"/>
        </w:rPr>
        <w:t xml:space="preserve"> 3)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знáчимые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коморбидные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морбидные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</w:t>
      </w:r>
      <w:r w:rsidRPr="00BE175F">
        <w:rPr>
          <w:rFonts w:ascii="Times New Roman" w:hAnsi="Times New Roman" w:cs="Times New Roman"/>
          <w:sz w:val="28"/>
          <w:szCs w:val="28"/>
        </w:rPr>
        <w:lastRenderedPageBreak/>
        <w:t xml:space="preserve">состояния, которые могут усугубляться обезвоживанием,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гипокалорийным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рационом, невозможностью проглатывания необходимых медикаментов; 4) аспирационный синдром, особенно у пожилых людей или у пациентов, имеющих сердечно-легочную недостаточность; 5) пациенты, у которых вероятны длительные нарушения глотания, в том числе ожидаемые при проведении облучения. Однако следует учитывать и другие факторы риска нарушения функции глотания.</w:t>
      </w:r>
    </w:p>
    <w:p w:rsidR="00BE175F" w:rsidRPr="00BE175F" w:rsidRDefault="00BE175F" w:rsidP="00BE17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>Для поддержания функции глотания во время и после проведения противоопухолевой терапии при сохраненном акте глотания и отсутствия опасности аспирации показано естественное питание. Следует учитывать, что изменения функции глотания могут появиться в течение всего времени лечения и после его окончания и должны быть отслежены в течение всей жизни пациента.</w:t>
      </w:r>
    </w:p>
    <w:p w:rsidR="00BE175F" w:rsidRPr="00BE175F" w:rsidRDefault="00BE175F" w:rsidP="00BE17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Нутритивно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>-метаболическая реабилитация показана при наличии хотя бы одного из указанных факторов: непреднамеренном снижении веса за последние 3 месяца (потеря 10% и более), индексе массы тела менее 18,5 кг/м</w:t>
      </w:r>
      <w:proofErr w:type="gramStart"/>
      <w:r w:rsidRPr="00BE175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BE175F">
        <w:rPr>
          <w:rFonts w:ascii="Times New Roman" w:hAnsi="Times New Roman" w:cs="Times New Roman"/>
          <w:sz w:val="28"/>
          <w:szCs w:val="28"/>
        </w:rPr>
        <w:t>, ухудшении возможности приема пищи за последнюю неделю, низкого объема пищи (калорийность менее 1500 ккал/сутки). Предпочтительный способ – пероральное питание (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сиппинг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). При невозможности или неадекватности перорального питания необходима установка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назогастрального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зонда или наложение временной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гастростомы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. Калорийность рациона должна составлять 25-30 ккал/кг массы тела в сутки, доза белка – 1,0-1,5 г/кг массы тела в сутки. Необходимо восполнение суточной потребности в витаминах и микроэлементах. Предпочтительнее использовать готовые смеси,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обогащенныебелком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>, омега-3 жирными кислотами, аргинином и РНК. Их использование достоверно снижает частоту инфекционных осложнени</w:t>
      </w:r>
      <w:r w:rsidR="00644993">
        <w:rPr>
          <w:rFonts w:ascii="Times New Roman" w:hAnsi="Times New Roman" w:cs="Times New Roman"/>
          <w:sz w:val="28"/>
          <w:szCs w:val="28"/>
        </w:rPr>
        <w:t xml:space="preserve">й в послеоперационном периоде </w:t>
      </w:r>
      <w:r w:rsidRPr="00BE175F">
        <w:rPr>
          <w:rFonts w:ascii="Times New Roman" w:hAnsi="Times New Roman" w:cs="Times New Roman"/>
          <w:sz w:val="28"/>
          <w:szCs w:val="28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>5</w:t>
      </w:r>
      <w:r w:rsidRPr="00644993">
        <w:rPr>
          <w:rFonts w:ascii="Times New Roman" w:hAnsi="Times New Roman" w:cs="Times New Roman"/>
          <w:sz w:val="28"/>
          <w:szCs w:val="28"/>
        </w:rPr>
        <w:t>]</w:t>
      </w:r>
      <w:r w:rsidR="00644993">
        <w:rPr>
          <w:rFonts w:ascii="Times New Roman" w:hAnsi="Times New Roman" w:cs="Times New Roman"/>
          <w:sz w:val="28"/>
          <w:szCs w:val="28"/>
        </w:rPr>
        <w:t>.</w:t>
      </w:r>
      <w:r w:rsidRPr="00BE175F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BE175F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BE175F">
        <w:rPr>
          <w:rFonts w:ascii="Times New Roman" w:hAnsi="Times New Roman" w:cs="Times New Roman"/>
          <w:sz w:val="28"/>
          <w:szCs w:val="28"/>
        </w:rPr>
        <w:t>).</w:t>
      </w:r>
    </w:p>
    <w:p w:rsidR="00BE175F" w:rsidRPr="00BE175F" w:rsidRDefault="00BE175F" w:rsidP="00BE17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E175F">
        <w:rPr>
          <w:rFonts w:ascii="Times New Roman" w:hAnsi="Times New Roman" w:cs="Times New Roman"/>
          <w:sz w:val="28"/>
          <w:szCs w:val="28"/>
        </w:rPr>
        <w:t>Нутритивная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 xml:space="preserve"> поддержка, проводимая на амбулаторном этапе и продолженная в течение всего периода обследования, вплоть до проведения оперативного вмешательства, </w:t>
      </w:r>
      <w:proofErr w:type="gramStart"/>
      <w:r w:rsidRPr="00BE175F">
        <w:rPr>
          <w:rFonts w:ascii="Times New Roman" w:hAnsi="Times New Roman" w:cs="Times New Roman"/>
          <w:sz w:val="28"/>
          <w:szCs w:val="28"/>
        </w:rPr>
        <w:t>снижает число</w:t>
      </w:r>
      <w:proofErr w:type="gramEnd"/>
      <w:r w:rsidRPr="00BE175F">
        <w:rPr>
          <w:rFonts w:ascii="Times New Roman" w:hAnsi="Times New Roman" w:cs="Times New Roman"/>
          <w:sz w:val="28"/>
          <w:szCs w:val="28"/>
        </w:rPr>
        <w:t xml:space="preserve"> послеоперационных осложнений и длительность госпитализации. При сохранении перорального приема пищи предпочтение отдается высокобелковым готовым смесям, суточная дозировка не менее 400 мл в сутки. При невозможности перорального приема пищи проводят </w:t>
      </w:r>
      <w:r w:rsidRPr="00BE175F">
        <w:rPr>
          <w:rFonts w:ascii="Times New Roman" w:hAnsi="Times New Roman" w:cs="Times New Roman"/>
          <w:sz w:val="28"/>
          <w:szCs w:val="28"/>
        </w:rPr>
        <w:lastRenderedPageBreak/>
        <w:t xml:space="preserve">зондовое, парентеральное или смешанное питание </w:t>
      </w:r>
      <w:r w:rsidR="00644993">
        <w:rPr>
          <w:rFonts w:ascii="Times New Roman" w:hAnsi="Times New Roman" w:cs="Times New Roman"/>
          <w:sz w:val="28"/>
          <w:szCs w:val="28"/>
        </w:rPr>
        <w:t xml:space="preserve">согласно расчетной потребности </w:t>
      </w:r>
      <w:r w:rsidRPr="00BE175F">
        <w:rPr>
          <w:rFonts w:ascii="Times New Roman" w:hAnsi="Times New Roman" w:cs="Times New Roman"/>
          <w:sz w:val="28"/>
          <w:szCs w:val="28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>6,7</w:t>
      </w:r>
      <w:r w:rsidRPr="00644993">
        <w:rPr>
          <w:rFonts w:ascii="Times New Roman" w:hAnsi="Times New Roman" w:cs="Times New Roman"/>
          <w:sz w:val="28"/>
          <w:szCs w:val="28"/>
        </w:rPr>
        <w:t>]</w:t>
      </w:r>
      <w:r w:rsidR="00644993">
        <w:rPr>
          <w:rFonts w:ascii="Times New Roman" w:hAnsi="Times New Roman" w:cs="Times New Roman"/>
          <w:sz w:val="28"/>
          <w:szCs w:val="28"/>
        </w:rPr>
        <w:t xml:space="preserve">. </w:t>
      </w:r>
      <w:r w:rsidRPr="00BE175F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>).</w:t>
      </w:r>
    </w:p>
    <w:p w:rsidR="00BE175F" w:rsidRDefault="00BE175F" w:rsidP="00644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 xml:space="preserve">Адекватная питательная поддержка в течение, как минимум, 7 суток </w:t>
      </w:r>
      <w:proofErr w:type="gramStart"/>
      <w:r w:rsidRPr="00BE175F">
        <w:rPr>
          <w:rFonts w:ascii="Times New Roman" w:hAnsi="Times New Roman" w:cs="Times New Roman"/>
          <w:sz w:val="28"/>
          <w:szCs w:val="28"/>
        </w:rPr>
        <w:t>снижает число</w:t>
      </w:r>
      <w:proofErr w:type="gramEnd"/>
      <w:r w:rsidRPr="00BE175F">
        <w:rPr>
          <w:rFonts w:ascii="Times New Roman" w:hAnsi="Times New Roman" w:cs="Times New Roman"/>
          <w:sz w:val="28"/>
          <w:szCs w:val="28"/>
        </w:rPr>
        <w:t xml:space="preserve"> послеоперационных осложнений и длите</w:t>
      </w:r>
      <w:r w:rsidR="00644993">
        <w:rPr>
          <w:rFonts w:ascii="Times New Roman" w:hAnsi="Times New Roman" w:cs="Times New Roman"/>
          <w:sz w:val="28"/>
          <w:szCs w:val="28"/>
        </w:rPr>
        <w:t>льность пребывания в стационаре</w:t>
      </w:r>
      <w:r w:rsidRPr="00BE175F">
        <w:rPr>
          <w:rFonts w:ascii="Times New Roman" w:hAnsi="Times New Roman" w:cs="Times New Roman"/>
          <w:sz w:val="28"/>
          <w:szCs w:val="28"/>
        </w:rPr>
        <w:t xml:space="preserve"> </w:t>
      </w:r>
      <w:r w:rsidRPr="00644993">
        <w:rPr>
          <w:rFonts w:ascii="Times New Roman" w:hAnsi="Times New Roman" w:cs="Times New Roman"/>
          <w:sz w:val="28"/>
          <w:szCs w:val="28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>8</w:t>
      </w:r>
      <w:r w:rsidRPr="00BE175F">
        <w:rPr>
          <w:rFonts w:ascii="Times New Roman" w:hAnsi="Times New Roman" w:cs="Times New Roman"/>
          <w:sz w:val="28"/>
          <w:szCs w:val="28"/>
        </w:rPr>
        <w:t>]</w:t>
      </w:r>
      <w:r w:rsidR="00644993">
        <w:rPr>
          <w:rFonts w:ascii="Times New Roman" w:hAnsi="Times New Roman" w:cs="Times New Roman"/>
          <w:sz w:val="28"/>
          <w:szCs w:val="28"/>
        </w:rPr>
        <w:t xml:space="preserve">. </w:t>
      </w:r>
      <w:r w:rsidRPr="00BE175F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B (уровень достоверности доказательств – </w:t>
      </w:r>
      <w:proofErr w:type="spellStart"/>
      <w:r w:rsidRPr="00BE175F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BE175F">
        <w:rPr>
          <w:rFonts w:ascii="Times New Roman" w:hAnsi="Times New Roman" w:cs="Times New Roman"/>
          <w:sz w:val="28"/>
          <w:szCs w:val="28"/>
        </w:rPr>
        <w:t>).</w:t>
      </w:r>
    </w:p>
    <w:p w:rsidR="00883B24" w:rsidRPr="00883B24" w:rsidRDefault="00883B24" w:rsidP="00883B2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3B24">
        <w:rPr>
          <w:rFonts w:ascii="Times New Roman" w:hAnsi="Times New Roman" w:cs="Times New Roman"/>
          <w:b/>
          <w:sz w:val="28"/>
          <w:szCs w:val="28"/>
        </w:rPr>
        <w:t>IV) ХИРУРГИЧЕСКОЕ ЛЕЧЕНИЕ</w:t>
      </w:r>
      <w:proofErr w:type="gramEnd"/>
    </w:p>
    <w:p w:rsidR="00883B24" w:rsidRPr="00883B24" w:rsidRDefault="00883B24" w:rsidP="00883B2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3B24">
        <w:rPr>
          <w:rFonts w:ascii="Times New Roman" w:hAnsi="Times New Roman" w:cs="Times New Roman"/>
          <w:b/>
          <w:sz w:val="28"/>
          <w:szCs w:val="28"/>
        </w:rPr>
        <w:t>IVA) ПЕРВЫЙ ЭТАП РЕАБИЛИТАЦИИ</w:t>
      </w:r>
      <w:proofErr w:type="gramEnd"/>
    </w:p>
    <w:p w:rsidR="00794711" w:rsidRDefault="00794711" w:rsidP="0079471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94711">
        <w:rPr>
          <w:rFonts w:ascii="Times New Roman" w:hAnsi="Times New Roman" w:cs="Times New Roman"/>
          <w:sz w:val="28"/>
          <w:szCs w:val="28"/>
        </w:rPr>
        <w:t xml:space="preserve">Протоколы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rehabilitation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 («быстрый путь») и ERAS (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Enhanced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surgery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– ускоренное восстановление после операции), в которые входит комплексное обезболивание, раннее начало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энтерального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 xml:space="preserve"> питания, отказ от рутинного использования катетеров и дренажей, ранняя мобилизация пациентов с первых-вторых послеоперационных суток (активизация и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>), является безопасным, уменьшает длительность пребывания в стационаре, снижает число нехирургических осложнений и не увеличивает общее количество послеоперационных осложнений</w:t>
      </w:r>
      <w:proofErr w:type="gramEnd"/>
      <w:r w:rsidRPr="00794711">
        <w:rPr>
          <w:rFonts w:ascii="Times New Roman" w:hAnsi="Times New Roman" w:cs="Times New Roman"/>
          <w:sz w:val="28"/>
          <w:szCs w:val="28"/>
        </w:rPr>
        <w:t xml:space="preserve">. </w:t>
      </w:r>
      <w:r w:rsidRPr="0064499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644993">
        <w:rPr>
          <w:rFonts w:ascii="Times New Roman" w:hAnsi="Times New Roman" w:cs="Times New Roman"/>
          <w:sz w:val="28"/>
          <w:szCs w:val="28"/>
        </w:rPr>
        <w:t>9, 10</w:t>
      </w:r>
      <w:r w:rsidRPr="00794711">
        <w:rPr>
          <w:rFonts w:ascii="Times New Roman" w:hAnsi="Times New Roman" w:cs="Times New Roman"/>
          <w:sz w:val="28"/>
          <w:szCs w:val="28"/>
        </w:rPr>
        <w:t>]</w:t>
      </w:r>
      <w:r w:rsidR="0064499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44993">
        <w:rPr>
          <w:rFonts w:ascii="Times New Roman" w:hAnsi="Times New Roman" w:cs="Times New Roman"/>
          <w:sz w:val="28"/>
          <w:szCs w:val="28"/>
        </w:rPr>
        <w:t xml:space="preserve"> </w:t>
      </w:r>
      <w:r w:rsidRPr="00794711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>)</w:t>
      </w:r>
    </w:p>
    <w:p w:rsidR="00794711" w:rsidRDefault="00794711" w:rsidP="0079471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4711">
        <w:rPr>
          <w:rFonts w:ascii="Times New Roman" w:hAnsi="Times New Roman" w:cs="Times New Roman"/>
          <w:sz w:val="28"/>
          <w:szCs w:val="28"/>
        </w:rPr>
        <w:t xml:space="preserve">Дыхательная гимнастика в совокупности с ранней активизацией снижает длительность пребывания в стационаре и число послеоперационных осложнений </w:t>
      </w:r>
      <w:r w:rsidRPr="00644993">
        <w:rPr>
          <w:rFonts w:ascii="Times New Roman" w:hAnsi="Times New Roman" w:cs="Times New Roman"/>
          <w:sz w:val="28"/>
          <w:szCs w:val="28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>11</w:t>
      </w:r>
      <w:r w:rsidRPr="00644993">
        <w:rPr>
          <w:rFonts w:ascii="Times New Roman" w:hAnsi="Times New Roman" w:cs="Times New Roman"/>
          <w:sz w:val="28"/>
          <w:szCs w:val="28"/>
        </w:rPr>
        <w:t>]</w:t>
      </w:r>
      <w:r w:rsidR="00644993">
        <w:rPr>
          <w:rFonts w:ascii="Times New Roman" w:hAnsi="Times New Roman" w:cs="Times New Roman"/>
          <w:sz w:val="28"/>
          <w:szCs w:val="28"/>
        </w:rPr>
        <w:t xml:space="preserve">. </w:t>
      </w:r>
      <w:r w:rsidRPr="00794711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794711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794711">
        <w:rPr>
          <w:rFonts w:ascii="Times New Roman" w:hAnsi="Times New Roman" w:cs="Times New Roman"/>
          <w:sz w:val="28"/>
          <w:szCs w:val="28"/>
        </w:rPr>
        <w:t>).</w:t>
      </w:r>
    </w:p>
    <w:p w:rsidR="00794711" w:rsidRDefault="00077F1B" w:rsidP="00077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F1B">
        <w:rPr>
          <w:rFonts w:ascii="Times New Roman" w:hAnsi="Times New Roman" w:cs="Times New Roman"/>
          <w:sz w:val="28"/>
          <w:szCs w:val="28"/>
        </w:rPr>
        <w:t>Ранняя мобилизация (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, выполнение комплекса ЛФК с аэробной, упражнениями на сопротивление под контролем инструктора) безопасно, не увеличивает число послеоперационных осложнений, улучшает функциональные возможности пациента </w:t>
      </w:r>
      <w:r w:rsidRPr="00644993">
        <w:rPr>
          <w:rFonts w:ascii="Times New Roman" w:hAnsi="Times New Roman" w:cs="Times New Roman"/>
          <w:sz w:val="28"/>
          <w:szCs w:val="28"/>
        </w:rPr>
        <w:t>[</w:t>
      </w:r>
      <w:r w:rsidR="00644993">
        <w:rPr>
          <w:rFonts w:ascii="Times New Roman" w:hAnsi="Times New Roman" w:cs="Times New Roman"/>
          <w:sz w:val="28"/>
          <w:szCs w:val="28"/>
        </w:rPr>
        <w:t>12</w:t>
      </w:r>
      <w:r w:rsidRPr="00644993">
        <w:rPr>
          <w:rFonts w:ascii="Times New Roman" w:hAnsi="Times New Roman" w:cs="Times New Roman"/>
          <w:sz w:val="28"/>
          <w:szCs w:val="28"/>
        </w:rPr>
        <w:t>]</w:t>
      </w:r>
      <w:r w:rsidR="00644993">
        <w:rPr>
          <w:rFonts w:ascii="Times New Roman" w:hAnsi="Times New Roman" w:cs="Times New Roman"/>
          <w:sz w:val="28"/>
          <w:szCs w:val="28"/>
        </w:rPr>
        <w:t xml:space="preserve">. </w:t>
      </w:r>
      <w:r w:rsidRPr="00077F1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>)</w:t>
      </w:r>
    </w:p>
    <w:p w:rsidR="00077F1B" w:rsidRDefault="00077F1B" w:rsidP="00077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F1B">
        <w:rPr>
          <w:rFonts w:ascii="Times New Roman" w:hAnsi="Times New Roman" w:cs="Times New Roman"/>
          <w:sz w:val="28"/>
          <w:szCs w:val="28"/>
        </w:rPr>
        <w:lastRenderedPageBreak/>
        <w:t xml:space="preserve">Купирование болевого синдрома в раннем послеоперационном периоде имеет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мультидисциплинарный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 характер. Сочетание обезболивающей терапии и физиотерапии, ЛФК, лечения положением, методами психологической коррекции,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чрескожной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 электростимуляции и применением акупунктуры дает </w:t>
      </w:r>
      <w:r w:rsidR="00EA5C54">
        <w:rPr>
          <w:rFonts w:ascii="Times New Roman" w:hAnsi="Times New Roman" w:cs="Times New Roman"/>
          <w:sz w:val="28"/>
          <w:szCs w:val="28"/>
        </w:rPr>
        <w:t xml:space="preserve">хорошие результаты </w:t>
      </w:r>
      <w:r w:rsidRPr="00EA5C54">
        <w:rPr>
          <w:rFonts w:ascii="Times New Roman" w:hAnsi="Times New Roman" w:cs="Times New Roman"/>
          <w:sz w:val="28"/>
          <w:szCs w:val="28"/>
        </w:rPr>
        <w:t>[</w:t>
      </w:r>
      <w:r w:rsidR="00EA5C54">
        <w:rPr>
          <w:rFonts w:ascii="Times New Roman" w:hAnsi="Times New Roman" w:cs="Times New Roman"/>
          <w:sz w:val="28"/>
          <w:szCs w:val="28"/>
        </w:rPr>
        <w:t>13</w:t>
      </w:r>
      <w:r w:rsidRPr="00077F1B">
        <w:rPr>
          <w:rFonts w:ascii="Times New Roman" w:hAnsi="Times New Roman" w:cs="Times New Roman"/>
          <w:sz w:val="28"/>
          <w:szCs w:val="28"/>
        </w:rPr>
        <w:t>]</w:t>
      </w:r>
      <w:r w:rsidR="00EA5C54">
        <w:rPr>
          <w:rFonts w:ascii="Times New Roman" w:hAnsi="Times New Roman" w:cs="Times New Roman"/>
          <w:sz w:val="28"/>
          <w:szCs w:val="28"/>
        </w:rPr>
        <w:t xml:space="preserve">. </w:t>
      </w:r>
      <w:r w:rsidRPr="00077F1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>).</w:t>
      </w:r>
    </w:p>
    <w:p w:rsidR="00077F1B" w:rsidRPr="00077F1B" w:rsidRDefault="00077F1B" w:rsidP="00077F1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Массаж в послеоперационном периоде у пациенток,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перененесших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операцию на органах головы и шеи значительно улучшает качество жизни [</w:t>
      </w:r>
      <w:r w:rsidR="00EA5C54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="00EA5C54">
        <w:rPr>
          <w:rFonts w:ascii="Times New Roman" w:hAnsi="Times New Roman" w:cs="Times New Roman"/>
          <w:sz w:val="28"/>
          <w:szCs w:val="28"/>
        </w:rPr>
        <w:t xml:space="preserve"> </w:t>
      </w:r>
      <w:r w:rsidRPr="00EA5C54">
        <w:rPr>
          <w:rFonts w:ascii="Times New Roman" w:hAnsi="Times New Roman" w:cs="Times New Roman"/>
          <w:sz w:val="28"/>
          <w:szCs w:val="28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EA5C54">
        <w:rPr>
          <w:rFonts w:ascii="Times New Roman" w:hAnsi="Times New Roman" w:cs="Times New Roman"/>
          <w:sz w:val="28"/>
          <w:szCs w:val="28"/>
        </w:rPr>
        <w:t xml:space="preserve"> </w:t>
      </w:r>
      <w:r w:rsidR="00EA5C54" w:rsidRPr="00EA5C54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</w:t>
      </w:r>
      <w:r w:rsidR="00EA5C54">
        <w:rPr>
          <w:rFonts w:ascii="Times New Roman" w:hAnsi="Times New Roman" w:cs="Times New Roman"/>
          <w:sz w:val="28"/>
          <w:szCs w:val="28"/>
        </w:rPr>
        <w:t xml:space="preserve">- </w:t>
      </w:r>
      <w:r w:rsidRPr="00077F1B">
        <w:rPr>
          <w:rFonts w:ascii="Times New Roman" w:hAnsi="Times New Roman" w:cs="Times New Roman"/>
          <w:sz w:val="28"/>
          <w:szCs w:val="28"/>
        </w:rPr>
        <w:t xml:space="preserve">В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77F1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77F1B">
        <w:rPr>
          <w:rFonts w:ascii="Times New Roman" w:hAnsi="Times New Roman" w:cs="Times New Roman"/>
          <w:sz w:val="28"/>
          <w:szCs w:val="28"/>
        </w:rPr>
        <w:t>).</w:t>
      </w:r>
    </w:p>
    <w:p w:rsidR="00077F1B" w:rsidRPr="00077F1B" w:rsidRDefault="00077F1B" w:rsidP="00077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F1B">
        <w:rPr>
          <w:rFonts w:ascii="Times New Roman" w:hAnsi="Times New Roman" w:cs="Times New Roman"/>
          <w:sz w:val="28"/>
          <w:szCs w:val="28"/>
        </w:rPr>
        <w:t>В предоперационном периоде и в раннем послеоперационном периоде необходима консультация логопеда, который назначает комплекс специальных упражнений для восстановления функции глотания и обучения больного способности говорить. Для логопедической реабилитации существует ряд ограничений: нельзя проводить активную функциональную тренировку в раннем послеоперационном периоде, на этапе первичного заживления и при возникновении свищей. Недопустимо</w:t>
      </w:r>
      <w:r w:rsidRPr="00EA5C54">
        <w:rPr>
          <w:rFonts w:ascii="Times New Roman" w:hAnsi="Times New Roman" w:cs="Times New Roman"/>
          <w:sz w:val="28"/>
          <w:szCs w:val="28"/>
        </w:rPr>
        <w:t xml:space="preserve"> </w:t>
      </w:r>
      <w:r w:rsidRPr="00077F1B">
        <w:rPr>
          <w:rFonts w:ascii="Times New Roman" w:hAnsi="Times New Roman" w:cs="Times New Roman"/>
          <w:sz w:val="28"/>
          <w:szCs w:val="28"/>
        </w:rPr>
        <w:t>нарушение</w:t>
      </w:r>
      <w:r w:rsidRPr="00EA5C54">
        <w:rPr>
          <w:rFonts w:ascii="Times New Roman" w:hAnsi="Times New Roman" w:cs="Times New Roman"/>
          <w:sz w:val="28"/>
          <w:szCs w:val="28"/>
        </w:rPr>
        <w:t xml:space="preserve"> </w:t>
      </w:r>
      <w:r w:rsidRPr="00077F1B">
        <w:rPr>
          <w:rFonts w:ascii="Times New Roman" w:hAnsi="Times New Roman" w:cs="Times New Roman"/>
          <w:sz w:val="28"/>
          <w:szCs w:val="28"/>
        </w:rPr>
        <w:t>режима</w:t>
      </w:r>
      <w:r w:rsidRPr="00EA5C54">
        <w:rPr>
          <w:rFonts w:ascii="Times New Roman" w:hAnsi="Times New Roman" w:cs="Times New Roman"/>
          <w:sz w:val="28"/>
          <w:szCs w:val="28"/>
        </w:rPr>
        <w:t xml:space="preserve"> </w:t>
      </w:r>
      <w:r w:rsidRPr="00077F1B">
        <w:rPr>
          <w:rFonts w:ascii="Times New Roman" w:hAnsi="Times New Roman" w:cs="Times New Roman"/>
          <w:sz w:val="28"/>
          <w:szCs w:val="28"/>
        </w:rPr>
        <w:t>функциональных</w:t>
      </w:r>
      <w:r w:rsidRPr="00EA5C54">
        <w:rPr>
          <w:rFonts w:ascii="Times New Roman" w:hAnsi="Times New Roman" w:cs="Times New Roman"/>
          <w:sz w:val="28"/>
          <w:szCs w:val="28"/>
        </w:rPr>
        <w:t xml:space="preserve"> </w:t>
      </w:r>
      <w:r w:rsidRPr="00077F1B">
        <w:rPr>
          <w:rFonts w:ascii="Times New Roman" w:hAnsi="Times New Roman" w:cs="Times New Roman"/>
          <w:sz w:val="28"/>
          <w:szCs w:val="28"/>
        </w:rPr>
        <w:t>тренировок</w:t>
      </w:r>
      <w:r w:rsidRPr="00EA5C54">
        <w:rPr>
          <w:rFonts w:ascii="Times New Roman" w:hAnsi="Times New Roman" w:cs="Times New Roman"/>
          <w:sz w:val="28"/>
          <w:szCs w:val="28"/>
        </w:rPr>
        <w:t xml:space="preserve"> [</w:t>
      </w:r>
      <w:r w:rsidR="00EA5C54">
        <w:rPr>
          <w:rFonts w:ascii="Times New Roman" w:hAnsi="Times New Roman" w:cs="Times New Roman"/>
          <w:sz w:val="28"/>
          <w:szCs w:val="28"/>
        </w:rPr>
        <w:t>15</w:t>
      </w:r>
      <w:r w:rsidRPr="00077F1B">
        <w:rPr>
          <w:rFonts w:ascii="Times New Roman" w:hAnsi="Times New Roman" w:cs="Times New Roman"/>
          <w:sz w:val="28"/>
          <w:szCs w:val="28"/>
        </w:rPr>
        <w:t>]</w:t>
      </w:r>
      <w:r w:rsidR="00EA5C54">
        <w:rPr>
          <w:rFonts w:ascii="Times New Roman" w:hAnsi="Times New Roman" w:cs="Times New Roman"/>
          <w:sz w:val="28"/>
          <w:szCs w:val="28"/>
        </w:rPr>
        <w:t xml:space="preserve">. </w:t>
      </w:r>
      <w:r w:rsidR="00EA5C54" w:rsidRPr="00EA5C54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="00EA5C54" w:rsidRPr="00EA5C54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EA5C54" w:rsidRPr="00EA5C54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EA5C54" w:rsidRPr="00EA5C54">
        <w:rPr>
          <w:rFonts w:ascii="Times New Roman" w:hAnsi="Times New Roman" w:cs="Times New Roman"/>
          <w:sz w:val="28"/>
          <w:szCs w:val="28"/>
        </w:rPr>
        <w:t>).</w:t>
      </w:r>
    </w:p>
    <w:p w:rsidR="00077F1B" w:rsidRPr="00077F1B" w:rsidRDefault="00077F1B" w:rsidP="00EA5C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F1B">
        <w:rPr>
          <w:rFonts w:ascii="Times New Roman" w:hAnsi="Times New Roman" w:cs="Times New Roman"/>
          <w:sz w:val="28"/>
          <w:szCs w:val="28"/>
        </w:rPr>
        <w:t>Восстановление функции глотания возможно за счет восстановления двигательной функции сохранных анатомических структур, а также подвижности пересаженных тканей при адекватно выполненной пластике</w:t>
      </w:r>
      <w:proofErr w:type="gramStart"/>
      <w:r w:rsidRPr="00077F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77F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7F1B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077F1B">
        <w:rPr>
          <w:rFonts w:ascii="Times New Roman" w:hAnsi="Times New Roman" w:cs="Times New Roman"/>
          <w:sz w:val="28"/>
          <w:szCs w:val="28"/>
        </w:rPr>
        <w:t xml:space="preserve">ля восстановления функции глотания должны использоваться упражнения на увеличение объема движения и силы мышц и на усиление произвольного контроля над временем и координацией глотка. Важна и постуральная поддержка, т. е. следует найти подходящую позу во время глотка. Дополнительно используются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фонопедические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 техники (например, соскальзывание на фальцет), глотательные маневры (например, глоток с усилием),</w:t>
      </w:r>
      <w:r w:rsidR="00EA5C54">
        <w:rPr>
          <w:rFonts w:ascii="Times New Roman" w:hAnsi="Times New Roman" w:cs="Times New Roman"/>
          <w:sz w:val="28"/>
          <w:szCs w:val="28"/>
        </w:rPr>
        <w:t xml:space="preserve"> подбор текстур для глотания </w:t>
      </w:r>
      <w:r w:rsidRPr="00077F1B">
        <w:rPr>
          <w:rFonts w:ascii="Times New Roman" w:hAnsi="Times New Roman" w:cs="Times New Roman"/>
          <w:sz w:val="28"/>
          <w:szCs w:val="28"/>
        </w:rPr>
        <w:t xml:space="preserve"> </w:t>
      </w:r>
      <w:r w:rsidRPr="00EA5C54">
        <w:rPr>
          <w:rFonts w:ascii="Times New Roman" w:hAnsi="Times New Roman" w:cs="Times New Roman"/>
          <w:sz w:val="28"/>
          <w:szCs w:val="28"/>
        </w:rPr>
        <w:t>[</w:t>
      </w:r>
      <w:r w:rsidR="00EA5C54">
        <w:rPr>
          <w:rFonts w:ascii="Times New Roman" w:hAnsi="Times New Roman" w:cs="Times New Roman"/>
          <w:sz w:val="28"/>
          <w:szCs w:val="28"/>
        </w:rPr>
        <w:t>16, 17</w:t>
      </w:r>
      <w:r w:rsidRPr="00077F1B">
        <w:rPr>
          <w:rFonts w:ascii="Times New Roman" w:hAnsi="Times New Roman" w:cs="Times New Roman"/>
          <w:sz w:val="28"/>
          <w:szCs w:val="28"/>
        </w:rPr>
        <w:t>]</w:t>
      </w:r>
      <w:r w:rsidR="00EA5C54">
        <w:rPr>
          <w:rFonts w:ascii="Times New Roman" w:hAnsi="Times New Roman" w:cs="Times New Roman"/>
          <w:sz w:val="28"/>
          <w:szCs w:val="28"/>
        </w:rPr>
        <w:t xml:space="preserve">. </w:t>
      </w:r>
      <w:r w:rsidRPr="00077F1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IIb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>).</w:t>
      </w:r>
    </w:p>
    <w:p w:rsidR="00077F1B" w:rsidRPr="00077F1B" w:rsidRDefault="00077F1B" w:rsidP="00077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F1B">
        <w:rPr>
          <w:rFonts w:ascii="Times New Roman" w:hAnsi="Times New Roman" w:cs="Times New Roman"/>
          <w:sz w:val="28"/>
          <w:szCs w:val="28"/>
        </w:rPr>
        <w:t xml:space="preserve">Для улучшения функции дыхания, особенно после наложения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трахеостом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, рекомендовано использование координация вдоха и выдоха, совершение вдоха, достаточного для высказывания, поиск оптимального положения тела,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паузация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 и дыхательные упражнения. Работа над дыханием строится по принципу восхождения </w:t>
      </w:r>
      <w:proofErr w:type="gramStart"/>
      <w:r w:rsidRPr="00077F1B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77F1B">
        <w:rPr>
          <w:rFonts w:ascii="Times New Roman" w:hAnsi="Times New Roman" w:cs="Times New Roman"/>
          <w:sz w:val="28"/>
          <w:szCs w:val="28"/>
        </w:rPr>
        <w:t xml:space="preserve"> простого к сложному. </w:t>
      </w:r>
      <w:r w:rsidRPr="00077F1B">
        <w:rPr>
          <w:rFonts w:ascii="Times New Roman" w:hAnsi="Times New Roman" w:cs="Times New Roman"/>
          <w:sz w:val="28"/>
          <w:szCs w:val="28"/>
        </w:rPr>
        <w:lastRenderedPageBreak/>
        <w:t xml:space="preserve">Сначала предлагается сдувать легкие предметы с ладони и стола, отрабатывается последовательность фаз вдоха и выдоха, наращивается фаза выдоха, затем подключается фонационный выдох и также отрабатывается диафрагмальное дыхание. Во время функциональной тренировки выполняются упражнения для всех органов артикуляции: губы, щеки, язык, дно полости рта, твердое небо, мышцы мягкого неба, мышцы глотки и наружные мышцы шеи </w:t>
      </w:r>
      <w:r w:rsidRPr="00EA5C54">
        <w:rPr>
          <w:rFonts w:ascii="Times New Roman" w:hAnsi="Times New Roman" w:cs="Times New Roman"/>
          <w:sz w:val="28"/>
          <w:szCs w:val="28"/>
        </w:rPr>
        <w:t>[</w:t>
      </w:r>
      <w:r w:rsidR="00EA5C54">
        <w:rPr>
          <w:rFonts w:ascii="Times New Roman" w:hAnsi="Times New Roman" w:cs="Times New Roman"/>
          <w:sz w:val="28"/>
          <w:szCs w:val="28"/>
        </w:rPr>
        <w:t>18</w:t>
      </w:r>
      <w:r w:rsidRPr="00077F1B">
        <w:rPr>
          <w:rFonts w:ascii="Times New Roman" w:hAnsi="Times New Roman" w:cs="Times New Roman"/>
          <w:sz w:val="28"/>
          <w:szCs w:val="28"/>
        </w:rPr>
        <w:t>]</w:t>
      </w:r>
      <w:r w:rsidR="00EA5C54">
        <w:rPr>
          <w:rFonts w:ascii="Times New Roman" w:hAnsi="Times New Roman" w:cs="Times New Roman"/>
          <w:sz w:val="28"/>
          <w:szCs w:val="28"/>
        </w:rPr>
        <w:t xml:space="preserve">. </w:t>
      </w:r>
      <w:r w:rsidRPr="00077F1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IIb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>).</w:t>
      </w:r>
    </w:p>
    <w:p w:rsidR="00077F1B" w:rsidRPr="00077F1B" w:rsidRDefault="00077F1B" w:rsidP="00077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F1B">
        <w:rPr>
          <w:rFonts w:ascii="Times New Roman" w:hAnsi="Times New Roman" w:cs="Times New Roman"/>
          <w:sz w:val="28"/>
          <w:szCs w:val="28"/>
        </w:rPr>
        <w:t xml:space="preserve">Для создания компенсаторных механизмов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речепроизводства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 выполняются артикуляционные упражнения в динамике и в статике с постепенным увеличением нагрузки. Начинают с упражнений, активизирующих движения губ, затем переходят к упражнениям для нижней челюсти и к артикуляционной гимнастике для языка, опираясь на фантом</w:t>
      </w:r>
      <w:r w:rsidR="00EA5C54">
        <w:rPr>
          <w:rFonts w:ascii="Times New Roman" w:hAnsi="Times New Roman" w:cs="Times New Roman"/>
          <w:sz w:val="28"/>
          <w:szCs w:val="28"/>
        </w:rPr>
        <w:t>ные ощущения утраченного органа</w:t>
      </w:r>
      <w:r w:rsidRPr="00077F1B">
        <w:rPr>
          <w:rFonts w:ascii="Times New Roman" w:hAnsi="Times New Roman" w:cs="Times New Roman"/>
          <w:sz w:val="28"/>
          <w:szCs w:val="28"/>
        </w:rPr>
        <w:t xml:space="preserve"> </w:t>
      </w:r>
      <w:r w:rsidRPr="00EA5C54">
        <w:rPr>
          <w:rFonts w:ascii="Times New Roman" w:hAnsi="Times New Roman" w:cs="Times New Roman"/>
          <w:sz w:val="28"/>
          <w:szCs w:val="28"/>
        </w:rPr>
        <w:t>[</w:t>
      </w:r>
      <w:r w:rsidR="00EA5C54">
        <w:rPr>
          <w:rFonts w:ascii="Times New Roman" w:hAnsi="Times New Roman" w:cs="Times New Roman"/>
          <w:sz w:val="28"/>
          <w:szCs w:val="28"/>
        </w:rPr>
        <w:t>19</w:t>
      </w:r>
      <w:r w:rsidRPr="00EA5C54">
        <w:rPr>
          <w:rFonts w:ascii="Times New Roman" w:hAnsi="Times New Roman" w:cs="Times New Roman"/>
          <w:sz w:val="28"/>
          <w:szCs w:val="28"/>
        </w:rPr>
        <w:t>]</w:t>
      </w:r>
      <w:r w:rsidR="00EA5C54">
        <w:rPr>
          <w:rFonts w:ascii="Times New Roman" w:hAnsi="Times New Roman" w:cs="Times New Roman"/>
          <w:sz w:val="28"/>
          <w:szCs w:val="28"/>
        </w:rPr>
        <w:t xml:space="preserve">.  </w:t>
      </w:r>
      <w:r w:rsidRPr="00077F1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IIb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>).</w:t>
      </w:r>
    </w:p>
    <w:p w:rsidR="00077F1B" w:rsidRPr="00077F1B" w:rsidRDefault="00077F1B" w:rsidP="00EA5C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F1B">
        <w:rPr>
          <w:rFonts w:ascii="Times New Roman" w:hAnsi="Times New Roman" w:cs="Times New Roman"/>
          <w:sz w:val="28"/>
          <w:szCs w:val="28"/>
        </w:rPr>
        <w:t xml:space="preserve">Для устранения нарушений резонанса в послеоперационном периоде,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проявляещемся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 в появлении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гиперназальности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 xml:space="preserve"> и носовой эмиссии, выполняются упражнения, способствующие активизации небной занавески и небных дужек, выработке пластичности и растяжимости тканей мягкого неба с одновременным напряжением мышц задней стенки глотки и мышц мягкого неба. Цель этих упражнений – обеспечить максимально возможное небно-глоточное смыкание [</w:t>
      </w:r>
      <w:r w:rsidR="00EA5C54">
        <w:rPr>
          <w:rFonts w:ascii="Times New Roman" w:hAnsi="Times New Roman" w:cs="Times New Roman"/>
          <w:sz w:val="28"/>
          <w:szCs w:val="28"/>
        </w:rPr>
        <w:t xml:space="preserve">19]. </w:t>
      </w:r>
      <w:r w:rsidRPr="00077F1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sz w:val="28"/>
          <w:szCs w:val="28"/>
        </w:rPr>
        <w:t>IIb</w:t>
      </w:r>
      <w:proofErr w:type="spellEnd"/>
      <w:r w:rsidRPr="00077F1B">
        <w:rPr>
          <w:rFonts w:ascii="Times New Roman" w:hAnsi="Times New Roman" w:cs="Times New Roman"/>
          <w:sz w:val="28"/>
          <w:szCs w:val="28"/>
        </w:rPr>
        <w:t>).</w:t>
      </w:r>
    </w:p>
    <w:p w:rsidR="00B50462" w:rsidRPr="00B50462" w:rsidRDefault="00B50462" w:rsidP="00B504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462">
        <w:rPr>
          <w:rFonts w:ascii="Times New Roman" w:hAnsi="Times New Roman" w:cs="Times New Roman"/>
          <w:b/>
          <w:sz w:val="28"/>
          <w:szCs w:val="28"/>
        </w:rPr>
        <w:t xml:space="preserve">IVB) ВТОРОЙ ЭТАП РЕАБИЛИТАЦИИ </w:t>
      </w:r>
      <w:proofErr w:type="gramEnd"/>
    </w:p>
    <w:p w:rsidR="00077F1B" w:rsidRPr="00077F1B" w:rsidRDefault="00077F1B" w:rsidP="00077F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77F1B">
        <w:rPr>
          <w:rFonts w:ascii="Times New Roman" w:hAnsi="Times New Roman" w:cs="Times New Roman"/>
          <w:color w:val="000000"/>
          <w:sz w:val="28"/>
          <w:szCs w:val="24"/>
        </w:rPr>
        <w:t xml:space="preserve">Выполнение комплексов ЛФК после проведения радикального хирургического лечения по поводу рака головы и шеи безопасно, способствует быстрейшему восстановлению физической формы и улучшает качество жизни больного 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>20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color w:val="000000"/>
          <w:sz w:val="28"/>
          <w:szCs w:val="24"/>
        </w:rPr>
        <w:t>IIb</w:t>
      </w:r>
      <w:proofErr w:type="spellEnd"/>
      <w:r w:rsidRPr="00077F1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77F1B" w:rsidRPr="00077F1B" w:rsidRDefault="00077F1B" w:rsidP="00077F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77F1B">
        <w:rPr>
          <w:rFonts w:ascii="Times New Roman" w:hAnsi="Times New Roman" w:cs="Times New Roman"/>
          <w:color w:val="000000"/>
          <w:sz w:val="28"/>
          <w:szCs w:val="24"/>
        </w:rPr>
        <w:t xml:space="preserve">Поддержание стабильной массы тела и активный образ жизни увеличивают сроки общей выживаемости. Цель – </w:t>
      </w:r>
      <w:bookmarkStart w:id="0" w:name="_GoBack"/>
      <w:r w:rsidRPr="00077F1B">
        <w:rPr>
          <w:rFonts w:ascii="Times New Roman" w:hAnsi="Times New Roman" w:cs="Times New Roman"/>
          <w:color w:val="000000"/>
          <w:sz w:val="28"/>
          <w:szCs w:val="24"/>
        </w:rPr>
        <w:t xml:space="preserve">аэробная нагрузка умеренной интенсивности 3-5 раз в неделю (суммарно 150 минут в неделю) в сочетании с </w:t>
      </w:r>
      <w:bookmarkEnd w:id="0"/>
      <w:r w:rsidRPr="00077F1B">
        <w:rPr>
          <w:rFonts w:ascii="Times New Roman" w:hAnsi="Times New Roman" w:cs="Times New Roman"/>
          <w:color w:val="000000"/>
          <w:sz w:val="28"/>
          <w:szCs w:val="24"/>
        </w:rPr>
        <w:lastRenderedPageBreak/>
        <w:t>тренировками на сопротивление 2-3 раза в неделю. Упражнения на сопротивление должны вовлекать основные группы мышц (8-10 групп мышц, 8-10 повторений, 2 подхода). Каждый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сеанс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должен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включать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в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себя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разминку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и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заминку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 xml:space="preserve">  [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>21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77F1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77F1B">
        <w:rPr>
          <w:rFonts w:ascii="Times New Roman" w:hAnsi="Times New Roman" w:cs="Times New Roman"/>
          <w:color w:val="000000"/>
          <w:sz w:val="28"/>
          <w:szCs w:val="24"/>
        </w:rPr>
        <w:t>IIa</w:t>
      </w:r>
      <w:proofErr w:type="spellEnd"/>
      <w:r w:rsidRPr="00077F1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B50462" w:rsidRPr="00B50462" w:rsidRDefault="00B50462" w:rsidP="00B50462">
      <w:pPr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462">
        <w:rPr>
          <w:rFonts w:ascii="Times New Roman" w:hAnsi="Times New Roman" w:cs="Times New Roman"/>
          <w:b/>
          <w:sz w:val="28"/>
          <w:szCs w:val="28"/>
        </w:rPr>
        <w:t>IV</w:t>
      </w:r>
      <w:r w:rsidRPr="00B5046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50462">
        <w:rPr>
          <w:rFonts w:ascii="Times New Roman" w:hAnsi="Times New Roman" w:cs="Times New Roman"/>
          <w:b/>
          <w:sz w:val="28"/>
          <w:szCs w:val="28"/>
        </w:rPr>
        <w:t>) ТРЕТИЙ ЭТАП РЕАБИЛИТАЦИИ</w:t>
      </w:r>
      <w:proofErr w:type="gramEnd"/>
    </w:p>
    <w:p w:rsidR="000A1EDB" w:rsidRDefault="000A1EDB" w:rsidP="000A1EDB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>С целью преодоления тризма – тонического спазма группы жевательных мышц, который приводит к ограничению подвижности височно-нижнечелюстного сустава, – применяются упражнения, регулирующие степень открытия рта. Это статические, динамические упражнения и упражнения на сопротивление. Движения выполняются не только в плоскости опускания и поднятия челюсти. Для восстановления функции необходимы также другие движения: боковы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 xml:space="preserve">е, передние, задние и круговые 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>22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C (уровень достоверности доказательств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IIIc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Default="000A1EDB" w:rsidP="00EA5C54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Раннее выявление и начало терапии при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лимфедеме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области головы и шеи помогает избежать проблем, связанных с речью, дыханием, глотанием. Наибольшая эффективность терапии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лимфедемы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после комбинированного лечения опухолей головы и шеи отмечается при использовании всего комплекса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противозастойной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терапии (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complete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decongestive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therapy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 [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 xml:space="preserve">23].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А (уровень достоверности доказательств </w:t>
      </w:r>
      <w:proofErr w:type="spellStart"/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а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Default="000A1EDB" w:rsidP="000A1EDB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Полная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противо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отечная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терапия (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complete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decongestive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therapy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) считается «золотым стандартом» в лечении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лимфедемы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всех локализаций. Она включает лечебную физкультуру (ЛФК), компрессионную терапию, мануальный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лимфодренаж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и уход за кожей </w:t>
      </w:r>
      <w:r w:rsidRPr="00EA5C54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>24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EA5C54">
        <w:rPr>
          <w:rFonts w:ascii="Times New Roman" w:hAnsi="Times New Roman" w:cs="Times New Roman"/>
          <w:color w:val="000000"/>
          <w:sz w:val="28"/>
          <w:szCs w:val="24"/>
        </w:rPr>
        <w:t xml:space="preserve">. 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B (уровень достоверности доказательств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Default="000A1EDB" w:rsidP="000A1EDB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В лечении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лимфедемы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области головы и шеи ведущую роль играет </w:t>
      </w: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мануальный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лимфодренаж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2B345A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25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В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(урове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нь достоверности доказательств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</w:t>
      </w:r>
      <w:proofErr w:type="gramStart"/>
      <w:r w:rsidR="002B345A">
        <w:rPr>
          <w:rFonts w:ascii="Times New Roman" w:hAnsi="Times New Roman" w:cs="Times New Roman"/>
          <w:color w:val="000000"/>
          <w:sz w:val="28"/>
          <w:szCs w:val="24"/>
        </w:rPr>
        <w:t>в</w:t>
      </w:r>
      <w:proofErr w:type="spellEnd"/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B345A" w:rsidRDefault="002B345A" w:rsidP="002B345A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4"/>
        </w:rPr>
        <w:t>Эффективна</w:t>
      </w:r>
      <w:proofErr w:type="gram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низкочастотная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магнитотерапия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в сочетании с полной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противоотечной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терапией [26]. </w:t>
      </w:r>
      <w:r w:rsidRPr="002B345A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В (уровень достоверности доказательств </w:t>
      </w:r>
      <w:proofErr w:type="spellStart"/>
      <w:r w:rsidRPr="002B345A">
        <w:rPr>
          <w:rFonts w:ascii="Times New Roman" w:hAnsi="Times New Roman" w:cs="Times New Roman"/>
          <w:color w:val="000000"/>
          <w:sz w:val="28"/>
          <w:szCs w:val="24"/>
        </w:rPr>
        <w:t>II</w:t>
      </w:r>
      <w:proofErr w:type="gramStart"/>
      <w:r w:rsidRPr="002B345A">
        <w:rPr>
          <w:rFonts w:ascii="Times New Roman" w:hAnsi="Times New Roman" w:cs="Times New Roman"/>
          <w:color w:val="000000"/>
          <w:sz w:val="28"/>
          <w:szCs w:val="24"/>
        </w:rPr>
        <w:t>в</w:t>
      </w:r>
      <w:proofErr w:type="spellEnd"/>
      <w:proofErr w:type="gramEnd"/>
      <w:r w:rsidRPr="002B345A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Pr="000A1EDB" w:rsidRDefault="000A1EDB" w:rsidP="000A1EDB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Специальный комплекс ЛФК для области лица, шеи, верхнего плечевого пояса и верхней половины грудной клетки также необходим в лечении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лимфедемы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. Он позволяет увеличить объем движений в суставах, предотвратить развитие фиброзных осложнений и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тугоподвижности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, которые нередко сопровождают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лимфедему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. Кроме того, выполнение комплекса ЛФК компенсирует слабость мышц, которая обусловлена длительным приемом размягченной и жидкой пищи, нарушениями речи и ограниченной физической активностью</w:t>
      </w: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.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в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ыполнение комплекса ЛФК компенсирует слабость мышц, которая обусловлена длительным приемом размягченной и жидкой пищи, нарушениями речи и огра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ниченной физической активностью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2B345A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27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B (уровень достоверности доказательств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Default="000A1EDB" w:rsidP="000A1EDB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Уменьшение отека происходит быстрее при использовании низкоинтенсивной лазеротерапии в комбинации с полной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противозастойной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терапией </w:t>
      </w:r>
      <w:r w:rsidRPr="002B345A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28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B (уровень достоверности доказательств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Default="000A1EDB" w:rsidP="000A1EDB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B50462" w:rsidRPr="00B50462" w:rsidRDefault="00B50462" w:rsidP="000A1E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0462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50462">
        <w:rPr>
          <w:rFonts w:ascii="Times New Roman" w:hAnsi="Times New Roman" w:cs="Times New Roman"/>
          <w:b/>
          <w:sz w:val="28"/>
          <w:szCs w:val="28"/>
        </w:rPr>
        <w:t>) ХИМИОТЕРАПИЯ</w:t>
      </w:r>
      <w:r w:rsidRPr="00B504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4711" w:rsidRDefault="00794711" w:rsidP="0079471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94711">
        <w:rPr>
          <w:rFonts w:ascii="Times New Roman" w:hAnsi="Times New Roman" w:cs="Times New Roman"/>
          <w:color w:val="000000"/>
          <w:sz w:val="28"/>
          <w:szCs w:val="24"/>
        </w:rPr>
        <w:t xml:space="preserve">Противоопухолевое лечение рака головы и шеи вызывает </w:t>
      </w:r>
      <w:proofErr w:type="gramStart"/>
      <w:r w:rsidRPr="00794711">
        <w:rPr>
          <w:rFonts w:ascii="Times New Roman" w:hAnsi="Times New Roman" w:cs="Times New Roman"/>
          <w:color w:val="000000"/>
          <w:sz w:val="28"/>
          <w:szCs w:val="24"/>
        </w:rPr>
        <w:t>психологический</w:t>
      </w:r>
      <w:proofErr w:type="gramEnd"/>
      <w:r w:rsidRPr="0079471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94711">
        <w:rPr>
          <w:rFonts w:ascii="Times New Roman" w:hAnsi="Times New Roman" w:cs="Times New Roman"/>
          <w:color w:val="000000"/>
          <w:sz w:val="28"/>
          <w:szCs w:val="24"/>
        </w:rPr>
        <w:t>дистресс</w:t>
      </w:r>
      <w:proofErr w:type="spellEnd"/>
      <w:r w:rsidRPr="00794711">
        <w:rPr>
          <w:rFonts w:ascii="Times New Roman" w:hAnsi="Times New Roman" w:cs="Times New Roman"/>
          <w:color w:val="000000"/>
          <w:sz w:val="28"/>
          <w:szCs w:val="24"/>
        </w:rPr>
        <w:t>, тревогу, депрессию, что ухудшает качество жизни пациентов [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29</w:t>
      </w:r>
      <w:r w:rsidRPr="00794711">
        <w:rPr>
          <w:rFonts w:ascii="Times New Roman" w:hAnsi="Times New Roman" w:cs="Times New Roman"/>
          <w:color w:val="000000"/>
          <w:sz w:val="28"/>
          <w:szCs w:val="24"/>
        </w:rPr>
        <w:t>].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94711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794711">
        <w:rPr>
          <w:rFonts w:ascii="Times New Roman" w:hAnsi="Times New Roman" w:cs="Times New Roman"/>
          <w:color w:val="000000"/>
          <w:sz w:val="28"/>
          <w:szCs w:val="24"/>
        </w:rPr>
        <w:t>IIb</w:t>
      </w:r>
      <w:proofErr w:type="spellEnd"/>
      <w:r w:rsidRPr="00794711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Pr="000A1EDB" w:rsidRDefault="000A1EDB" w:rsidP="000A1ED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Выполнение упражнений с нагрузкой уменьшают слабость, улучшают качество жизни и психологическое состояние пациентов, получающих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адьювантную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химиотерапию. Раннее начало физических нагрузок на фоне химиотерапии помогает профилактике мышечной слабости, возникновению и прогрессированию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саркопении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, снижению толерантности к физической нагрузке. </w:t>
      </w:r>
      <w:r w:rsidRPr="002B345A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30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794711" w:rsidRDefault="000A1EDB" w:rsidP="000A1ED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Проведение комплекса ЛФК с включением в него аэробной нагрузки, элементов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Тайчи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в течени</w:t>
      </w: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и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4 месяцев на фоне химиотерапии увеличивает жизненную емкость легких, насыщенность крови кислородом, силу мышц, объем движений в крупных суставах, снижает индекс массы тела [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31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].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IIa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Pr="000A1EDB" w:rsidRDefault="000A1EDB" w:rsidP="000A1ED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Для уменьшения утомляемости и повышения выносливости на фоне проведения химиолучевой терапии рекомендовано проведение ЛФК. Оптимальный эффект дают аэробные упражнения средней интенсивности в сочетании 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>с упражнениями на сопротивление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C1A15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>32</w:t>
      </w:r>
      <w:r w:rsidRPr="00AC1A15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2B345A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Pr="000A1EDB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>Сочетание ЛФК с психологической поддержкой в лечении слабости на фоне химиотерапии эффективнее, чем изолиров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>анная медикаментозная коррекция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C1A15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33].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794711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>Проведение курса массажа в течение 6 недель уменьшает слабость на фоне комбинированного лечения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34].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В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</w:t>
      </w: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в</w:t>
      </w:r>
      <w:proofErr w:type="spellEnd"/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A1EDB" w:rsidRPr="000A1EDB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Упражнения на тренировку баланса более эффективны для коррекции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полинейропатии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, чем сочетание упражнений на выносливость и силовых упражнений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35].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Pr="000A1EDB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Шестинедельный курс спортивной ходьбы помогает контролировать клинические проявления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полинейропатии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36].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IIb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0A1EDB" w:rsidRPr="000A1EDB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Рекомендуется применение низкоинтенсивной лазеротерапии в лечении периферической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полинейропатии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на фоне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lastRenderedPageBreak/>
        <w:t>химиотерапии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37].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IIa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0A1EDB" w:rsidRPr="000A1EDB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Рекомендована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низкочастотная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магнитотерапия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в лечении периферической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полинейропатии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на хоне химиотерапии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38]. 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IIa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0A1EDB" w:rsidRDefault="000A1EDB" w:rsidP="000A1ED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Рекомендована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чрескожная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электростимуляция в течени</w:t>
      </w: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и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20 минут в день 4 недель для лечения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полинейропатии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на фоне химиотерапии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>39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].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</w:t>
      </w:r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в</w:t>
      </w:r>
      <w:proofErr w:type="spellEnd"/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Pr="000A1EDB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Рекомендована низкоинтенсивная лазеротерапия в профилактике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мукозитов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полости рта на фоне химиотерапии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40].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А (уровень достоверности доказательств – </w:t>
      </w:r>
      <w:proofErr w:type="spellStart"/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в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794711" w:rsidRDefault="000A1EDB" w:rsidP="000A1ED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>Возможно проведение низкоинтенсивной лазеротерапии в лечении стоматита, возникшего на фоне химиотерапии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>41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А (уровень достоверности доказательств – </w:t>
      </w:r>
      <w:proofErr w:type="spellStart"/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а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0A1EDB" w:rsidRPr="000A1EDB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Применение криотерапии позволяет проводить профилактику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алопеции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 на фоне химиотерапии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42].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А (уровень достоверности доказательств – </w:t>
      </w:r>
      <w:proofErr w:type="spellStart"/>
      <w:proofErr w:type="gram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</w:t>
      </w:r>
      <w:proofErr w:type="gramEnd"/>
      <w:r w:rsidRPr="000A1EDB">
        <w:rPr>
          <w:rFonts w:ascii="Times New Roman" w:hAnsi="Times New Roman" w:cs="Times New Roman"/>
          <w:color w:val="000000"/>
          <w:sz w:val="28"/>
          <w:szCs w:val="24"/>
        </w:rPr>
        <w:t>а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794711" w:rsidRDefault="000A1EDB" w:rsidP="00AC1A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A1EDB">
        <w:rPr>
          <w:rFonts w:ascii="Times New Roman" w:hAnsi="Times New Roman" w:cs="Times New Roman"/>
          <w:color w:val="000000"/>
          <w:sz w:val="28"/>
          <w:szCs w:val="24"/>
        </w:rPr>
        <w:t>Низкоинтенсивная лазеротерапия помогает проводить профилактику выпадения волос и ускоряет их рост после проведения химиотерапии [</w:t>
      </w:r>
      <w:r w:rsidR="00AC1A15">
        <w:rPr>
          <w:rFonts w:ascii="Times New Roman" w:hAnsi="Times New Roman" w:cs="Times New Roman"/>
          <w:color w:val="000000"/>
          <w:sz w:val="28"/>
          <w:szCs w:val="24"/>
        </w:rPr>
        <w:t xml:space="preserve">43]. </w:t>
      </w:r>
      <w:r w:rsidRPr="000A1EDB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– В (уровень достоверности доказательств </w:t>
      </w:r>
      <w:proofErr w:type="spellStart"/>
      <w:r w:rsidRPr="000A1EDB">
        <w:rPr>
          <w:rFonts w:ascii="Times New Roman" w:hAnsi="Times New Roman" w:cs="Times New Roman"/>
          <w:color w:val="000000"/>
          <w:sz w:val="28"/>
          <w:szCs w:val="24"/>
        </w:rPr>
        <w:t>IIa</w:t>
      </w:r>
      <w:proofErr w:type="spellEnd"/>
      <w:r w:rsidRPr="000A1EDB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794711" w:rsidRDefault="00794711" w:rsidP="00CA03C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0A1EDB" w:rsidRDefault="00EE717E" w:rsidP="00E73B1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762EA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0A1EDB">
        <w:rPr>
          <w:rFonts w:ascii="Times New Roman" w:hAnsi="Times New Roman" w:cs="Times New Roman"/>
          <w:b/>
          <w:sz w:val="28"/>
          <w:szCs w:val="28"/>
        </w:rPr>
        <w:t>ЛУЧЕВАЯ ТЕРАПИЯ</w:t>
      </w:r>
    </w:p>
    <w:p w:rsidR="000A1EDB" w:rsidRPr="000A1EDB" w:rsidRDefault="000A1EDB" w:rsidP="000A1E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1EDB">
        <w:rPr>
          <w:rFonts w:ascii="Times New Roman" w:hAnsi="Times New Roman" w:cs="Times New Roman"/>
          <w:sz w:val="28"/>
          <w:szCs w:val="28"/>
        </w:rPr>
        <w:t>Через 3 дня после начала лучевой терапии рекомендовано подключить низкоинтенсивную лазеротерапию, 3 дня в неделю для профилактики лучевого дерматита [</w:t>
      </w:r>
      <w:r w:rsidR="00AC1A15">
        <w:rPr>
          <w:rFonts w:ascii="Times New Roman" w:hAnsi="Times New Roman" w:cs="Times New Roman"/>
          <w:sz w:val="28"/>
          <w:szCs w:val="28"/>
        </w:rPr>
        <w:t>44</w:t>
      </w:r>
      <w:r w:rsidRPr="000A1EDB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– B (уровень достоверности доказательств - </w:t>
      </w:r>
      <w:proofErr w:type="spellStart"/>
      <w:r w:rsidRPr="000A1EDB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A1EDB">
        <w:rPr>
          <w:rFonts w:ascii="Times New Roman" w:hAnsi="Times New Roman" w:cs="Times New Roman"/>
          <w:sz w:val="28"/>
          <w:szCs w:val="28"/>
        </w:rPr>
        <w:t>)</w:t>
      </w:r>
    </w:p>
    <w:p w:rsidR="000A1EDB" w:rsidRDefault="000A1EDB" w:rsidP="00AC1A15">
      <w:pPr>
        <w:rPr>
          <w:rFonts w:ascii="Times New Roman" w:hAnsi="Times New Roman" w:cs="Times New Roman"/>
          <w:b/>
          <w:sz w:val="28"/>
          <w:szCs w:val="28"/>
        </w:rPr>
      </w:pPr>
    </w:p>
    <w:p w:rsidR="00EE717E" w:rsidRDefault="00AC1A15" w:rsidP="00E73B1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VII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E717E" w:rsidRPr="00762EA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 w:rsidRPr="00AC1A1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Silver JA, Baima J. Cancer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anopportunity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to decrease treatment related morbidity, increase cancer treatment options, and improve physical and psychological health outcomes. Am J Phys Med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2103; 92: 715-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727</w:t>
      </w:r>
      <w:proofErr w:type="gramEnd"/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Buffart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LM,,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Sweegers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MG, May AM,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Chinapaw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MJ, van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Vulpen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JK, Newton RU,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Galvão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DA, Aaronson NK,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Stuiver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MM, Jacobsen PB,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Verdonck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-de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Leeuw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IM,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Steindorf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K, Irwin ML, Hayes S, Griffith KA, Lucia A, Herrero-Roman F,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Mesters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I, van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Weert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Knoop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H,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Goedendorp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Mutrie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N, Daley AJ,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McConnachie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Bohus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Thorsen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L, Schulz KH, Short CE, James EL,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Plotnikoff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RC,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Arbane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G, Schmidt ME,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Potthoff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K, van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Beurden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M, Oldenburg HS,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Sonke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GS, van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Harten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WH,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Garrod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R, Schmitz KH, Winters-Stone KM,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Velthuis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MJ, Taaffe DR, van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Mechelen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W, José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Kersten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Nollet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F, Wenzel 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Wiskemann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Brug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Courneya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KS. Targeting Exercise Interventions to Patients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Cancer in Need: An Individual Patient Data Meta-Analysis. J Natl Cancer Inst. 2018 Nov 1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;110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(11):1190-1200.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10.1093/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jnci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/djy161.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Govender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R, Smith CH, Gardner B, Barratt H, Taylor SA.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Improving swallowing outcomes in patients with head and neck cancer using a theory-based pretreatment swallowing intervention package: protocol for a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randomised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feasibility study.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BMJ Open.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2017 Mar 27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;7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(3):e014167.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10.1136/bmjopen-2016-014167. PubMed PMID: 28348190; PubMed Central PMCID: PMC5372094.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Clarke P, Radford K, Coffey M, Stewart M. Speech and swallow rehabilitation in head and neck cancer: United Kingdom National Multidisciplinary Guidelines.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Otol. 2016 May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;130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(S2):S176-S180.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Colevas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AD, Yom SS,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Pfister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DG, Spencer 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Adelstein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D, Adkins D,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Brizel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Burtness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Busse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Caudell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Cmelak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Eisele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DW, Fenton M, Foote RL, Gilbert 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Gillison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ML, Haddad RI, Hicks WL, Hitchcock YJ,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Jimeno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Leizman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Maghami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E, Mell LK, Mittal BB, Pinto HA, Ridge JA, Rocco J, Rodriguez CP, Shah JP, Weber RS,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Witek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M, Worden F, Zhen W, Burns JL,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Darlow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SD. NCCN Guidelines Insights: Head and Neck Cancers, Version 1.2018.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J Natl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Compr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Canc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Netw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2018 May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;16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(5):479-490.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10.6004/jnccn.2018.0026.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A15"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Pr="00AC1A15">
        <w:rPr>
          <w:rFonts w:ascii="Times New Roman" w:hAnsi="Times New Roman" w:cs="Times New Roman"/>
          <w:sz w:val="28"/>
          <w:szCs w:val="28"/>
        </w:rPr>
        <w:tab/>
        <w:t xml:space="preserve">Снеговой А.В.,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Бесова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Н.С., Веселов А.В., Кравцов С.А., Ларионова В.Б.,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Сельчук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В.Ю. и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соавт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. Практические рекомендации по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нутритивной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поддержке у онкологических больных. Злокачественные опухоли. 2016. №4.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Спецвыпуск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2. С. 2-450. 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0235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AD02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Arends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J, Bachmann P,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Baracos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Barthelemy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Bertz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H,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Bozzetti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Fearon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Hütterer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Isenring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Kaasa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Krznaric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Z, Laird B, Larsson M,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Laviano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Mühlebach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Muscaritoli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Oldervoll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L,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Ravasco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P,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Solheim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Strasser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F, de van der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Schueren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Preiser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JC.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ESPEN guidelines on nutrition in cancer patients.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Clinical Nutrition.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;36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P.11-48.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Mattioli F, Bettini 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Molteni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Piccinini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Valoriani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F, Gabriele 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Presutti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L. Analysis of risk factors for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pharyngocutaneous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fistula after total laryngectomy with particular focus on nutritional status.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Acta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Otorhinolaryngol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Ital. 2015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;35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(4):243-8.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9)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Hubera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GF, Dort JC.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Reducing morbidity and complications after major head and neck cancer surgery: the (future) role of enhanced recovery after surgery protocols.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Opin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Otolaryngol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Head Neck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2018, 26:000–000. DOI:10.1097/MOO.0000000000000442. 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>Huber GF, Dort JC.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Reducing morbidity and complications after major head and neck cancer surgery: the (future) role of enhanced recovery after surgery protocols.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Opin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Otolaryngol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Head Neck Surg. 2018 Apr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;26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(2):71-77.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10.1097/MOO.0000000000000442.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Review.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PMID: 29432221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Midgley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AW, Lowe D, Levy AR,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Mepani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V, Rogers SN. Exercise program design considerations for head and neck cancer survivors.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Eur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Arch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Otorhinolaryngol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;275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(1):169-179.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10.1007/s00405-017-4760-z.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2017 Oct 20. PubMed PMID: 29058083; PubMed Central PMCID: PMC5754417.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Guru K,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Manoor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UK,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Supe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SS. A comprehensive review of head and neck cancer rehabilitation: physical therapy perspectives.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Indian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Palliat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Care.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2012 May-Aug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(2):87-97.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10.4103/0973-1075.100820. PubMed PMID: 23093823; PubMed Central PMCID: PMC3477371.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lastRenderedPageBreak/>
        <w:t>13)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Swarm RA, Abernethy AP,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Anghelescu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DL, Benedetti C,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Buga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Cleeland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C, et al. Adult cancer pain.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J Natl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Compr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Canc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Netw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2013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;11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(8):992-1022.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14)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Goel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Nemade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H, Raju KVVN, Rao CS (2017) Physiotherapy and Head and Neck Cancers. J Nov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Physiother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7:337.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10.4172/2165-7025.1000337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Dawson C,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Pracy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P, Patterson J,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Paleri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V. Rehabilitation following open partial laryngeal surgery: key issues and recommendations from the UK evidence based meeting on laryngeal cancer.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Otol. 2019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;133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(3):177-182.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10.1017/S0022215119000483.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16)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Wall L.R., Ward E.C.,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Cartmill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B., Hill A.J. Physiological changes to the swallowing mechanism following (chemo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)radiotherapy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for head and neck cancer: a systematic review. Dysphagia 2013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;28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(4):481–93. DOI: 10.1007/s00455-013-9491-8. 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17)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Govender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R., Smith C.H., Taylor S.A. et al.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Swallowing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interventions for the treatment of dysphagia after head and neck cancer: a systematic review of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behavioural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strategies used to promote patient adherence to swallowing exercises. BMC Cancer 2017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;17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(1):43. DOI: 10.1186/s12885-016-2990-x. PMID: 28068939. PMCID: PMC5223405.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18)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Van der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Molen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L., van Rossum M.A.,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Burkhead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L.M. et al. A randomized preventive rehabilitation trial in advanced head and neck cancer patients treated with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chemoradiotherapy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: feasibility, compliance, and short-term effects. Dysphagia 2011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;26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(2):155–70. DOI: 10.1007/s00455-010-9288-y.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19)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Clarke P, Radford K, Coffey M, Stewart M. Speech and swallow rehabilitation in head and neck cancer: United Kingdom National Multidisciplinary Guidelines.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Otol. 2016 May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;130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(S2):S176-S180.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10.1017/S0022215116000608. PubMed PMID: 27841134; PubMed Central PMCID: PMC4873894.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lastRenderedPageBreak/>
        <w:t>20)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Mina DS,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Alibhai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S.M.H., Matthew AG, Guglietti CL, Steele J, Trachtenberg 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Ritvo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PG. Exercise in clinical cancer care: a call to action and program development description.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, 2012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;19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(3), pp. e136-144; http://dx.doi.org/10.3747/co.19.912.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21)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Segal R.,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Zwaal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C., Green E.,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Tomasone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J.R., Loblaw A.,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Petrella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T. Exercise for people with cancer: a clinical practice guideline.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 2017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;24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(1):40-46. DOI: https://doi.org/10.3747/co.24.3376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22)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Pauli N,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Svensson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U,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Karlsson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Finizia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C. Exercise intervention for the treatment of trismus in head and neck cancer - a prospective two-year follow-up study.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Acta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2016 Jun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;55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(6):686-92.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10.3109/0284186X.2015.1133928.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2016 Feb 15.  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23)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Smith B. G., Lewin J. S. Lymphedema management in head and neck cancer.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Opin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Otolaryngol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Head Neck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2010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(3):153–8. DOI: 10.1097/MOO.0b013e32833aac21. PMID: 20463478.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24)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Vignes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S. Lymphedema: from diagnosis to treatment. Rev Med Interne 2017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;38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(2):97–105. DOI: 10.1016/j.revmed.2016.07.005. PMID: 27591818.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25)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Doke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KN, Bowman L,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Shnayder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Y, Shen X, TenNapel M, Thomas SM,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Neupane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Yeh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HW,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Lominska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CE.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Quantitative clinical outcomes of therapy for head and neck lymphedema.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Adv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Radiat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 2018 Apr 27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;3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(3):366-371.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10.1016/j.adro.2018.04.007. 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26)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Tacani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Franceschini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JP,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Tacani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RE, Machado AF,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Montezello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Góes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JC, Marx A. Retrospective study of the physical therapy modalities applied in head and neck lymphedema treatment. Head Neck. 2016 Feb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;38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(2):301-8.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10.1002/hed.23899.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2015 Jun 16.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27)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Strößbenreuther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R. H. Treatment of the cervical lymph nodes and their tributary regions. In: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Földi’s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Textbook of Lymphology: for Physicians and Lymphedema Therapists.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Ed. by M.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Földi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, E.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Földi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, C.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Strößbenreuther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, S.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Kubik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3rd edition.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München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: Elsevier Urban &amp; Fischer, 2012. Pp. 470–473.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lastRenderedPageBreak/>
        <w:t>28)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Wigg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J. Use and response to treatment using low level laser therapy.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2009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;4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(2):73–6. Lee N.,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Wigg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J., Carroll J. D.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The use of low level light therapy in the treatment of head and neck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oedema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A15">
        <w:rPr>
          <w:rFonts w:ascii="Times New Roman" w:hAnsi="Times New Roman" w:cs="Times New Roman"/>
          <w:sz w:val="28"/>
          <w:szCs w:val="28"/>
        </w:rPr>
        <w:t xml:space="preserve">J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Lymphoedema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2013;8(1):35–42.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A15">
        <w:rPr>
          <w:rFonts w:ascii="Times New Roman" w:hAnsi="Times New Roman" w:cs="Times New Roman"/>
          <w:sz w:val="28"/>
          <w:szCs w:val="28"/>
        </w:rPr>
        <w:t>29)</w:t>
      </w:r>
      <w:r w:rsidRPr="00AC1A15">
        <w:rPr>
          <w:rFonts w:ascii="Times New Roman" w:hAnsi="Times New Roman" w:cs="Times New Roman"/>
          <w:sz w:val="28"/>
          <w:szCs w:val="28"/>
        </w:rPr>
        <w:tab/>
        <w:t>Ткаченко Г.А. Клинико-психологическое исследование качества жизни больных, страдающих злокачественными новообразованиями челюстно-лицевой области. Вестник психотерапии. 2012. № 44 (49). С. 57-63.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0235">
        <w:rPr>
          <w:rFonts w:ascii="Times New Roman" w:hAnsi="Times New Roman" w:cs="Times New Roman"/>
          <w:sz w:val="28"/>
          <w:szCs w:val="28"/>
          <w:lang w:val="en-US"/>
        </w:rPr>
        <w:t>30)</w:t>
      </w:r>
      <w:r w:rsidRPr="00AD02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Kripp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Heußer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AL, Belle S, Gerhardt A, Merx K, Hofmann WK, </w:t>
      </w:r>
      <w:proofErr w:type="spellStart"/>
      <w:r w:rsidRPr="00AD0235">
        <w:rPr>
          <w:rFonts w:ascii="Times New Roman" w:hAnsi="Times New Roman" w:cs="Times New Roman"/>
          <w:sz w:val="28"/>
          <w:szCs w:val="28"/>
          <w:lang w:val="en-US"/>
        </w:rPr>
        <w:t>Hofheinz</w:t>
      </w:r>
      <w:proofErr w:type="spellEnd"/>
      <w:r w:rsidRPr="00AD0235">
        <w:rPr>
          <w:rFonts w:ascii="Times New Roman" w:hAnsi="Times New Roman" w:cs="Times New Roman"/>
          <w:sz w:val="28"/>
          <w:szCs w:val="28"/>
          <w:lang w:val="en-US"/>
        </w:rPr>
        <w:t xml:space="preserve"> RD. 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Does physical activity improve quality of life in cancer patients undergoing chemotherapy?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Res Treat.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2015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;38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(5):230-6.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10.1159/000381734.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2015 May 4.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31)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Qiang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, W., Dong, F., Yan, L. et al.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Cancer Res. 2010; 7: 259. https://doi.org/10.1007/s11805-010-0528-6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32)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Samuel SR,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Maiya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GA,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Fernandes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DJ,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Guddattu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Saxena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PUP, Kurian JR, Lin P-J,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Mustian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KM. Effectiveness of exercise-based rehabilitation on functional capacity and quality of life in head and neck cancer patients receiving chemo-radiotherapy.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Supportive Care in Cancer.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https://doi.org/10.1007/s00520-019-04750-z.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33)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Mustian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KM,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Alfano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CM, Heckler C, et al: Comparison of pharmaceutical, psychological, and exercise treatments for cancer-related fatigue: a meta-analysis. JAMA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;3:961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-968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34)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Kinkead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Schettler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PJ, Larson ER, Carroll D,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Sharenko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M, Nettles J, Edwards SA, Miller AH, Torres MA, Dunlop BW,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Rakofsky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JJ, Rapaport MH. Massage therapy decreases cancer-related fatigue: Results from a randomized early phase trial.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Cancer.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2018 Feb 1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;124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(3):546-554.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10.1002/cncr.31064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35)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Streckmann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Zopf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EM, Lehmann HC, et al: Exercise intervention studies in patients with peripheral neuropathy: a systematic review. Sports Med 2014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;44:1289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-1304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36)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Kleckner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IR,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Gewandter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JS, et al: Effects of exercise during chemotherapy on chemotherapy-induced peripheral neuropathy: a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multicenter,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randomized controlled trial. Support Care Cancer 2018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;26:1019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-1028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lastRenderedPageBreak/>
        <w:t>37)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Lee JM, Look RM, Turner C, Gardiner SK,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Wagie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T, Douglas J, Sorenson L, Evans L, Kirchner 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Dashkoff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C, Garrett K, Johnson N. Low-level laser therapy for chemotherapy-induced peripheral neuropathy.  Journal of Clinical Oncology 30, no. 15_suppl (May 2012) 9019-9019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38)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Rick O., von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Hehn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U.,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Mikus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Dertinge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, H., Geiger G. Magnetic field therapy in patients with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cytostatics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-induced polyneuropathy: A prospective randomized placebo-controlled phase-III study.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Bioelectromagnetics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, 2016:38(2), 85-94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39)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Kılınç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Livanelioğlu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Yıldırım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SA, Tan E. Effects of transcutaneous electrical nerve stimulation in patients with peripheral and central neuropathic pain.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Med. 2014 May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;46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(5):454-60.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10.2340/16501977-1271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40)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Oberoi S,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Zamperlini-Netto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Beyene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Treister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NS, Sung L. Effect of prophylactic low level laser therapy on oral mucositis: a systematic review and meta-analysis. Send to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PLoS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One. 2014 Sep 8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;9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(9):e107418.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10.1371/journal.pone.0107418.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eCollection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2014</w:t>
      </w:r>
    </w:p>
    <w:p w:rsidR="00AC1A15" w:rsidRPr="00CF536D" w:rsidRDefault="00AC1A15" w:rsidP="00AC1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41)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 M, Zhang B, Shen N, Wu N, Sun J.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 systematic review and meta-analysis of the effect of low-level laser therapy (LLLT) on chemotherapy-induced oral mucositis in pediatric and young patients.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Eur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Pediatr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 2018 Jan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;177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(1):7-17.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: 10.1007/s00431-017-3043-4.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2017 Nov 11.</w:t>
      </w:r>
      <w:r w:rsidR="00CF536D">
        <w:rPr>
          <w:rFonts w:ascii="Times New Roman" w:hAnsi="Times New Roman" w:cs="Times New Roman"/>
          <w:sz w:val="28"/>
          <w:szCs w:val="28"/>
        </w:rPr>
        <w:t>+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42)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Ross M, Fischer-Cartlidge E. Scalp Cooling: A Literature Review of Efficacy, Safety, and Tolerability for Chemotherapy-Induced Alopecia.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Nurs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>. 2017 (1)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;21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(2): p.226-233. </w:t>
      </w:r>
      <w:proofErr w:type="spellStart"/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>: 10.1188/17.CJON.226-233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43)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Avci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P., Gupta G.K., Clark J., </w:t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Wikonkal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N., Hamblin M.R. Low-level laser (light) therapy (LLLT) for treatment of hair loss.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Lasers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surgery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medicine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>, 2013:46(2); p.144-51</w:t>
      </w:r>
    </w:p>
    <w:p w:rsidR="00AC1A15" w:rsidRPr="00AC1A15" w:rsidRDefault="00AC1A15" w:rsidP="00AC1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A15">
        <w:rPr>
          <w:rFonts w:ascii="Times New Roman" w:hAnsi="Times New Roman" w:cs="Times New Roman"/>
          <w:sz w:val="28"/>
          <w:szCs w:val="28"/>
          <w:lang w:val="en-US"/>
        </w:rPr>
        <w:t>44)</w:t>
      </w:r>
      <w:r w:rsidRPr="00AC1A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1A15">
        <w:rPr>
          <w:rFonts w:ascii="Times New Roman" w:hAnsi="Times New Roman" w:cs="Times New Roman"/>
          <w:sz w:val="28"/>
          <w:szCs w:val="28"/>
          <w:lang w:val="en-US"/>
        </w:rPr>
        <w:t>Bensadoun</w:t>
      </w:r>
      <w:proofErr w:type="spell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RJ, Nair RG. </w:t>
      </w:r>
      <w:proofErr w:type="gramStart"/>
      <w:r w:rsidRPr="00AC1A15">
        <w:rPr>
          <w:rFonts w:ascii="Times New Roman" w:hAnsi="Times New Roman" w:cs="Times New Roman"/>
          <w:sz w:val="28"/>
          <w:szCs w:val="28"/>
          <w:lang w:val="en-US"/>
        </w:rPr>
        <w:t>Low-level laser therapy in the management of mucositis and dermatitis induced by cancer therapy.</w:t>
      </w:r>
      <w:proofErr w:type="gramEnd"/>
      <w:r w:rsidRPr="00AC1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Photomed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Laser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15">
        <w:rPr>
          <w:rFonts w:ascii="Times New Roman" w:hAnsi="Times New Roman" w:cs="Times New Roman"/>
          <w:sz w:val="28"/>
          <w:szCs w:val="28"/>
        </w:rPr>
        <w:t>Surg</w:t>
      </w:r>
      <w:proofErr w:type="spellEnd"/>
      <w:r w:rsidRPr="00AC1A15">
        <w:rPr>
          <w:rFonts w:ascii="Times New Roman" w:hAnsi="Times New Roman" w:cs="Times New Roman"/>
          <w:sz w:val="28"/>
          <w:szCs w:val="28"/>
        </w:rPr>
        <w:t>. 2015;33(10):487–491</w:t>
      </w:r>
    </w:p>
    <w:sectPr w:rsidR="00AC1A15" w:rsidRPr="00AC1A15" w:rsidSect="00E55E2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701F"/>
    <w:multiLevelType w:val="hybridMultilevel"/>
    <w:tmpl w:val="63263C6C"/>
    <w:lvl w:ilvl="0" w:tplc="6FFEFC48">
      <w:start w:val="1"/>
      <w:numFmt w:val="bullet"/>
      <w:lvlText w:val="У"/>
      <w:lvlJc w:val="left"/>
    </w:lvl>
    <w:lvl w:ilvl="1" w:tplc="14D8FA48">
      <w:numFmt w:val="decimal"/>
      <w:lvlText w:val=""/>
      <w:lvlJc w:val="left"/>
    </w:lvl>
    <w:lvl w:ilvl="2" w:tplc="6450DFF4">
      <w:numFmt w:val="decimal"/>
      <w:lvlText w:val=""/>
      <w:lvlJc w:val="left"/>
    </w:lvl>
    <w:lvl w:ilvl="3" w:tplc="2A4C0260">
      <w:numFmt w:val="decimal"/>
      <w:lvlText w:val=""/>
      <w:lvlJc w:val="left"/>
    </w:lvl>
    <w:lvl w:ilvl="4" w:tplc="8FC611F8">
      <w:numFmt w:val="decimal"/>
      <w:lvlText w:val=""/>
      <w:lvlJc w:val="left"/>
    </w:lvl>
    <w:lvl w:ilvl="5" w:tplc="C0B43B16">
      <w:numFmt w:val="decimal"/>
      <w:lvlText w:val=""/>
      <w:lvlJc w:val="left"/>
    </w:lvl>
    <w:lvl w:ilvl="6" w:tplc="4B3E1DEC">
      <w:numFmt w:val="decimal"/>
      <w:lvlText w:val=""/>
      <w:lvlJc w:val="left"/>
    </w:lvl>
    <w:lvl w:ilvl="7" w:tplc="54F6CE12">
      <w:numFmt w:val="decimal"/>
      <w:lvlText w:val=""/>
      <w:lvlJc w:val="left"/>
    </w:lvl>
    <w:lvl w:ilvl="8" w:tplc="11D0BF6A">
      <w:numFmt w:val="decimal"/>
      <w:lvlText w:val=""/>
      <w:lvlJc w:val="left"/>
    </w:lvl>
  </w:abstractNum>
  <w:abstractNum w:abstractNumId="2">
    <w:nsid w:val="098320AF"/>
    <w:multiLevelType w:val="hybridMultilevel"/>
    <w:tmpl w:val="1CBA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25161"/>
    <w:multiLevelType w:val="hybridMultilevel"/>
    <w:tmpl w:val="693ED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432C1E"/>
    <w:multiLevelType w:val="hybridMultilevel"/>
    <w:tmpl w:val="BFC4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B30B3"/>
    <w:multiLevelType w:val="hybridMultilevel"/>
    <w:tmpl w:val="50E833BE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711CD7"/>
    <w:multiLevelType w:val="hybridMultilevel"/>
    <w:tmpl w:val="8848CC74"/>
    <w:lvl w:ilvl="0" w:tplc="70AE522C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6E2F27"/>
    <w:multiLevelType w:val="hybridMultilevel"/>
    <w:tmpl w:val="5C8E2468"/>
    <w:lvl w:ilvl="0" w:tplc="331C4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28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44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A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0D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7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A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08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FF2AAB"/>
    <w:multiLevelType w:val="hybridMultilevel"/>
    <w:tmpl w:val="1BB0AC3E"/>
    <w:lvl w:ilvl="0" w:tplc="3A58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D24"/>
    <w:multiLevelType w:val="hybridMultilevel"/>
    <w:tmpl w:val="855CC1B4"/>
    <w:lvl w:ilvl="0" w:tplc="53CAED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C9C7A07"/>
    <w:multiLevelType w:val="hybridMultilevel"/>
    <w:tmpl w:val="5DDC4DE0"/>
    <w:lvl w:ilvl="0" w:tplc="85EC106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B3DC8"/>
    <w:multiLevelType w:val="hybridMultilevel"/>
    <w:tmpl w:val="73D4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32F05"/>
    <w:multiLevelType w:val="hybridMultilevel"/>
    <w:tmpl w:val="10284F02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24"/>
    <w:rsid w:val="00065356"/>
    <w:rsid w:val="00077F1B"/>
    <w:rsid w:val="000A1EDB"/>
    <w:rsid w:val="002B345A"/>
    <w:rsid w:val="00301740"/>
    <w:rsid w:val="0036036E"/>
    <w:rsid w:val="005145D7"/>
    <w:rsid w:val="005B4800"/>
    <w:rsid w:val="00644993"/>
    <w:rsid w:val="006D6F66"/>
    <w:rsid w:val="00790DC6"/>
    <w:rsid w:val="00793ADE"/>
    <w:rsid w:val="00794711"/>
    <w:rsid w:val="00883B24"/>
    <w:rsid w:val="00903F42"/>
    <w:rsid w:val="00AC1A15"/>
    <w:rsid w:val="00AD0235"/>
    <w:rsid w:val="00B50462"/>
    <w:rsid w:val="00BE175F"/>
    <w:rsid w:val="00CA03CA"/>
    <w:rsid w:val="00CF536D"/>
    <w:rsid w:val="00E04188"/>
    <w:rsid w:val="00E55E25"/>
    <w:rsid w:val="00E712D2"/>
    <w:rsid w:val="00E73B18"/>
    <w:rsid w:val="00EA5C54"/>
    <w:rsid w:val="00ED361D"/>
    <w:rsid w:val="00EE717E"/>
    <w:rsid w:val="00F505B8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24"/>
  </w:style>
  <w:style w:type="paragraph" w:styleId="3">
    <w:name w:val="heading 3"/>
    <w:basedOn w:val="a"/>
    <w:next w:val="a"/>
    <w:link w:val="30"/>
    <w:qFormat/>
    <w:rsid w:val="00E55E25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17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rsid w:val="00E55E25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numbering" w:customStyle="1" w:styleId="1">
    <w:name w:val="Нет списка1"/>
    <w:next w:val="a2"/>
    <w:uiPriority w:val="99"/>
    <w:semiHidden/>
    <w:unhideWhenUsed/>
    <w:rsid w:val="00E55E25"/>
  </w:style>
  <w:style w:type="table" w:styleId="a4">
    <w:name w:val="Table Grid"/>
    <w:basedOn w:val="a1"/>
    <w:uiPriority w:val="39"/>
    <w:rsid w:val="00E55E2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5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5E25"/>
    <w:pPr>
      <w:spacing w:after="0" w:line="240" w:lineRule="auto"/>
    </w:pPr>
    <w:rPr>
      <w:rFonts w:ascii="Tahoma" w:hAnsi="Tahoma" w:cs="Tahoma"/>
      <w:color w:val="000000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5E25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qFormat/>
    <w:rsid w:val="00E55E25"/>
    <w:pPr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Emphasis"/>
    <w:basedOn w:val="a0"/>
    <w:uiPriority w:val="20"/>
    <w:qFormat/>
    <w:rsid w:val="00E55E25"/>
    <w:rPr>
      <w:i/>
      <w:iCs/>
    </w:rPr>
  </w:style>
  <w:style w:type="paragraph" w:customStyle="1" w:styleId="Default">
    <w:name w:val="Default"/>
    <w:rsid w:val="00E55E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ody Text"/>
    <w:basedOn w:val="a"/>
    <w:link w:val="ab"/>
    <w:rsid w:val="00E55E2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E55E2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rsid w:val="00E55E25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E55E2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24"/>
  </w:style>
  <w:style w:type="paragraph" w:styleId="3">
    <w:name w:val="heading 3"/>
    <w:basedOn w:val="a"/>
    <w:next w:val="a"/>
    <w:link w:val="30"/>
    <w:qFormat/>
    <w:rsid w:val="00E55E25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17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rsid w:val="00E55E25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numbering" w:customStyle="1" w:styleId="1">
    <w:name w:val="Нет списка1"/>
    <w:next w:val="a2"/>
    <w:uiPriority w:val="99"/>
    <w:semiHidden/>
    <w:unhideWhenUsed/>
    <w:rsid w:val="00E55E25"/>
  </w:style>
  <w:style w:type="table" w:styleId="a4">
    <w:name w:val="Table Grid"/>
    <w:basedOn w:val="a1"/>
    <w:uiPriority w:val="39"/>
    <w:rsid w:val="00E55E2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5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5E25"/>
    <w:pPr>
      <w:spacing w:after="0" w:line="240" w:lineRule="auto"/>
    </w:pPr>
    <w:rPr>
      <w:rFonts w:ascii="Tahoma" w:hAnsi="Tahoma" w:cs="Tahoma"/>
      <w:color w:val="000000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5E25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qFormat/>
    <w:rsid w:val="00E55E25"/>
    <w:pPr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Emphasis"/>
    <w:basedOn w:val="a0"/>
    <w:uiPriority w:val="20"/>
    <w:qFormat/>
    <w:rsid w:val="00E55E25"/>
    <w:rPr>
      <w:i/>
      <w:iCs/>
    </w:rPr>
  </w:style>
  <w:style w:type="paragraph" w:customStyle="1" w:styleId="Default">
    <w:name w:val="Default"/>
    <w:rsid w:val="00E55E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ody Text"/>
    <w:basedOn w:val="a"/>
    <w:link w:val="ab"/>
    <w:rsid w:val="00E55E2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E55E2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rsid w:val="00E55E25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E55E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4692</Words>
  <Characters>26746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Prockab</dc:creator>
  <cp:lastModifiedBy>Бутенко Алексей Владимирович</cp:lastModifiedBy>
  <cp:revision>2</cp:revision>
  <dcterms:created xsi:type="dcterms:W3CDTF">2019-06-24T07:48:00Z</dcterms:created>
  <dcterms:modified xsi:type="dcterms:W3CDTF">2019-06-24T07:48:00Z</dcterms:modified>
</cp:coreProperties>
</file>