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524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LotoAtlas — Brandbook</w:t>
      </w:r>
    </w:p>
    <w:p>
      <w:pPr>
        <w:jc w:val="center"/>
      </w:pPr>
      <w:r>
        <w:t xml:space="preserve">v0.3 — Dark First (baseado na v0.2 aprovada e geometricamente corrigida)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t xml:space="preserve">Brand board — tema escuro (v0.3)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Brandbook Content Master v0.3</w:t>
      </w:r>
    </w:p>
    <w:p>
      <w:pPr>
        <w:spacing w:after="100"/>
      </w:pPr>
      <w:r>
        <w:t xml:space="preserve">Documento-fonte que consolida a estratégia verbal e visual do pacote.</w:t>
      </w:r>
    </w:p>
    <w:p>
      <w:pPr>
        <w:pStyle w:val="Heading2"/>
        <w:spacing w:after="100" w:before="220"/>
      </w:pPr>
      <w:r>
        <w:t xml:space="preserve">O que mudou na v0.3</w:t>
      </w:r>
    </w:p>
    <w:p>
      <w:pPr>
        <w:spacing w:after="100"/>
      </w:pPr>
      <w:r>
        <w:t xml:space="preserve">Esta versão evolui as </w:t>
      </w:r>
      <w:r>
        <w:rPr>
          <w:b/>
          <w:bCs/>
        </w:rPr>
        <w:t xml:space="preserve">regras de aplicação de UI</w:t>
      </w:r>
      <w:r>
        <w:t xml:space="preserve"> a partir da v0.2 aprovada e geometricamente corrigida — não redesenha a identidade. Mudam apenas: sistema de cores (tema escuro por padrão, papéis semânticos, correção de acessibilidade), tipografia (adição de JetBrains Mono para dados) e aplicação de marca na UI (componentes reescritos em torno do produto escuro). Todo o restante deste documento — estratégia de marca, sistema de logo (incluindo a geometria corrigida do trevo), tom de voz, iconografia, social, app icon/favicon, naming/legal, checklist, personas, mensagens e guardrails de monetização — permanece o mesmo da v0.2.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Estratégia de Marca v0.2</w:t>
      </w:r>
    </w:p>
    <w:p>
      <w:pPr>
        <w:pStyle w:val="Heading2"/>
        <w:spacing w:after="100" w:before="220"/>
      </w:pPr>
      <w:r>
        <w:t xml:space="preserve">Essência</w:t>
      </w:r>
    </w:p>
    <w:p>
      <w:pPr>
        <w:spacing w:after="100"/>
      </w:pPr>
      <w:r>
        <w:rPr>
          <w:b/>
          <w:bCs/>
        </w:rPr>
        <w:t xml:space="preserve">Clareza para explorar possibilidades.</w:t>
      </w:r>
    </w:p>
    <w:p>
      <w:pPr>
        <w:spacing w:after="100"/>
      </w:pPr>
      <w:r>
        <w:t xml:space="preserve">LotoAtlas combina raciocínio, organização e o componente inevitável da sorte. A marca não promete prever sorteios nem aumentar magicamente as chances de uma combinação individual.</w:t>
      </w:r>
    </w:p>
    <w:p>
      <w:pPr>
        <w:pStyle w:val="Heading2"/>
        <w:spacing w:after="100" w:before="220"/>
      </w:pPr>
      <w:r>
        <w:t xml:space="preserve">Propósito</w:t>
      </w:r>
    </w:p>
    <w:p>
      <w:pPr>
        <w:spacing w:after="100"/>
      </w:pPr>
      <w:r>
        <w:t xml:space="preserve">Ajudar pessoas a organizar, analisar e acompanhar seus jogos de loteria com mais clareza, método e responsabilidade.</w:t>
      </w:r>
    </w:p>
    <w:p>
      <w:pPr>
        <w:pStyle w:val="Heading2"/>
        <w:spacing w:after="100" w:before="220"/>
      </w:pPr>
      <w:r>
        <w:t xml:space="preserve">Promessa de marca</w:t>
      </w:r>
    </w:p>
    <w:p>
      <w:pPr>
        <w:spacing w:after="100"/>
      </w:pPr>
      <w:r>
        <w:rPr>
          <w:b/>
          <w:bCs/>
        </w:rPr>
        <w:t xml:space="preserve">Transformar uma experiência normalmente guiada por impulso ou superstição em uma experiência mais organizada, transparente e compreensível.</w:t>
      </w:r>
    </w:p>
    <w:p>
      <w:pPr>
        <w:pStyle w:val="Heading2"/>
        <w:spacing w:after="100" w:before="220"/>
      </w:pPr>
      <w:r>
        <w:t xml:space="preserve">Posicionamento</w:t>
      </w:r>
    </w:p>
    <w:p>
      <w:pPr>
        <w:spacing w:after="100"/>
      </w:pPr>
      <w:r>
        <w:t xml:space="preserve">Para adultos que jogam loterias e querem tomar decisões com mais organização e informação, LotoAtlas é uma plataforma digital de estratégias, carteiras, histórico e conferência que torna regras e resultados compreensíveis sem vender previsão ou certeza.</w:t>
      </w:r>
    </w:p>
    <w:p>
      <w:pPr>
        <w:pStyle w:val="Heading2"/>
        <w:spacing w:after="100" w:before="220"/>
      </w:pPr>
      <w:r>
        <w:t xml:space="preserve">Pilares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Clareza</w:t>
      </w:r>
      <w:r>
        <w:t xml:space="preserve"> — explicar o que acontece e por quê.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Método</w:t>
      </w:r>
      <w:r>
        <w:t xml:space="preserve"> — estruturar escolhas e comparações.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Controle</w:t>
      </w:r>
      <w:r>
        <w:t xml:space="preserve"> — dar ao usuário visibilidade sobre carteira, histórico e resultado.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Responsabilidade</w:t>
      </w:r>
      <w:r>
        <w:t xml:space="preserve"> — evitar claims enganosos e glamourização do jogo.</w:t>
      </w:r>
    </w:p>
    <w:p>
      <w:pPr>
        <w:pStyle w:val="Heading2"/>
        <w:spacing w:after="100" w:before="220"/>
      </w:pPr>
      <w:r>
        <w:t xml:space="preserve">Arquétipos</w:t>
      </w:r>
    </w:p>
    <w:p>
      <w:pPr>
        <w:spacing w:after="100"/>
      </w:pPr>
      <w:r>
        <w:rPr>
          <w:b/>
          <w:bCs/>
        </w:rPr>
        <w:t xml:space="preserve">Primário: Sábio (70%)</w:t>
      </w:r>
      <w:r>
        <w:t xml:space="preserve">  </w:t>
      </w:r>
    </w:p>
    <w:p>
      <w:pPr>
        <w:spacing w:after="100"/>
      </w:pPr>
      <w:r>
        <w:t xml:space="preserve">Conhecimento, explicação, lógica, transparência.</w:t>
      </w:r>
    </w:p>
    <w:p>
      <w:pPr>
        <w:spacing w:after="100"/>
      </w:pPr>
      <w:r>
        <w:rPr>
          <w:b/>
          <w:bCs/>
        </w:rPr>
        <w:t xml:space="preserve">Secundário: Explorador (30%)</w:t>
      </w:r>
      <w:r>
        <w:t xml:space="preserve">  </w:t>
      </w:r>
    </w:p>
    <w:p>
      <w:pPr>
        <w:spacing w:after="100"/>
      </w:pPr>
      <w:r>
        <w:t xml:space="preserve">Descoberta, possibilidades, autonomia e curiosidade.</w:t>
      </w:r>
    </w:p>
    <w:p>
      <w:pPr>
        <w:pStyle w:val="Heading2"/>
        <w:spacing w:after="100" w:before="220"/>
      </w:pPr>
      <w:r>
        <w:t xml:space="preserve">Personalidade</w:t>
      </w:r>
    </w:p>
    <w:p>
      <w:pPr>
        <w:pStyle w:val="ListParagraph"/>
        <w:numPr>
          <w:ilvl w:val="0"/>
          <w:numId w:val="1"/>
        </w:numPr>
      </w:pPr>
      <w:r>
        <w:t xml:space="preserve">inteligente, não pedante;</w:t>
      </w:r>
    </w:p>
    <w:p>
      <w:pPr>
        <w:pStyle w:val="ListParagraph"/>
        <w:numPr>
          <w:ilvl w:val="0"/>
          <w:numId w:val="1"/>
        </w:numPr>
      </w:pPr>
      <w:r>
        <w:t xml:space="preserve">objetiva, não fria;</w:t>
      </w:r>
    </w:p>
    <w:p>
      <w:pPr>
        <w:pStyle w:val="ListParagraph"/>
        <w:numPr>
          <w:ilvl w:val="0"/>
          <w:numId w:val="1"/>
        </w:numPr>
      </w:pPr>
      <w:r>
        <w:t xml:space="preserve">segura, não autoritária;</w:t>
      </w:r>
    </w:p>
    <w:p>
      <w:pPr>
        <w:pStyle w:val="ListParagraph"/>
        <w:numPr>
          <w:ilvl w:val="0"/>
          <w:numId w:val="1"/>
        </w:numPr>
      </w:pPr>
      <w:r>
        <w:t xml:space="preserve">moderna, não cripto/cassino;</w:t>
      </w:r>
    </w:p>
    <w:p>
      <w:pPr>
        <w:pStyle w:val="ListParagraph"/>
        <w:numPr>
          <w:ilvl w:val="0"/>
          <w:numId w:val="1"/>
        </w:numPr>
      </w:pPr>
      <w:r>
        <w:t xml:space="preserve">otimista, não promissora;</w:t>
      </w:r>
    </w:p>
    <w:p>
      <w:pPr>
        <w:pStyle w:val="ListParagraph"/>
        <w:numPr>
          <w:ilvl w:val="0"/>
          <w:numId w:val="1"/>
        </w:numPr>
      </w:pPr>
      <w:r>
        <w:t xml:space="preserve">responsável, não moralista.</w:t>
      </w:r>
    </w:p>
    <w:p>
      <w:pPr>
        <w:pStyle w:val="Heading2"/>
        <w:spacing w:after="100" w:before="220"/>
      </w:pPr>
      <w:r>
        <w:t xml:space="preserve">Tagline principal</w:t>
      </w:r>
    </w:p>
    <w:p>
      <w:pPr>
        <w:spacing w:after="100"/>
      </w:pPr>
      <w:r>
        <w:rPr>
          <w:b/>
          <w:bCs/>
        </w:rPr>
        <w:t xml:space="preserve">Organize. Analise. Confira.</w:t>
      </w:r>
    </w:p>
    <w:p>
      <w:pPr>
        <w:pStyle w:val="Heading2"/>
        <w:spacing w:after="100" w:before="220"/>
      </w:pPr>
      <w:r>
        <w:t xml:space="preserve">Mensagem de apoio</w:t>
      </w:r>
    </w:p>
    <w:p>
      <w:pPr>
        <w:spacing w:after="100"/>
      </w:pPr>
      <w:r>
        <w:rPr>
          <w:b/>
          <w:bCs/>
        </w:rPr>
        <w:t xml:space="preserve">Estratégia com mais clareza para os seus jogos.</w:t>
      </w:r>
    </w:p>
    <w:p>
      <w:pPr>
        <w:pStyle w:val="Heading2"/>
        <w:spacing w:after="100" w:before="220"/>
      </w:pPr>
      <w:r>
        <w:t xml:space="preserve">Ideia visual</w:t>
      </w:r>
    </w:p>
    <w:p>
      <w:pPr>
        <w:spacing w:after="100"/>
      </w:pPr>
      <w:r>
        <w:rPr>
          <w:b/>
          <w:bCs/>
        </w:rPr>
        <w:t xml:space="preserve">Estratégia + sorte.</w:t>
      </w:r>
      <w:r>
        <w:t xml:space="preserve">  </w:t>
      </w:r>
    </w:p>
    <w:p>
      <w:pPr>
        <w:spacing w:after="100"/>
      </w:pPr>
      <w:r>
        <w:t xml:space="preserve">A rede geométrica representa método, organização e relação entre jogos. O trevo representa sorte, reconhecendo que o acaso continua fazendo parte da categoria.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Sistema de Logo</w:t>
      </w:r>
    </w:p>
    <w:p>
      <w:pPr>
        <w:pStyle w:val="Heading2"/>
        <w:spacing w:after="100" w:before="220"/>
      </w:pPr>
      <w:r>
        <w:t xml:space="preserve">Conceito</w:t>
      </w:r>
    </w:p>
    <w:p>
      <w:pPr>
        <w:spacing w:after="100"/>
      </w:pPr>
      <w:r>
        <w:t xml:space="preserve">O símbolo une dois códigos: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rede / letra A / mapa:</w:t>
      </w:r>
      <w:r>
        <w:t xml:space="preserve"> estratégia, carteira, relação entre números e direção;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trevo central:</w:t>
      </w:r>
      <w:r>
        <w:t xml:space="preserve"> sorte e reconhecimento imediato da categoria.</w:t>
      </w:r>
    </w:p>
    <w:p>
      <w:pPr>
        <w:spacing w:after="100"/>
      </w:pPr>
      <w:r>
        <w:t xml:space="preserve">O trevo é propositalmente secundário. A marca deve comunicar primeiro método e clareza, não promessa de ganho.</w:t>
      </w:r>
    </w:p>
    <w:p>
      <w:pPr>
        <w:pStyle w:val="Heading2"/>
        <w:spacing w:after="100" w:before="220"/>
      </w:pPr>
      <w:r>
        <w:t xml:space="preserve">Assinaturas</w:t>
      </w:r>
    </w:p>
    <w:p>
      <w:pPr>
        <w:pStyle w:val="Heading3"/>
        <w:spacing w:after="80" w:before="160"/>
      </w:pPr>
      <w:r>
        <w:t xml:space="preserve">Primária horizontal</w:t>
      </w:r>
    </w:p>
    <w:p>
      <w:pPr>
        <w:spacing w:after="100"/>
      </w:pPr>
      <w:r>
        <w:t xml:space="preserve">Usar em header de site, apresentações, documentos, parcerias e materiais com espaço horizontal.</w:t>
      </w:r>
    </w:p>
    <w:p>
      <w:pPr>
        <w:pStyle w:val="Heading3"/>
        <w:spacing w:after="80" w:before="160"/>
      </w:pPr>
      <w:r>
        <w:t xml:space="preserve">Secundária vertical</w:t>
      </w:r>
    </w:p>
    <w:p>
      <w:pPr>
        <w:spacing w:after="100"/>
      </w:pPr>
      <w:r>
        <w:t xml:space="preserve">Usar em capas, peças sociais, apresentações e materiais institucionais.</w:t>
      </w:r>
    </w:p>
    <w:p>
      <w:pPr>
        <w:pStyle w:val="Heading3"/>
        <w:spacing w:after="80" w:before="160"/>
      </w:pPr>
      <w:r>
        <w:t xml:space="preserve">Símbolo isolado</w:t>
      </w:r>
    </w:p>
    <w:p>
      <w:pPr>
        <w:spacing w:after="100"/>
      </w:pPr>
      <w:r>
        <w:t xml:space="preserve">Usar em avatar, app icon, favicon, badges e espaços pequenos.</w:t>
      </w:r>
    </w:p>
    <w:p>
      <w:pPr>
        <w:pStyle w:val="Heading3"/>
        <w:spacing w:after="80" w:before="160"/>
      </w:pPr>
      <w:r>
        <w:t xml:space="preserve">Monocromática</w:t>
      </w:r>
    </w:p>
    <w:p>
      <w:pPr>
        <w:spacing w:after="100"/>
      </w:pPr>
      <w:r>
        <w:t xml:space="preserve">Usar apenas quando impressão, gravação ou limitação técnica impedir uso da versão colorida.</w:t>
      </w:r>
    </w:p>
    <w:p>
      <w:pPr>
        <w:pStyle w:val="Heading2"/>
        <w:spacing w:after="100" w:before="220"/>
      </w:pPr>
      <w:r>
        <w:t xml:space="preserve">Área de proteção</w:t>
      </w:r>
    </w:p>
    <w:p>
      <w:pPr>
        <w:spacing w:after="100"/>
      </w:pPr>
      <w:r>
        <w:t xml:space="preserve">Defina </w:t>
      </w:r>
      <w:r>
        <w:rPr>
          <w:b/>
          <w:bCs/>
        </w:rPr>
        <w:t xml:space="preserve">x</w:t>
      </w:r>
      <w:r>
        <w:t xml:space="preserve"> como o diâmetro de um nó externo do símbolo. Preserve ao redor de toda assinatura no mínimo </w:t>
      </w:r>
      <w:r>
        <w:rPr>
          <w:b/>
          <w:bCs/>
        </w:rPr>
        <w:t xml:space="preserve">1x</w:t>
      </w:r>
      <w:r>
        <w:t xml:space="preserve"> de espaço livre.</w:t>
      </w:r>
    </w:p>
    <w:p>
      <w:pPr>
        <w:pStyle w:val="Heading2"/>
        <w:spacing w:after="100" w:before="220"/>
      </w:pPr>
      <w:r>
        <w:t xml:space="preserve">Tamanho mínimo recomendado</w:t>
      </w:r>
    </w:p>
    <w:p>
      <w:pPr>
        <w:pStyle w:val="ListParagraph"/>
        <w:numPr>
          <w:ilvl w:val="0"/>
          <w:numId w:val="1"/>
        </w:numPr>
      </w:pPr>
      <w:r>
        <w:t xml:space="preserve">logo horizontal digital: 120 px de largura;</w:t>
      </w:r>
    </w:p>
    <w:p>
      <w:pPr>
        <w:pStyle w:val="ListParagraph"/>
        <w:numPr>
          <w:ilvl w:val="0"/>
          <w:numId w:val="1"/>
        </w:numPr>
      </w:pPr>
      <w:r>
        <w:t xml:space="preserve">logo horizontal impresso: 30 mm de largura;</w:t>
      </w:r>
    </w:p>
    <w:p>
      <w:pPr>
        <w:pStyle w:val="ListParagraph"/>
        <w:numPr>
          <w:ilvl w:val="0"/>
          <w:numId w:val="1"/>
        </w:numPr>
      </w:pPr>
      <w:r>
        <w:t xml:space="preserve">símbolo digital: 32 px;</w:t>
      </w:r>
    </w:p>
    <w:p>
      <w:pPr>
        <w:pStyle w:val="ListParagraph"/>
        <w:numPr>
          <w:ilvl w:val="0"/>
          <w:numId w:val="1"/>
        </w:numPr>
      </w:pPr>
      <w:r>
        <w:t xml:space="preserve">favicon/micro mark: usar versão simplificada abaixo de 32 px.</w:t>
      </w:r>
    </w:p>
    <w:p>
      <w:pPr>
        <w:pStyle w:val="Heading2"/>
        <w:spacing w:after="100" w:before="220"/>
      </w:pPr>
      <w:r>
        <w:t xml:space="preserve">Fundos</w:t>
      </w:r>
    </w:p>
    <w:p>
      <w:pPr>
        <w:spacing w:after="100"/>
      </w:pPr>
      <w:r>
        <w:t xml:space="preserve">Preferir:</w:t>
      </w:r>
    </w:p>
    <w:p>
      <w:pPr>
        <w:pStyle w:val="ListParagraph"/>
        <w:numPr>
          <w:ilvl w:val="0"/>
          <w:numId w:val="1"/>
        </w:numPr>
      </w:pPr>
      <w:r>
        <w:t xml:space="preserve">off-white;</w:t>
      </w:r>
    </w:p>
    <w:p>
      <w:pPr>
        <w:pStyle w:val="ListParagraph"/>
        <w:numPr>
          <w:ilvl w:val="0"/>
          <w:numId w:val="1"/>
        </w:numPr>
      </w:pPr>
      <w:r>
        <w:t xml:space="preserve">branco;</w:t>
      </w:r>
    </w:p>
    <w:p>
      <w:pPr>
        <w:pStyle w:val="ListParagraph"/>
        <w:numPr>
          <w:ilvl w:val="0"/>
          <w:numId w:val="1"/>
        </w:numPr>
      </w:pPr>
      <w:r>
        <w:t xml:space="preserve">Atlas Ink (#101729).</w:t>
      </w:r>
    </w:p>
    <w:p>
      <w:pPr>
        <w:spacing w:after="100"/>
      </w:pPr>
      <w:r>
        <w:t xml:space="preserve">Em fundos fotográficos, utilizar apenas quando houver contraste suficiente e área visual limpa.</w:t>
      </w:r>
    </w:p>
    <w:p>
      <w:pPr>
        <w:pStyle w:val="Heading2"/>
        <w:spacing w:after="100" w:before="220"/>
      </w:pPr>
      <w:r>
        <w:t xml:space="preserve">Usos incorretos</w:t>
      </w:r>
    </w:p>
    <w:p>
      <w:pPr>
        <w:spacing w:after="100"/>
      </w:pPr>
      <w:r>
        <w:t xml:space="preserve">Não:</w:t>
      </w:r>
    </w:p>
    <w:p>
      <w:pPr>
        <w:pStyle w:val="ListParagraph"/>
        <w:numPr>
          <w:ilvl w:val="0"/>
          <w:numId w:val="1"/>
        </w:numPr>
      </w:pPr>
      <w:r>
        <w:t xml:space="preserve">alterar proporções;</w:t>
      </w:r>
    </w:p>
    <w:p>
      <w:pPr>
        <w:pStyle w:val="ListParagraph"/>
        <w:numPr>
          <w:ilvl w:val="0"/>
          <w:numId w:val="1"/>
        </w:numPr>
      </w:pPr>
      <w:r>
        <w:t xml:space="preserve">inclinar;</w:t>
      </w:r>
    </w:p>
    <w:p>
      <w:pPr>
        <w:pStyle w:val="ListParagraph"/>
        <w:numPr>
          <w:ilvl w:val="0"/>
          <w:numId w:val="1"/>
        </w:numPr>
      </w:pPr>
      <w:r>
        <w:t xml:space="preserve">aplicar sombras pesadas;</w:t>
      </w:r>
    </w:p>
    <w:p>
      <w:pPr>
        <w:pStyle w:val="ListParagraph"/>
        <w:numPr>
          <w:ilvl w:val="0"/>
          <w:numId w:val="1"/>
        </w:numPr>
      </w:pPr>
      <w:r>
        <w:t xml:space="preserve">trocar cores arbitrariamente;</w:t>
      </w:r>
    </w:p>
    <w:p>
      <w:pPr>
        <w:pStyle w:val="ListParagraph"/>
        <w:numPr>
          <w:ilvl w:val="0"/>
          <w:numId w:val="1"/>
        </w:numPr>
      </w:pPr>
      <w:r>
        <w:t xml:space="preserve">remover o trevo da assinatura oficial sem usar variante aprovada;</w:t>
      </w:r>
    </w:p>
    <w:p>
      <w:pPr>
        <w:pStyle w:val="ListParagraph"/>
        <w:numPr>
          <w:ilvl w:val="0"/>
          <w:numId w:val="1"/>
        </w:numPr>
      </w:pPr>
      <w:r>
        <w:t xml:space="preserve">transformar o trevo em elemento maior que a rede;</w:t>
      </w:r>
    </w:p>
    <w:p>
      <w:pPr>
        <w:pStyle w:val="ListParagraph"/>
        <w:numPr>
          <w:ilvl w:val="0"/>
          <w:numId w:val="1"/>
        </w:numPr>
      </w:pPr>
      <w:r>
        <w:t xml:space="preserve">adicionar cifrão, moedas, notas ou jackpot ao símbolo;</w:t>
      </w:r>
    </w:p>
    <w:p>
      <w:pPr>
        <w:pStyle w:val="ListParagraph"/>
        <w:numPr>
          <w:ilvl w:val="0"/>
          <w:numId w:val="1"/>
        </w:numPr>
      </w:pPr>
      <w:r>
        <w:t xml:space="preserve">usar efeitos 3D/cassino;</w:t>
      </w:r>
    </w:p>
    <w:p>
      <w:pPr>
        <w:pStyle w:val="ListParagraph"/>
        <w:numPr>
          <w:ilvl w:val="0"/>
          <w:numId w:val="1"/>
        </w:numPr>
      </w:pPr>
      <w:r>
        <w:t xml:space="preserve">usar cores oficiais de uma modalidade como identidade corporativa principal;</w:t>
      </w:r>
    </w:p>
    <w:p>
      <w:pPr>
        <w:pStyle w:val="ListParagraph"/>
        <w:numPr>
          <w:ilvl w:val="0"/>
          <w:numId w:val="1"/>
        </w:numPr>
      </w:pPr>
      <w:r>
        <w:t xml:space="preserve">colocar texto muito próximo da marca.</w:t>
      </w:r>
    </w:p>
    <w:p>
      <w:pPr>
        <w:pStyle w:val="Heading2"/>
        <w:spacing w:after="100" w:before="220"/>
      </w:pPr>
      <w:r>
        <w:t xml:space="preserve">Nota de produção</w:t>
      </w:r>
    </w:p>
    <w:p>
      <w:pPr>
        <w:spacing w:after="100"/>
      </w:pPr>
      <w:r>
        <w:t xml:space="preserve">Os SVGs deste pacote são ativos vetoriais de trabalho da identidade v0.2. Antes de registro/produção gráfica definitiva, recomenda-se revisão de desenho e conversão final do wordmark em curvas/outlines para eliminar dependência de fonte instalada.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Sistema de Cores (v0.3 — Dark First)</w:t>
      </w:r>
    </w:p>
    <w:p>
      <w:pPr>
        <w:spacing w:after="100"/>
      </w:pPr>
      <w:r>
        <w:t xml:space="preserve">Esta seção reorganiza a aplicação das cores em torno de um tema </w:t>
      </w:r>
      <w:r>
        <w:rPr>
          <w:b/>
          <w:bCs/>
        </w:rPr>
        <w:t xml:space="preserve">escuro por padrão</w:t>
      </w:r>
      <w:r>
        <w:t xml:space="preserve"> e de </w:t>
      </w:r>
      <w:r>
        <w:rPr>
          <w:b/>
          <w:bCs/>
        </w:rPr>
        <w:t xml:space="preserve">papéis semânticos</w:t>
      </w:r>
      <w:r>
        <w:t xml:space="preserve">, sem alterar nenhuma cor bruta da marca (v0.2).</w:t>
      </w:r>
    </w:p>
    <w:p>
      <w:pPr>
        <w:pStyle w:val="Heading2"/>
        <w:spacing w:after="100" w:before="220"/>
      </w:pPr>
      <w:r>
        <w:t xml:space="preserve">Paleta bruta (inalterada desde v0.2)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D2740"/>
          </w:tcPr>
          <w:p>
            <w:pPr>
              <w:spacing w:after="40"/>
            </w:pPr>
            <w:r>
              <w:t xml:space="preserve">Nome</w:t>
            </w:r>
          </w:p>
        </w:tc>
        <w:tc>
          <w:tcPr>
            <w:shd w:fill="1D2740"/>
          </w:tcPr>
          <w:p>
            <w:pPr>
              <w:spacing w:after="40"/>
            </w:pPr>
            <w:r>
              <w:t xml:space="preserve">HEX</w:t>
            </w:r>
          </w:p>
        </w:tc>
        <w:tc>
          <w:tcPr>
            <w:shd w:fill="1D2740"/>
          </w:tcPr>
          <w:p>
            <w:pPr>
              <w:spacing w:after="40"/>
            </w:pPr>
            <w:r>
              <w:t xml:space="preserve">Papel de marca</w:t>
            </w:r>
          </w:p>
        </w:tc>
      </w:tr>
      <w:tr>
        <w:tc>
          <w:p>
            <w:pPr>
              <w:spacing w:after="40"/>
            </w:pPr>
            <w:r>
              <w:t xml:space="preserve">Atlas Ink</w:t>
            </w:r>
          </w:p>
        </w:tc>
        <w:tc>
          <w:p>
            <w:pPr>
              <w:spacing w:after="40"/>
            </w:pPr>
            <w:r>
              <w:t xml:space="preserve">#101729</w:t>
            </w:r>
          </w:p>
        </w:tc>
        <w:tc>
          <w:p>
            <w:pPr>
              <w:spacing w:after="40"/>
            </w:pPr>
            <w:r>
              <w:t xml:space="preserve">fundo escuro, texto, confiança</w:t>
            </w:r>
          </w:p>
        </w:tc>
      </w:tr>
      <w:tr>
        <w:tc>
          <w:p>
            <w:pPr>
              <w:spacing w:after="40"/>
            </w:pPr>
            <w:r>
              <w:t xml:space="preserve">Atlas Ink 2</w:t>
            </w:r>
          </w:p>
        </w:tc>
        <w:tc>
          <w:p>
            <w:pPr>
              <w:spacing w:after="40"/>
            </w:pPr>
            <w:r>
              <w:t xml:space="preserve">#1D2740</w:t>
            </w:r>
          </w:p>
        </w:tc>
        <w:tc>
          <w:p>
            <w:pPr>
              <w:spacing w:after="40"/>
            </w:pPr>
            <w:r>
              <w:t xml:space="preserve">superfície escura secundária</w:t>
            </w:r>
          </w:p>
        </w:tc>
      </w:tr>
      <w:tr>
        <w:tc>
          <w:p>
            <w:pPr>
              <w:spacing w:after="40"/>
            </w:pPr>
            <w:r>
              <w:t xml:space="preserve">Atlas Violet</w:t>
            </w:r>
          </w:p>
        </w:tc>
        <w:tc>
          <w:p>
            <w:pPr>
              <w:spacing w:after="40"/>
            </w:pPr>
            <w:r>
              <w:t xml:space="preserve">#6D3CFF</w:t>
            </w:r>
          </w:p>
        </w:tc>
        <w:tc>
          <w:p>
            <w:pPr>
              <w:spacing w:after="40"/>
            </w:pPr>
            <w:r>
              <w:t xml:space="preserve">marca, tecnologia, seleção</w:t>
            </w:r>
          </w:p>
        </w:tc>
      </w:tr>
      <w:tr>
        <w:tc>
          <w:p>
            <w:pPr>
              <w:spacing w:after="40"/>
            </w:pPr>
            <w:r>
              <w:t xml:space="preserve">Atlas Violet Light</w:t>
            </w:r>
          </w:p>
        </w:tc>
        <w:tc>
          <w:p>
            <w:pPr>
              <w:spacing w:after="40"/>
            </w:pPr>
            <w:r>
              <w:t xml:space="preserve">#8B5CFF</w:t>
            </w:r>
          </w:p>
        </w:tc>
        <w:tc>
          <w:p>
            <w:pPr>
              <w:spacing w:after="40"/>
            </w:pPr>
            <w:r>
              <w:t xml:space="preserve">gradientes e destaque</w:t>
            </w:r>
          </w:p>
        </w:tc>
      </w:tr>
      <w:tr>
        <w:tc>
          <w:p>
            <w:pPr>
              <w:spacing w:after="40"/>
            </w:pPr>
            <w:r>
              <w:t xml:space="preserve">Atlas Blue</w:t>
            </w:r>
          </w:p>
        </w:tc>
        <w:tc>
          <w:p>
            <w:pPr>
              <w:spacing w:after="40"/>
            </w:pPr>
            <w:r>
              <w:t xml:space="preserve">#1677FF</w:t>
            </w:r>
          </w:p>
        </w:tc>
        <w:tc>
          <w:p>
            <w:pPr>
              <w:spacing w:after="40"/>
            </w:pPr>
            <w:r>
              <w:t xml:space="preserve">clareza, dados, apoio</w:t>
            </w:r>
          </w:p>
        </w:tc>
      </w:tr>
      <w:tr>
        <w:tc>
          <w:p>
            <w:pPr>
              <w:spacing w:after="40"/>
            </w:pPr>
            <w:r>
              <w:t xml:space="preserve">Atlas Teal</w:t>
            </w:r>
          </w:p>
        </w:tc>
        <w:tc>
          <w:p>
            <w:pPr>
              <w:spacing w:after="40"/>
            </w:pPr>
            <w:r>
              <w:t xml:space="preserve">#12C7B0</w:t>
            </w:r>
          </w:p>
        </w:tc>
        <w:tc>
          <w:p>
            <w:pPr>
              <w:spacing w:after="40"/>
            </w:pPr>
            <w:r>
              <w:t xml:space="preserve">análise, confirmação, apoio</w:t>
            </w:r>
          </w:p>
        </w:tc>
      </w:tr>
      <w:tr>
        <w:tc>
          <w:p>
            <w:pPr>
              <w:spacing w:after="40"/>
            </w:pPr>
            <w:r>
              <w:t xml:space="preserve">Luck Green</w:t>
            </w:r>
          </w:p>
        </w:tc>
        <w:tc>
          <w:p>
            <w:pPr>
              <w:spacing w:after="40"/>
            </w:pPr>
            <w:r>
              <w:t xml:space="preserve">#22B96B</w:t>
            </w:r>
          </w:p>
        </w:tc>
        <w:tc>
          <w:p>
            <w:pPr>
              <w:spacing w:after="40"/>
            </w:pPr>
            <w:r>
              <w:t xml:space="preserve">sorte, trevo, sucesso factual</w:t>
            </w:r>
          </w:p>
        </w:tc>
      </w:tr>
      <w:tr>
        <w:tc>
          <w:p>
            <w:pPr>
              <w:spacing w:after="40"/>
            </w:pPr>
            <w:r>
              <w:t xml:space="preserve">Luck Green Light</w:t>
            </w:r>
          </w:p>
        </w:tc>
        <w:tc>
          <w:p>
            <w:pPr>
              <w:spacing w:after="40"/>
            </w:pPr>
            <w:r>
              <w:t xml:space="preserve">#66D889</w:t>
            </w:r>
          </w:p>
        </w:tc>
        <w:tc>
          <w:p>
            <w:pPr>
              <w:spacing w:after="40"/>
            </w:pPr>
            <w:r>
              <w:t xml:space="preserve">gradientes do trevo</w:t>
            </w:r>
          </w:p>
        </w:tc>
      </w:tr>
      <w:tr>
        <w:tc>
          <w:p>
            <w:pPr>
              <w:spacing w:after="40"/>
            </w:pPr>
            <w:r>
              <w:t xml:space="preserve">Atlas Off-white</w:t>
            </w:r>
          </w:p>
        </w:tc>
        <w:tc>
          <w:p>
            <w:pPr>
              <w:spacing w:after="40"/>
            </w:pPr>
            <w:r>
              <w:t xml:space="preserve">#F7F9FC</w:t>
            </w:r>
          </w:p>
        </w:tc>
        <w:tc>
          <w:p>
            <w:pPr>
              <w:spacing w:after="40"/>
            </w:pPr>
            <w:r>
              <w:t xml:space="preserve">fundo institucional/claro</w:t>
            </w:r>
          </w:p>
        </w:tc>
      </w:tr>
      <w:tr>
        <w:tc>
          <w:p>
            <w:pPr>
              <w:spacing w:after="40"/>
            </w:pPr>
            <w:r>
              <w:t xml:space="preserve">White</w:t>
            </w:r>
          </w:p>
        </w:tc>
        <w:tc>
          <w:p>
            <w:pPr>
              <w:spacing w:after="40"/>
            </w:pPr>
            <w:r>
              <w:t xml:space="preserve">#FFFFFF</w:t>
            </w:r>
          </w:p>
        </w:tc>
        <w:tc>
          <w:p>
            <w:pPr>
              <w:spacing w:after="40"/>
            </w:pPr>
            <w:r>
              <w:t xml:space="preserve">texto sobre fundo escuro, superfícies claras</w:t>
            </w:r>
          </w:p>
        </w:tc>
      </w:tr>
      <w:tr>
        <w:tc>
          <w:p>
            <w:pPr>
              <w:spacing w:after="40"/>
            </w:pPr>
            <w:r>
              <w:t xml:space="preserve">Atlas Muted</w:t>
            </w:r>
          </w:p>
        </w:tc>
        <w:tc>
          <w:p>
            <w:pPr>
              <w:spacing w:after="40"/>
            </w:pPr>
            <w:r>
              <w:t xml:space="preserve">#6B7280</w:t>
            </w:r>
          </w:p>
        </w:tc>
        <w:tc>
          <w:p>
            <w:pPr>
              <w:spacing w:after="40"/>
            </w:pPr>
            <w:r>
              <w:t xml:space="preserve">texto secundário (tema claro)</w:t>
            </w:r>
          </w:p>
        </w:tc>
      </w:tr>
      <w:tr>
        <w:tc>
          <w:p>
            <w:pPr>
              <w:spacing w:after="40"/>
            </w:pPr>
            <w:r>
              <w:t xml:space="preserve">Atlas Line</w:t>
            </w:r>
          </w:p>
        </w:tc>
        <w:tc>
          <w:p>
            <w:pPr>
              <w:spacing w:after="40"/>
            </w:pPr>
            <w:r>
              <w:t xml:space="preserve">#DDE3EC</w:t>
            </w:r>
          </w:p>
        </w:tc>
        <w:tc>
          <w:p>
            <w:pPr>
              <w:spacing w:after="40"/>
            </w:pPr>
            <w:r>
              <w:t xml:space="preserve">divisores e bordas (tema claro)</w:t>
            </w:r>
          </w:p>
        </w:tc>
      </w:tr>
    </w:tbl>
    <w:p/>
    <w:p>
      <w:pPr>
        <w:pStyle w:val="Heading2"/>
        <w:spacing w:after="100" w:before="220"/>
      </w:pPr>
      <w:r>
        <w:t xml:space="preserve">Hierarquia escura por padrão</w:t>
      </w:r>
    </w:p>
    <w:p>
      <w:pPr>
        <w:spacing w:after="100"/>
      </w:pPr>
      <w:r>
        <w:t xml:space="preserve">O aplicativo abre em modo escuro por padrão. O tema claro permanece documentado como alternativa secundária/institucional.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Fundo primário:</w:t>
      </w:r>
      <w:r>
        <w:t xml:space="preserve"> Atlas Ink (`#101729`).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Superfície de cartões/painéis:</w:t>
      </w:r>
      <w:r>
        <w:t xml:space="preserve"> Atlas Ink 2 (`#1D2740`).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Superfície elevada</w:t>
      </w:r>
      <w:r>
        <w:t xml:space="preserve"> (modais, pop-overs, menus): `#232F4D`.</w:t>
      </w:r>
    </w:p>
    <w:p>
      <w:pPr>
        <w:spacing w:after="100"/>
      </w:pPr>
      <w:r>
        <w:t xml:space="preserve">Cartões não são mais documentados como predominantemente brancos no tema principal do produto.</w:t>
      </w:r>
    </w:p>
    <w:p>
      <w:pPr>
        <w:pStyle w:val="Heading2"/>
        <w:spacing w:after="100" w:before="220"/>
      </w:pPr>
      <w:r>
        <w:t xml:space="preserve">Uma única cor de ação funcional</w:t>
      </w:r>
    </w:p>
    <w:p>
      <w:pPr>
        <w:spacing w:after="100"/>
      </w:pPr>
      <w:r>
        <w:rPr>
          <w:b/>
          <w:bCs/>
        </w:rPr>
        <w:t xml:space="preserve">Atlas Violet</w:t>
      </w:r>
      <w:r>
        <w:t xml:space="preserve"> é a única cor de ação funcional: botões primários, estados selecionados, controles ativos, foco. Atlas Blue e Atlas Teal permanecem como identificadores de dado/modalidade, nunca como CTA concorrente. Luck Green é reservado para confirmação/sucesso factual, nunca para sugerir prêmio.</w:t>
      </w:r>
    </w:p>
    <w:p>
      <w:pPr>
        <w:pStyle w:val="Heading2"/>
        <w:spacing w:after="100" w:before="220"/>
      </w:pPr>
      <w:r>
        <w:t xml:space="preserve">Correção de acessibilidade</w:t>
      </w:r>
    </w:p>
    <w:p>
      <w:pPr>
        <w:spacing w:after="100"/>
      </w:pPr>
      <w:r>
        <w:t xml:space="preserve">Medições exatas (WCAG 2.x) mostram que Atlas Violet e Atlas Violet Light </w:t>
      </w:r>
      <w:r>
        <w:rPr>
          <w:b/>
          <w:bCs/>
        </w:rPr>
        <w:t xml:space="preserve">não</w:t>
      </w:r>
      <w:r>
        <w:t xml:space="preserve"> atingem 4,5:1 para texto normal sobre Atlas Ink:</w:t>
      </w:r>
    </w:p>
    <w:p>
      <w:pPr>
        <w:pStyle w:val="ListParagraph"/>
        <w:numPr>
          <w:ilvl w:val="0"/>
          <w:numId w:val="1"/>
        </w:numPr>
      </w:pPr>
      <w:r>
        <w:t xml:space="preserve">Atlas Violet (`#6D3CFF`) / Atlas Ink: </w:t>
      </w:r>
      <w:r>
        <w:rPr>
          <w:b/>
          <w:bCs/>
        </w:rPr>
        <w:t xml:space="preserve">3,18:1</w:t>
      </w:r>
      <w:r>
        <w:t xml:space="preserve"> — ok para contornos não textuais (≥3:1), não para texto;</w:t>
      </w:r>
    </w:p>
    <w:p>
      <w:pPr>
        <w:pStyle w:val="ListParagraph"/>
        <w:numPr>
          <w:ilvl w:val="0"/>
          <w:numId w:val="1"/>
        </w:numPr>
      </w:pPr>
      <w:r>
        <w:t xml:space="preserve">Atlas Violet Light (`#8B5CFF`) / Atlas Ink: </w:t>
      </w:r>
      <w:r>
        <w:rPr>
          <w:b/>
          <w:bCs/>
        </w:rPr>
        <w:t xml:space="preserve">4,31:1</w:t>
      </w:r>
      <w:r>
        <w:t xml:space="preserve"> — abaixo de 4,5:1.</w:t>
      </w:r>
    </w:p>
    <w:p>
      <w:pPr>
        <w:spacing w:after="100"/>
      </w:pPr>
      <w:r>
        <w:t xml:space="preserve">Por isso, um novo token de texto de ação/link acessível foi criado: `#A07AFF` ("Atlas Violet Accessible").</w:t>
      </w:r>
    </w:p>
    <w:p>
      <w:pPr>
        <w:pStyle w:val="Heading2"/>
        <w:spacing w:after="100" w:before="220"/>
      </w:pPr>
      <w:r>
        <w:t xml:space="preserve">Tabela de contraste medida (tema escuro)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D2740"/>
          </w:tcPr>
          <w:p>
            <w:pPr>
              <w:spacing w:after="40"/>
            </w:pPr>
            <w:r>
              <w:t xml:space="preserve">Par</w:t>
            </w:r>
          </w:p>
        </w:tc>
        <w:tc>
          <w:tcPr>
            <w:shd w:fill="1D2740"/>
          </w:tcPr>
          <w:p>
            <w:pPr>
              <w:spacing w:after="40"/>
            </w:pPr>
            <w:r>
              <w:t xml:space="preserve">Contraste</w:t>
            </w:r>
          </w:p>
        </w:tc>
        <w:tc>
          <w:tcPr>
            <w:shd w:fill="1D2740"/>
          </w:tcPr>
          <w:p>
            <w:pPr>
              <w:spacing w:after="40"/>
            </w:pPr>
            <w:r>
              <w:t xml:space="preserve">Uso válido</w:t>
            </w:r>
          </w:p>
        </w:tc>
      </w:tr>
      <w:tr>
        <w:tc>
          <w:p>
            <w:pPr>
              <w:spacing w:after="40"/>
            </w:pPr>
            <w:r>
              <w:t xml:space="preserve">White / Atlas Ink</w:t>
            </w:r>
          </w:p>
        </w:tc>
        <w:tc>
          <w:p>
            <w:pPr>
              <w:spacing w:after="40"/>
            </w:pPr>
            <w:r>
              <w:t xml:space="preserve">17,85:1</w:t>
            </w:r>
          </w:p>
        </w:tc>
        <w:tc>
          <w:p>
            <w:pPr>
              <w:spacing w:after="40"/>
            </w:pPr>
            <w:r>
              <w:t xml:space="preserve">texto normal (AAA)</w:t>
            </w:r>
          </w:p>
        </w:tc>
      </w:tr>
      <w:tr>
        <w:tc>
          <w:p>
            <w:pPr>
              <w:spacing w:after="40"/>
            </w:pPr>
            <w:r>
              <w:t xml:space="preserve">White / Atlas Ink 2</w:t>
            </w:r>
          </w:p>
        </w:tc>
        <w:tc>
          <w:p>
            <w:pPr>
              <w:spacing w:after="40"/>
            </w:pPr>
            <w:r>
              <w:t xml:space="preserve">14,83:1</w:t>
            </w:r>
          </w:p>
        </w:tc>
        <w:tc>
          <w:p>
            <w:pPr>
              <w:spacing w:after="40"/>
            </w:pPr>
            <w:r>
              <w:t xml:space="preserve">texto normal (AAA)</w:t>
            </w:r>
          </w:p>
        </w:tc>
      </w:tr>
      <w:tr>
        <w:tc>
          <w:p>
            <w:pPr>
              <w:spacing w:after="40"/>
            </w:pPr>
            <w:r>
              <w:t xml:space="preserve">Atlas Off-white / Atlas Ink</w:t>
            </w:r>
          </w:p>
        </w:tc>
        <w:tc>
          <w:p>
            <w:pPr>
              <w:spacing w:after="40"/>
            </w:pPr>
            <w:r>
              <w:t xml:space="preserve">16,92:1</w:t>
            </w:r>
          </w:p>
        </w:tc>
        <w:tc>
          <w:p>
            <w:pPr>
              <w:spacing w:after="40"/>
            </w:pPr>
            <w:r>
              <w:t xml:space="preserve">texto normal (AAA)</w:t>
            </w:r>
          </w:p>
        </w:tc>
      </w:tr>
      <w:tr>
        <w:tc>
          <w:p>
            <w:pPr>
              <w:spacing w:after="40"/>
            </w:pPr>
            <w:r>
              <w:t xml:space="preserve">Atlas Mist `#B7C0D6` / Atlas Ink</w:t>
            </w:r>
          </w:p>
        </w:tc>
        <w:tc>
          <w:p>
            <w:pPr>
              <w:spacing w:after="40"/>
            </w:pPr>
            <w:r>
              <w:t xml:space="preserve">9,79:1</w:t>
            </w:r>
          </w:p>
        </w:tc>
        <w:tc>
          <w:p>
            <w:pPr>
              <w:spacing w:after="40"/>
            </w:pPr>
            <w:r>
              <w:t xml:space="preserve">texto secundário (AAA)</w:t>
            </w:r>
          </w:p>
        </w:tc>
      </w:tr>
      <w:tr>
        <w:tc>
          <w:p>
            <w:pPr>
              <w:spacing w:after="40"/>
            </w:pPr>
            <w:r>
              <w:t xml:space="preserve">Atlas Mist `#B7C0D6` / Atlas Ink 2</w:t>
            </w:r>
          </w:p>
        </w:tc>
        <w:tc>
          <w:p>
            <w:pPr>
              <w:spacing w:after="40"/>
            </w:pPr>
            <w:r>
              <w:t xml:space="preserve">8,14:1</w:t>
            </w:r>
          </w:p>
        </w:tc>
        <w:tc>
          <w:p>
            <w:pPr>
              <w:spacing w:after="40"/>
            </w:pPr>
            <w:r>
              <w:t xml:space="preserve">texto secundário (AAA)</w:t>
            </w:r>
          </w:p>
        </w:tc>
      </w:tr>
      <w:tr>
        <w:tc>
          <w:p>
            <w:pPr>
              <w:spacing w:after="40"/>
            </w:pPr>
            <w:r>
              <w:t xml:space="preserve">Atlas Violet Accessible `#A07AFF` / Atlas Ink</w:t>
            </w:r>
          </w:p>
        </w:tc>
        <w:tc>
          <w:p>
            <w:pPr>
              <w:spacing w:after="40"/>
            </w:pPr>
            <w:r>
              <w:t xml:space="preserve">5,71:1</w:t>
            </w:r>
          </w:p>
        </w:tc>
        <w:tc>
          <w:p>
            <w:pPr>
              <w:spacing w:after="40"/>
            </w:pPr>
            <w:r>
              <w:t xml:space="preserve">texto de ação/link (AA)</w:t>
            </w:r>
          </w:p>
        </w:tc>
      </w:tr>
      <w:tr>
        <w:tc>
          <w:p>
            <w:pPr>
              <w:spacing w:after="40"/>
            </w:pPr>
            <w:r>
              <w:t xml:space="preserve">Atlas Violet Accessible `#A07AFF` / Atlas Ink 2</w:t>
            </w:r>
          </w:p>
        </w:tc>
        <w:tc>
          <w:p>
            <w:pPr>
              <w:spacing w:after="40"/>
            </w:pPr>
            <w:r>
              <w:t xml:space="preserve">4,75:1</w:t>
            </w:r>
          </w:p>
        </w:tc>
        <w:tc>
          <w:p>
            <w:pPr>
              <w:spacing w:after="40"/>
            </w:pPr>
            <w:r>
              <w:t xml:space="preserve">texto de ação/link (AA)</w:t>
            </w:r>
          </w:p>
        </w:tc>
      </w:tr>
      <w:tr>
        <w:tc>
          <w:p>
            <w:pPr>
              <w:spacing w:after="40"/>
            </w:pPr>
            <w:r>
              <w:t xml:space="preserve">Atlas Violet Light `#8B5CFF` / Atlas Ink</w:t>
            </w:r>
          </w:p>
        </w:tc>
        <w:tc>
          <w:p>
            <w:pPr>
              <w:spacing w:after="40"/>
            </w:pPr>
            <w:r>
              <w:t xml:space="preserve">4,31:1</w:t>
            </w:r>
          </w:p>
        </w:tc>
        <w:tc>
          <w:p>
            <w:pPr>
              <w:spacing w:after="40"/>
            </w:pPr>
            <w:r>
              <w:t xml:space="preserve">não usar para texto normal</w:t>
            </w:r>
          </w:p>
        </w:tc>
      </w:tr>
      <w:tr>
        <w:tc>
          <w:p>
            <w:pPr>
              <w:spacing w:after="40"/>
            </w:pPr>
            <w:r>
              <w:t xml:space="preserve">Atlas Violet `#6D3CFF` / Atlas Ink</w:t>
            </w:r>
          </w:p>
        </w:tc>
        <w:tc>
          <w:p>
            <w:pPr>
              <w:spacing w:after="40"/>
            </w:pPr>
            <w:r>
              <w:t xml:space="preserve">3,18:1</w:t>
            </w:r>
          </w:p>
        </w:tc>
        <w:tc>
          <w:p>
            <w:pPr>
              <w:spacing w:after="40"/>
            </w:pPr>
            <w:r>
              <w:t xml:space="preserve">contornos/foco não textuais apenas</w:t>
            </w:r>
          </w:p>
        </w:tc>
      </w:tr>
      <w:tr>
        <w:tc>
          <w:p>
            <w:pPr>
              <w:spacing w:after="40"/>
            </w:pPr>
            <w:r>
              <w:t xml:space="preserve">White / Atlas Violet (texto em botão)</w:t>
            </w:r>
          </w:p>
        </w:tc>
        <w:tc>
          <w:p>
            <w:pPr>
              <w:spacing w:after="40"/>
            </w:pPr>
            <w:r>
              <w:t xml:space="preserve">5,61:1</w:t>
            </w:r>
          </w:p>
        </w:tc>
        <w:tc>
          <w:p>
            <w:pPr>
              <w:spacing w:after="40"/>
            </w:pPr>
            <w:r>
              <w:t xml:space="preserve">texto sobre botão primário (AA)</w:t>
            </w:r>
          </w:p>
        </w:tc>
      </w:tr>
      <w:tr>
        <w:tc>
          <w:p>
            <w:pPr>
              <w:spacing w:after="40"/>
            </w:pPr>
            <w:r>
              <w:t xml:space="preserve">Atlas Blue `#1677FF` / Atlas Ink</w:t>
            </w:r>
          </w:p>
        </w:tc>
        <w:tc>
          <w:p>
            <w:pPr>
              <w:spacing w:after="40"/>
            </w:pPr>
            <w:r>
              <w:t xml:space="preserve">4,35:1</w:t>
            </w:r>
          </w:p>
        </w:tc>
        <w:tc>
          <w:p>
            <w:pPr>
              <w:spacing w:after="40"/>
            </w:pPr>
            <w:r>
              <w:t xml:space="preserve">texto grande apenas</w:t>
            </w:r>
          </w:p>
        </w:tc>
      </w:tr>
      <w:tr>
        <w:tc>
          <w:p>
            <w:pPr>
              <w:spacing w:after="40"/>
            </w:pPr>
            <w:r>
              <w:t xml:space="preserve">Atlas Teal `#12C7B0` / Atlas Ink</w:t>
            </w:r>
          </w:p>
        </w:tc>
        <w:tc>
          <w:p>
            <w:pPr>
              <w:spacing w:after="40"/>
            </w:pPr>
            <w:r>
              <w:t xml:space="preserve">8,35:1</w:t>
            </w:r>
          </w:p>
        </w:tc>
        <w:tc>
          <w:p>
            <w:pPr>
              <w:spacing w:after="40"/>
            </w:pPr>
            <w:r>
              <w:t xml:space="preserve">texto/ícone (AAA)</w:t>
            </w:r>
          </w:p>
        </w:tc>
      </w:tr>
      <w:tr>
        <w:tc>
          <w:p>
            <w:pPr>
              <w:spacing w:after="40"/>
            </w:pPr>
            <w:r>
              <w:t xml:space="preserve">Luck Green `#22B96B` / Atlas Ink</w:t>
            </w:r>
          </w:p>
        </w:tc>
        <w:tc>
          <w:p>
            <w:pPr>
              <w:spacing w:after="40"/>
            </w:pPr>
            <w:r>
              <w:t xml:space="preserve">6,99:1</w:t>
            </w:r>
          </w:p>
        </w:tc>
        <w:tc>
          <w:p>
            <w:pPr>
              <w:spacing w:after="40"/>
            </w:pPr>
            <w:r>
              <w:t xml:space="preserve">texto de sucesso (AAA)</w:t>
            </w:r>
          </w:p>
        </w:tc>
      </w:tr>
      <w:tr>
        <w:tc>
          <w:p>
            <w:pPr>
              <w:spacing w:after="40"/>
            </w:pPr>
            <w:r>
              <w:t xml:space="preserve">Luck Green Light `#66D889` / Atlas Ink</w:t>
            </w:r>
          </w:p>
        </w:tc>
        <w:tc>
          <w:p>
            <w:pPr>
              <w:spacing w:after="40"/>
            </w:pPr>
            <w:r>
              <w:t xml:space="preserve">9,99:1</w:t>
            </w:r>
          </w:p>
        </w:tc>
        <w:tc>
          <w:p>
            <w:pPr>
              <w:spacing w:after="40"/>
            </w:pPr>
            <w:r>
              <w:t xml:space="preserve">texto/ícone (AAA)</w:t>
            </w:r>
          </w:p>
        </w:tc>
      </w:tr>
      <w:tr>
        <w:tc>
          <w:p>
            <w:pPr>
              <w:spacing w:after="40"/>
            </w:pPr>
            <w:r>
              <w:t xml:space="preserve">Atlas Muted `#6B7280` / Atlas Ink</w:t>
            </w:r>
          </w:p>
        </w:tc>
        <w:tc>
          <w:p>
            <w:pPr>
              <w:spacing w:after="40"/>
            </w:pPr>
            <w:r>
              <w:t xml:space="preserve">3,69:1</w:t>
            </w:r>
          </w:p>
        </w:tc>
        <w:tc>
          <w:p>
            <w:pPr>
              <w:spacing w:after="40"/>
            </w:pPr>
            <w:r>
              <w:t xml:space="preserve">não projetado para o tema escuro</w:t>
            </w:r>
          </w:p>
        </w:tc>
      </w:tr>
    </w:tbl>
    <w:p/>
    <w:p>
      <w:pPr>
        <w:pStyle w:val="Heading2"/>
        <w:spacing w:after="100" w:before="220"/>
      </w:pPr>
      <w:r>
        <w:t xml:space="preserve">Gradiente de marca</w:t>
      </w:r>
    </w:p>
    <w:p>
      <w:pPr>
        <w:spacing w:after="100"/>
      </w:pPr>
      <w:r>
        <w:rPr>
          <w:b/>
          <w:bCs/>
        </w:rPr>
        <w:t xml:space="preserve">Atlas Spectrum:</w:t>
      </w:r>
      <w:r>
        <w:t xml:space="preserve"> #6D3CFF → #1677FF → #12C7B0 — conexões do símbolo, detalhes de destaque, gráficos institucionais, estados ativos. Evitar como fundo de grandes blocos de texto.</w:t>
      </w:r>
    </w:p>
    <w:p>
      <w:pPr>
        <w:pStyle w:val="Heading2"/>
        <w:spacing w:after="100" w:before="220"/>
      </w:pPr>
      <w:r>
        <w:t xml:space="preserve">Gradiente do trevo</w:t>
      </w:r>
    </w:p>
    <w:p>
      <w:pPr>
        <w:spacing w:after="100"/>
      </w:pPr>
      <w:r>
        <w:t xml:space="preserve">#66D889 → #22B96B — restrito a códigos de sorte, confirmação e marca. Não usar como cor dominante do produto para evitar aparência de casa de apostas.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Tipografia (v0.3)</w:t>
      </w:r>
    </w:p>
    <w:p>
      <w:pPr>
        <w:pStyle w:val="Heading2"/>
        <w:spacing w:after="100" w:before="220"/>
      </w:pPr>
      <w:r>
        <w:t xml:space="preserve">Família principal (marca/UI) — inalterada</w:t>
      </w:r>
    </w:p>
    <w:p>
      <w:pPr>
        <w:spacing w:after="100"/>
      </w:pPr>
      <w:r>
        <w:rPr>
          <w:b/>
          <w:bCs/>
        </w:rPr>
        <w:t xml:space="preserve">Inter</w:t>
      </w:r>
    </w:p>
    <w:p>
      <w:pPr>
        <w:spacing w:after="100"/>
      </w:pPr>
      <w:r>
        <w:t xml:space="preserve">Motivos: alta legibilidade em telas, excelente leitura de números, ampla variedade de pesos, linguagem contemporânea e neutra, boa aplicação em interfaces, relatórios e marketing.</w:t>
      </w:r>
    </w:p>
    <w:p>
      <w:pPr>
        <w:pStyle w:val="Heading2"/>
        <w:spacing w:after="100" w:before="220"/>
      </w:pPr>
      <w:r>
        <w:t xml:space="preserve">Hierarquia sugerida</w:t>
      </w:r>
    </w:p>
    <w:p>
      <w:pPr>
        <w:pStyle w:val="ListParagraph"/>
        <w:numPr>
          <w:ilvl w:val="0"/>
          <w:numId w:val="1"/>
        </w:numPr>
      </w:pPr>
      <w:r>
        <w:t xml:space="preserve">Display / Hero: Inter ExtraBold 800;</w:t>
      </w:r>
    </w:p>
    <w:p>
      <w:pPr>
        <w:pStyle w:val="ListParagraph"/>
        <w:numPr>
          <w:ilvl w:val="0"/>
          <w:numId w:val="1"/>
        </w:numPr>
      </w:pPr>
      <w:r>
        <w:t xml:space="preserve">H1/H2: Inter Bold 700;</w:t>
      </w:r>
    </w:p>
    <w:p>
      <w:pPr>
        <w:pStyle w:val="ListParagraph"/>
        <w:numPr>
          <w:ilvl w:val="0"/>
          <w:numId w:val="1"/>
        </w:numPr>
      </w:pPr>
      <w:r>
        <w:t xml:space="preserve">H3: Inter SemiBold 600;</w:t>
      </w:r>
    </w:p>
    <w:p>
      <w:pPr>
        <w:pStyle w:val="ListParagraph"/>
        <w:numPr>
          <w:ilvl w:val="0"/>
          <w:numId w:val="1"/>
        </w:numPr>
      </w:pPr>
      <w:r>
        <w:t xml:space="preserve">Body: Inter Regular 400;</w:t>
      </w:r>
    </w:p>
    <w:p>
      <w:pPr>
        <w:pStyle w:val="ListParagraph"/>
        <w:numPr>
          <w:ilvl w:val="0"/>
          <w:numId w:val="1"/>
        </w:numPr>
      </w:pPr>
      <w:r>
        <w:t xml:space="preserve">UI labels: Inter Medium/SemiBold 500–600.</w:t>
      </w:r>
    </w:p>
    <w:p>
      <w:pPr>
        <w:pStyle w:val="Heading2"/>
        <w:spacing w:after="100" w:before="220"/>
      </w:pPr>
      <w:r>
        <w:t xml:space="preserve">Família de dados (nova em v0.3) — JetBrains Mono</w:t>
      </w:r>
    </w:p>
    <w:p>
      <w:pPr>
        <w:spacing w:after="100"/>
      </w:pPr>
      <w:r>
        <w:t xml:space="preserve">A partir da v0.3, </w:t>
      </w:r>
      <w:r>
        <w:rPr>
          <w:b/>
          <w:bCs/>
        </w:rPr>
        <w:t xml:space="preserve">JetBrains Mono</w:t>
      </w:r>
      <w:r>
        <w:t xml:space="preserve"> é a família preferencial para valores numéricos/de dados — nunca para títulos, parágrafos, navegação ou rótulos de botão. Use-a apenas para: dezenas sorteadas/selecionadas, IDs de concurso, timestamps, contadores, valores monetários, e valores de métricas-chave onde o alinhamento tabular melhora a leitura. Token: `--la-font-mono`.</w:t>
      </w:r>
    </w:p>
    <w:p>
      <w:pPr>
        <w:pStyle w:val="Heading2"/>
        <w:spacing w:after="100" w:before="220"/>
      </w:pPr>
      <w:r>
        <w:t xml:space="preserve">Wordmark — inalterado</w:t>
      </w:r>
    </w:p>
    <w:p>
      <w:pPr>
        <w:spacing w:after="100"/>
      </w:pPr>
      <w:r>
        <w:rPr>
          <w:b/>
          <w:bCs/>
        </w:rPr>
        <w:t xml:space="preserve">Loto</w:t>
      </w:r>
      <w:r>
        <w:t xml:space="preserve"> em Atlas Ink (tema claro) ou White (tema escuro).</w:t>
      </w:r>
    </w:p>
    <w:p>
      <w:pPr>
        <w:spacing w:after="100"/>
      </w:pPr>
      <w:r>
        <w:rPr>
          <w:b/>
          <w:bCs/>
        </w:rPr>
        <w:t xml:space="preserve">Atlas</w:t>
      </w:r>
      <w:r>
        <w:t xml:space="preserve"> em Atlas Violet ou gradiente violeta.</w:t>
      </w:r>
    </w:p>
    <w:p>
      <w:pPr>
        <w:spacing w:after="100"/>
      </w:pPr>
      <w:r>
        <w:t xml:space="preserve">Evitar itálico, serifas decorativas e fontes com estética de cassino.</w:t>
      </w:r>
    </w:p>
    <w:p>
      <w:pPr>
        <w:pStyle w:val="Heading2"/>
        <w:spacing w:after="100" w:before="220"/>
      </w:pPr>
      <w:r>
        <w:t xml:space="preserve">Fallback digital</w:t>
      </w:r>
    </w:p>
    <w:p>
      <w:pPr>
        <w:spacing w:after="100"/>
      </w:pPr>
      <w:r>
        <w:t xml:space="preserve">Marca/UI: `Inter, system-ui, -apple-system, BlinkMacSystemFont, "Segoe UI", Arial, sans-serif`</w:t>
      </w:r>
    </w:p>
    <w:p>
      <w:pPr>
        <w:spacing w:after="100"/>
      </w:pPr>
      <w:r>
        <w:t xml:space="preserve">Dados: `"JetBrains Mono", "SFMono-Regular", Consolas, "Liberation Mono", monospace`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Tom de Voz</w:t>
      </w:r>
    </w:p>
    <w:p>
      <w:pPr>
        <w:pStyle w:val="Heading2"/>
        <w:spacing w:after="100" w:before="220"/>
      </w:pPr>
      <w:r>
        <w:t xml:space="preserve">Voz</w:t>
      </w:r>
    </w:p>
    <w:p>
      <w:pPr>
        <w:spacing w:after="100"/>
      </w:pPr>
      <w:r>
        <w:rPr>
          <w:b/>
          <w:bCs/>
        </w:rPr>
        <w:t xml:space="preserve">Clara, analítica, simples e responsável.</w:t>
      </w:r>
    </w:p>
    <w:p>
      <w:pPr>
        <w:spacing w:after="100"/>
      </w:pPr>
      <w:r>
        <w:t xml:space="preserve">A marca deve explicar sem parecer uma aula e orientar sem fingir que sabe o resultado futuro.</w:t>
      </w:r>
    </w:p>
    <w:p>
      <w:pPr>
        <w:pStyle w:val="Heading2"/>
        <w:spacing w:after="100" w:before="220"/>
      </w:pPr>
      <w:r>
        <w:t xml:space="preserve">Princípios</w:t>
      </w:r>
    </w:p>
    <w:p>
      <w:pPr>
        <w:pStyle w:val="Heading3"/>
        <w:spacing w:after="80" w:before="160"/>
      </w:pPr>
      <w:r>
        <w:t xml:space="preserve">1. Factual antes de persuasivo</w:t>
      </w:r>
    </w:p>
    <w:p>
      <w:pPr>
        <w:spacing w:after="100"/>
      </w:pPr>
      <w:r>
        <w:t xml:space="preserve">Preferir: “Esta estratégia distribui os jogos de forma diferente.”  </w:t>
      </w:r>
    </w:p>
    <w:p>
      <w:pPr>
        <w:spacing w:after="100"/>
      </w:pPr>
      <w:r>
        <w:t xml:space="preserve">Evitar: “Esta estratégia aumenta suas chances de ganhar.”</w:t>
      </w:r>
    </w:p>
    <w:p>
      <w:pPr>
        <w:pStyle w:val="Heading3"/>
        <w:spacing w:after="80" w:before="160"/>
      </w:pPr>
      <w:r>
        <w:t xml:space="preserve">2. Traduza o técnico</w:t>
      </w:r>
    </w:p>
    <w:p>
      <w:pPr>
        <w:spacing w:after="100"/>
      </w:pPr>
      <w:r>
        <w:t xml:space="preserve">Preferir: “Código de reprodução.”  </w:t>
      </w:r>
    </w:p>
    <w:p>
      <w:pPr>
        <w:spacing w:after="100"/>
      </w:pPr>
      <w:r>
        <w:t xml:space="preserve">Detalhe técnico: “seed”.</w:t>
      </w:r>
    </w:p>
    <w:p>
      <w:pPr>
        <w:pStyle w:val="Heading3"/>
        <w:spacing w:after="80" w:before="160"/>
      </w:pPr>
      <w:r>
        <w:t xml:space="preserve">3. Reconheça incerteza</w:t>
      </w:r>
    </w:p>
    <w:p>
      <w:pPr>
        <w:spacing w:after="100"/>
      </w:pPr>
      <w:r>
        <w:t xml:space="preserve">Preferir: “O sorteio continua aleatório.”  </w:t>
      </w:r>
    </w:p>
    <w:p>
      <w:pPr>
        <w:spacing w:after="100"/>
      </w:pPr>
      <w:r>
        <w:t xml:space="preserve">Evitar: “Os números mais fortes para o próximo concurso.”</w:t>
      </w:r>
    </w:p>
    <w:p>
      <w:pPr>
        <w:pStyle w:val="Heading3"/>
        <w:spacing w:after="80" w:before="160"/>
      </w:pPr>
      <w:r>
        <w:t xml:space="preserve">4. Convide, não pressione</w:t>
      </w:r>
    </w:p>
    <w:p>
      <w:pPr>
        <w:spacing w:after="100"/>
      </w:pPr>
      <w:r>
        <w:t xml:space="preserve">Preferir: “Compare antes de escolher.”  </w:t>
      </w:r>
    </w:p>
    <w:p>
      <w:pPr>
        <w:spacing w:after="100"/>
      </w:pPr>
      <w:r>
        <w:t xml:space="preserve">Evitar: “Aposte agora antes que seja tarde.”</w:t>
      </w:r>
    </w:p>
    <w:p>
      <w:pPr>
        <w:pStyle w:val="Heading2"/>
        <w:spacing w:after="100" w:before="220"/>
      </w:pPr>
      <w:r>
        <w:t xml:space="preserve">Vocabulário desejado</w:t>
      </w:r>
    </w:p>
    <w:p>
      <w:pPr>
        <w:pStyle w:val="ListParagraph"/>
        <w:numPr>
          <w:ilvl w:val="0"/>
          <w:numId w:val="1"/>
        </w:numPr>
      </w:pPr>
      <w:r>
        <w:t xml:space="preserve">organizar;</w:t>
      </w:r>
    </w:p>
    <w:p>
      <w:pPr>
        <w:pStyle w:val="ListParagraph"/>
        <w:numPr>
          <w:ilvl w:val="0"/>
          <w:numId w:val="1"/>
        </w:numPr>
      </w:pPr>
      <w:r>
        <w:t xml:space="preserve">analisar;</w:t>
      </w:r>
    </w:p>
    <w:p>
      <w:pPr>
        <w:pStyle w:val="ListParagraph"/>
        <w:numPr>
          <w:ilvl w:val="0"/>
          <w:numId w:val="1"/>
        </w:numPr>
      </w:pPr>
      <w:r>
        <w:t xml:space="preserve">conferir;</w:t>
      </w:r>
    </w:p>
    <w:p>
      <w:pPr>
        <w:pStyle w:val="ListParagraph"/>
        <w:numPr>
          <w:ilvl w:val="0"/>
          <w:numId w:val="1"/>
        </w:numPr>
      </w:pPr>
      <w:r>
        <w:t xml:space="preserve">carteira;</w:t>
      </w:r>
    </w:p>
    <w:p>
      <w:pPr>
        <w:pStyle w:val="ListParagraph"/>
        <w:numPr>
          <w:ilvl w:val="0"/>
          <w:numId w:val="1"/>
        </w:numPr>
      </w:pPr>
      <w:r>
        <w:t xml:space="preserve">estratégia;</w:t>
      </w:r>
    </w:p>
    <w:p>
      <w:pPr>
        <w:pStyle w:val="ListParagraph"/>
        <w:numPr>
          <w:ilvl w:val="0"/>
          <w:numId w:val="1"/>
        </w:numPr>
      </w:pPr>
      <w:r>
        <w:t xml:space="preserve">método;</w:t>
      </w:r>
    </w:p>
    <w:p>
      <w:pPr>
        <w:pStyle w:val="ListParagraph"/>
        <w:numPr>
          <w:ilvl w:val="0"/>
          <w:numId w:val="1"/>
        </w:numPr>
      </w:pPr>
      <w:r>
        <w:t xml:space="preserve">histórico;</w:t>
      </w:r>
    </w:p>
    <w:p>
      <w:pPr>
        <w:pStyle w:val="ListParagraph"/>
        <w:numPr>
          <w:ilvl w:val="0"/>
          <w:numId w:val="1"/>
        </w:numPr>
      </w:pPr>
      <w:r>
        <w:t xml:space="preserve">resultado oficial;</w:t>
      </w:r>
    </w:p>
    <w:p>
      <w:pPr>
        <w:pStyle w:val="ListParagraph"/>
        <w:numPr>
          <w:ilvl w:val="0"/>
          <w:numId w:val="1"/>
        </w:numPr>
      </w:pPr>
      <w:r>
        <w:t xml:space="preserve">simulação;</w:t>
      </w:r>
    </w:p>
    <w:p>
      <w:pPr>
        <w:pStyle w:val="ListParagraph"/>
        <w:numPr>
          <w:ilvl w:val="0"/>
          <w:numId w:val="1"/>
        </w:numPr>
      </w:pPr>
      <w:r>
        <w:t xml:space="preserve">clareza;</w:t>
      </w:r>
    </w:p>
    <w:p>
      <w:pPr>
        <w:pStyle w:val="ListParagraph"/>
        <w:numPr>
          <w:ilvl w:val="0"/>
          <w:numId w:val="1"/>
        </w:numPr>
      </w:pPr>
      <w:r>
        <w:t xml:space="preserve">comparação;</w:t>
      </w:r>
    </w:p>
    <w:p>
      <w:pPr>
        <w:pStyle w:val="ListParagraph"/>
        <w:numPr>
          <w:ilvl w:val="0"/>
          <w:numId w:val="1"/>
        </w:numPr>
      </w:pPr>
      <w:r>
        <w:t xml:space="preserve">controle.</w:t>
      </w:r>
    </w:p>
    <w:p>
      <w:pPr>
        <w:pStyle w:val="Heading2"/>
        <w:spacing w:after="100" w:before="220"/>
      </w:pPr>
      <w:r>
        <w:t xml:space="preserve">Vocabulário restrito/proibido em claims</w:t>
      </w:r>
    </w:p>
    <w:p>
      <w:pPr>
        <w:pStyle w:val="ListParagraph"/>
        <w:numPr>
          <w:ilvl w:val="0"/>
          <w:numId w:val="1"/>
        </w:numPr>
      </w:pPr>
      <w:r>
        <w:t xml:space="preserve">certeza;</w:t>
      </w:r>
    </w:p>
    <w:p>
      <w:pPr>
        <w:pStyle w:val="ListParagraph"/>
        <w:numPr>
          <w:ilvl w:val="0"/>
          <w:numId w:val="1"/>
        </w:numPr>
      </w:pPr>
      <w:r>
        <w:t xml:space="preserve">garantido;</w:t>
      </w:r>
    </w:p>
    <w:p>
      <w:pPr>
        <w:pStyle w:val="ListParagraph"/>
        <w:numPr>
          <w:ilvl w:val="0"/>
          <w:numId w:val="1"/>
        </w:numPr>
      </w:pPr>
      <w:r>
        <w:t xml:space="preserve">número vencedor;</w:t>
      </w:r>
    </w:p>
    <w:p>
      <w:pPr>
        <w:pStyle w:val="ListParagraph"/>
        <w:numPr>
          <w:ilvl w:val="0"/>
          <w:numId w:val="1"/>
        </w:numPr>
      </w:pPr>
      <w:r>
        <w:t xml:space="preserve">previsão certeira;</w:t>
      </w:r>
    </w:p>
    <w:p>
      <w:pPr>
        <w:pStyle w:val="ListParagraph"/>
        <w:numPr>
          <w:ilvl w:val="0"/>
          <w:numId w:val="1"/>
        </w:numPr>
      </w:pPr>
      <w:r>
        <w:t xml:space="preserve">fórmula para ganhar;</w:t>
      </w:r>
    </w:p>
    <w:p>
      <w:pPr>
        <w:pStyle w:val="ListParagraph"/>
        <w:numPr>
          <w:ilvl w:val="0"/>
          <w:numId w:val="1"/>
        </w:numPr>
      </w:pPr>
      <w:r>
        <w:t xml:space="preserve">lucro garantido;</w:t>
      </w:r>
    </w:p>
    <w:p>
      <w:pPr>
        <w:pStyle w:val="ListParagraph"/>
        <w:numPr>
          <w:ilvl w:val="0"/>
          <w:numId w:val="1"/>
        </w:numPr>
      </w:pPr>
      <w:r>
        <w:t xml:space="preserve">recuperar perdas;</w:t>
      </w:r>
    </w:p>
    <w:p>
      <w:pPr>
        <w:pStyle w:val="ListParagraph"/>
        <w:numPr>
          <w:ilvl w:val="0"/>
          <w:numId w:val="1"/>
        </w:numPr>
      </w:pPr>
      <w:r>
        <w:t xml:space="preserve">oportunidade imperdível;</w:t>
      </w:r>
    </w:p>
    <w:p>
      <w:pPr>
        <w:pStyle w:val="ListParagraph"/>
        <w:numPr>
          <w:ilvl w:val="0"/>
          <w:numId w:val="1"/>
        </w:numPr>
      </w:pPr>
      <w:r>
        <w:t xml:space="preserve">aposta sem risco.</w:t>
      </w:r>
    </w:p>
    <w:p>
      <w:pPr>
        <w:pStyle w:val="Heading2"/>
        <w:spacing w:after="100" w:before="220"/>
      </w:pPr>
      <w:r>
        <w:t xml:space="preserve">Exemplos</w:t>
      </w:r>
    </w:p>
    <w:p>
      <w:pPr>
        <w:pStyle w:val="Heading3"/>
        <w:spacing w:after="80" w:before="16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Seus jogos, em uma visão mais completa.</w:t>
      </w:r>
      <w:r>
        <w:t xml:space="preserve">  </w:t>
      </w:r>
    </w:p>
    <w:p>
      <w:pPr>
        <w:spacing w:after="100"/>
      </w:pPr>
      <w:r>
        <w:t xml:space="preserve">Organize carteiras, compare estratégias e confira resultados com mais clareza.</w:t>
      </w:r>
    </w:p>
    <w:p>
      <w:pPr>
        <w:pStyle w:val="Heading3"/>
        <w:spacing w:after="80" w:before="160"/>
      </w:pPr>
      <w:r>
        <w:t xml:space="preserve">CTA</w:t>
      </w:r>
    </w:p>
    <w:p>
      <w:pPr>
        <w:pStyle w:val="ListParagraph"/>
        <w:numPr>
          <w:ilvl w:val="0"/>
          <w:numId w:val="1"/>
        </w:numPr>
      </w:pPr>
      <w:r>
        <w:t xml:space="preserve">Montar meus jogos</w:t>
      </w:r>
    </w:p>
    <w:p>
      <w:pPr>
        <w:pStyle w:val="ListParagraph"/>
        <w:numPr>
          <w:ilvl w:val="0"/>
          <w:numId w:val="1"/>
        </w:numPr>
      </w:pPr>
      <w:r>
        <w:t xml:space="preserve">Comparar estratégias</w:t>
      </w:r>
    </w:p>
    <w:p>
      <w:pPr>
        <w:pStyle w:val="ListParagraph"/>
        <w:numPr>
          <w:ilvl w:val="0"/>
          <w:numId w:val="1"/>
        </w:numPr>
      </w:pPr>
      <w:r>
        <w:t xml:space="preserve">Conferir resultado</w:t>
      </w:r>
    </w:p>
    <w:p>
      <w:pPr>
        <w:pStyle w:val="ListParagraph"/>
        <w:numPr>
          <w:ilvl w:val="0"/>
          <w:numId w:val="1"/>
        </w:numPr>
      </w:pPr>
      <w:r>
        <w:t xml:space="preserve">Ver metodologia</w:t>
      </w:r>
    </w:p>
    <w:p>
      <w:pPr>
        <w:pStyle w:val="Heading3"/>
        <w:spacing w:after="80" w:before="160"/>
      </w:pPr>
      <w:r>
        <w:t xml:space="preserve">Jogo responsável</w:t>
      </w:r>
    </w:p>
    <w:p>
      <w:pPr>
        <w:spacing w:after="100"/>
      </w:pPr>
      <w:r>
        <w:t xml:space="preserve">“Loterias envolvem risco e aleatoriedade. Defina um limite e jogue apenas com valores que não comprometam seu orçamento.”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Iconografia e Imagem</w:t>
      </w:r>
    </w:p>
    <w:p>
      <w:pPr>
        <w:pStyle w:val="Heading2"/>
        <w:spacing w:after="100" w:before="220"/>
      </w:pPr>
      <w:r>
        <w:t xml:space="preserve">Iconografia</w:t>
      </w:r>
    </w:p>
    <w:p>
      <w:pPr>
        <w:spacing w:after="100"/>
      </w:pPr>
      <w:r>
        <w:t xml:space="preserve">Estilo:</w:t>
      </w:r>
    </w:p>
    <w:p>
      <w:pPr>
        <w:pStyle w:val="ListParagraph"/>
        <w:numPr>
          <w:ilvl w:val="0"/>
          <w:numId w:val="1"/>
        </w:numPr>
      </w:pPr>
      <w:r>
        <w:t xml:space="preserve">traço simples;</w:t>
      </w:r>
    </w:p>
    <w:p>
      <w:pPr>
        <w:pStyle w:val="ListParagraph"/>
        <w:numPr>
          <w:ilvl w:val="0"/>
          <w:numId w:val="1"/>
        </w:numPr>
      </w:pPr>
      <w:r>
        <w:t xml:space="preserve">geométrico;</w:t>
      </w:r>
    </w:p>
    <w:p>
      <w:pPr>
        <w:pStyle w:val="ListParagraph"/>
        <w:numPr>
          <w:ilvl w:val="0"/>
          <w:numId w:val="1"/>
        </w:numPr>
      </w:pPr>
      <w:r>
        <w:t xml:space="preserve">cantos arredondados;</w:t>
      </w:r>
    </w:p>
    <w:p>
      <w:pPr>
        <w:pStyle w:val="ListParagraph"/>
        <w:numPr>
          <w:ilvl w:val="0"/>
          <w:numId w:val="1"/>
        </w:numPr>
      </w:pPr>
      <w:r>
        <w:t xml:space="preserve">sem ilustrações de cassino;</w:t>
      </w:r>
    </w:p>
    <w:p>
      <w:pPr>
        <w:pStyle w:val="ListParagraph"/>
        <w:numPr>
          <w:ilvl w:val="0"/>
          <w:numId w:val="1"/>
        </w:numPr>
      </w:pPr>
      <w:r>
        <w:t xml:space="preserve">sem excesso de brilho.</w:t>
      </w:r>
    </w:p>
    <w:p>
      <w:pPr>
        <w:spacing w:after="100"/>
      </w:pPr>
      <w:r>
        <w:t xml:space="preserve">Categorias visuais:</w:t>
      </w:r>
    </w:p>
    <w:p>
      <w:pPr>
        <w:pStyle w:val="ListParagraph"/>
        <w:numPr>
          <w:ilvl w:val="0"/>
          <w:numId w:val="1"/>
        </w:numPr>
      </w:pPr>
      <w:r>
        <w:t xml:space="preserve">Estratégias: barras, rede, nós;</w:t>
      </w:r>
    </w:p>
    <w:p>
      <w:pPr>
        <w:pStyle w:val="ListParagraph"/>
        <w:numPr>
          <w:ilvl w:val="0"/>
          <w:numId w:val="1"/>
        </w:numPr>
      </w:pPr>
      <w:r>
        <w:t xml:space="preserve">Carteiras: cartões/camadas;</w:t>
      </w:r>
    </w:p>
    <w:p>
      <w:pPr>
        <w:pStyle w:val="ListParagraph"/>
        <w:numPr>
          <w:ilvl w:val="0"/>
          <w:numId w:val="1"/>
        </w:numPr>
      </w:pPr>
      <w:r>
        <w:t xml:space="preserve">Análise: lupa/gráfico;</w:t>
      </w:r>
    </w:p>
    <w:p>
      <w:pPr>
        <w:pStyle w:val="ListParagraph"/>
        <w:numPr>
          <w:ilvl w:val="0"/>
          <w:numId w:val="1"/>
        </w:numPr>
      </w:pPr>
      <w:r>
        <w:t xml:space="preserve">Conferência: check/shield;</w:t>
      </w:r>
    </w:p>
    <w:p>
      <w:pPr>
        <w:pStyle w:val="ListParagraph"/>
        <w:numPr>
          <w:ilvl w:val="0"/>
          <w:numId w:val="1"/>
        </w:numPr>
      </w:pPr>
      <w:r>
        <w:t xml:space="preserve">Histórico: relógio/calendar;</w:t>
      </w:r>
    </w:p>
    <w:p>
      <w:pPr>
        <w:pStyle w:val="ListParagraph"/>
        <w:numPr>
          <w:ilvl w:val="0"/>
          <w:numId w:val="1"/>
        </w:numPr>
      </w:pPr>
      <w:r>
        <w:t xml:space="preserve">Sorte: trevo, sempre como elemento secundário.</w:t>
      </w:r>
    </w:p>
    <w:p>
      <w:pPr>
        <w:pStyle w:val="Heading2"/>
        <w:spacing w:after="100" w:before="220"/>
      </w:pPr>
      <w:r>
        <w:t xml:space="preserve">Fotografia</w:t>
      </w:r>
    </w:p>
    <w:p>
      <w:pPr>
        <w:spacing w:after="100"/>
      </w:pPr>
      <w:r>
        <w:t xml:space="preserve">A marca pode funcionar majoritariamente sem fotografia.</w:t>
      </w:r>
    </w:p>
    <w:p>
      <w:pPr>
        <w:spacing w:after="100"/>
      </w:pPr>
      <w:r>
        <w:t xml:space="preserve">Quando houver pessoas:</w:t>
      </w:r>
    </w:p>
    <w:p>
      <w:pPr>
        <w:pStyle w:val="ListParagraph"/>
        <w:numPr>
          <w:ilvl w:val="0"/>
          <w:numId w:val="1"/>
        </w:numPr>
      </w:pPr>
      <w:r>
        <w:t xml:space="preserve">adultos reais;</w:t>
      </w:r>
    </w:p>
    <w:p>
      <w:pPr>
        <w:pStyle w:val="ListParagraph"/>
        <w:numPr>
          <w:ilvl w:val="0"/>
          <w:numId w:val="1"/>
        </w:numPr>
      </w:pPr>
      <w:r>
        <w:t xml:space="preserve">contexto cotidiano;</w:t>
      </w:r>
    </w:p>
    <w:p>
      <w:pPr>
        <w:pStyle w:val="ListParagraph"/>
        <w:numPr>
          <w:ilvl w:val="0"/>
          <w:numId w:val="1"/>
        </w:numPr>
      </w:pPr>
      <w:r>
        <w:t xml:space="preserve">smartphone/notebook;</w:t>
      </w:r>
    </w:p>
    <w:p>
      <w:pPr>
        <w:pStyle w:val="ListParagraph"/>
        <w:numPr>
          <w:ilvl w:val="0"/>
          <w:numId w:val="1"/>
        </w:numPr>
      </w:pPr>
      <w:r>
        <w:t xml:space="preserve">expressão tranquila e concentrada;</w:t>
      </w:r>
    </w:p>
    <w:p>
      <w:pPr>
        <w:pStyle w:val="ListParagraph"/>
        <w:numPr>
          <w:ilvl w:val="0"/>
          <w:numId w:val="1"/>
        </w:numPr>
      </w:pPr>
      <w:r>
        <w:t xml:space="preserve">evitar euforia exagerada, chuva de dinheiro, champanhe ou “ganhador”.</w:t>
      </w:r>
    </w:p>
    <w:p>
      <w:pPr>
        <w:pStyle w:val="Heading2"/>
        <w:spacing w:after="100" w:before="220"/>
      </w:pPr>
      <w:r>
        <w:t xml:space="preserve">Ilustração</w:t>
      </w:r>
    </w:p>
    <w:p>
      <w:pPr>
        <w:spacing w:after="100"/>
      </w:pPr>
      <w:r>
        <w:t xml:space="preserve">Preferir:</w:t>
      </w:r>
    </w:p>
    <w:p>
      <w:pPr>
        <w:pStyle w:val="ListParagraph"/>
        <w:numPr>
          <w:ilvl w:val="0"/>
          <w:numId w:val="1"/>
        </w:numPr>
      </w:pPr>
      <w:r>
        <w:t xml:space="preserve">mapas de pontos;</w:t>
      </w:r>
    </w:p>
    <w:p>
      <w:pPr>
        <w:pStyle w:val="ListParagraph"/>
        <w:numPr>
          <w:ilvl w:val="0"/>
          <w:numId w:val="1"/>
        </w:numPr>
      </w:pPr>
      <w:r>
        <w:t xml:space="preserve">redes;</w:t>
      </w:r>
    </w:p>
    <w:p>
      <w:pPr>
        <w:pStyle w:val="ListParagraph"/>
        <w:numPr>
          <w:ilvl w:val="0"/>
          <w:numId w:val="1"/>
        </w:numPr>
      </w:pPr>
      <w:r>
        <w:t xml:space="preserve">grids de dezenas;</w:t>
      </w:r>
    </w:p>
    <w:p>
      <w:pPr>
        <w:pStyle w:val="ListParagraph"/>
        <w:numPr>
          <w:ilvl w:val="0"/>
          <w:numId w:val="1"/>
        </w:numPr>
      </w:pPr>
      <w:r>
        <w:t xml:space="preserve">cartões de carteira;</w:t>
      </w:r>
    </w:p>
    <w:p>
      <w:pPr>
        <w:pStyle w:val="ListParagraph"/>
        <w:numPr>
          <w:ilvl w:val="0"/>
          <w:numId w:val="1"/>
        </w:numPr>
      </w:pPr>
      <w:r>
        <w:t xml:space="preserve">dados abstratos;</w:t>
      </w:r>
    </w:p>
    <w:p>
      <w:pPr>
        <w:pStyle w:val="ListParagraph"/>
        <w:numPr>
          <w:ilvl w:val="0"/>
          <w:numId w:val="1"/>
        </w:numPr>
      </w:pPr>
      <w:r>
        <w:t xml:space="preserve">elementos de navegação/atlas.</w:t>
      </w:r>
    </w:p>
    <w:p>
      <w:pPr>
        <w:spacing w:after="100"/>
      </w:pPr>
      <w:r>
        <w:t xml:space="preserve">Evitar:</w:t>
      </w:r>
    </w:p>
    <w:p>
      <w:pPr>
        <w:pStyle w:val="ListParagraph"/>
        <w:numPr>
          <w:ilvl w:val="0"/>
          <w:numId w:val="1"/>
        </w:numPr>
      </w:pPr>
      <w:r>
        <w:t xml:space="preserve">roleta;</w:t>
      </w:r>
    </w:p>
    <w:p>
      <w:pPr>
        <w:pStyle w:val="ListParagraph"/>
        <w:numPr>
          <w:ilvl w:val="0"/>
          <w:numId w:val="1"/>
        </w:numPr>
      </w:pPr>
      <w:r>
        <w:t xml:space="preserve">caça-níquel;</w:t>
      </w:r>
    </w:p>
    <w:p>
      <w:pPr>
        <w:pStyle w:val="ListParagraph"/>
        <w:numPr>
          <w:ilvl w:val="0"/>
          <w:numId w:val="1"/>
        </w:numPr>
      </w:pPr>
      <w:r>
        <w:t xml:space="preserve">fichas de cassino;</w:t>
      </w:r>
    </w:p>
    <w:p>
      <w:pPr>
        <w:pStyle w:val="ListParagraph"/>
        <w:numPr>
          <w:ilvl w:val="0"/>
          <w:numId w:val="1"/>
        </w:numPr>
      </w:pPr>
      <w:r>
        <w:t xml:space="preserve">notas voando;</w:t>
      </w:r>
    </w:p>
    <w:p>
      <w:pPr>
        <w:pStyle w:val="ListParagraph"/>
        <w:numPr>
          <w:ilvl w:val="0"/>
          <w:numId w:val="1"/>
        </w:numPr>
      </w:pPr>
      <w:r>
        <w:t xml:space="preserve">sacos de dinheiro;</w:t>
      </w:r>
    </w:p>
    <w:p>
      <w:pPr>
        <w:pStyle w:val="ListParagraph"/>
        <w:numPr>
          <w:ilvl w:val="0"/>
          <w:numId w:val="1"/>
        </w:numPr>
      </w:pPr>
      <w:r>
        <w:t xml:space="preserve">cofres;</w:t>
      </w:r>
    </w:p>
    <w:p>
      <w:pPr>
        <w:pStyle w:val="ListParagraph"/>
        <w:numPr>
          <w:ilvl w:val="0"/>
          <w:numId w:val="1"/>
        </w:numPr>
      </w:pPr>
      <w:r>
        <w:t xml:space="preserve">trevos gigantes como único código visual.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Aplicação da Marca na UI (v0.3 — Dark First)</w:t>
      </w:r>
    </w:p>
    <w:p>
      <w:pPr>
        <w:spacing w:after="100"/>
      </w:pPr>
      <w:r>
        <w:t xml:space="preserve">A orientação de UI da v0.2 foi escrita em torno de superfícies claras. A partir da v0.3, o </w:t>
      </w:r>
      <w:r>
        <w:rPr>
          <w:b/>
          <w:bCs/>
        </w:rPr>
        <w:t xml:space="preserve">tema escuro é a superfície primária e padrão do produto</w:t>
      </w:r>
      <w:r>
        <w:t xml:space="preserve">; o tema claro passa a alternativa secundária/institucional.</w:t>
      </w:r>
    </w:p>
    <w:p>
      <w:pPr>
        <w:pStyle w:val="Heading2"/>
        <w:spacing w:after="100" w:before="220"/>
      </w:pPr>
      <w:r>
        <w:t xml:space="preserve">Princípios (inalterados)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Conteúdo primeiro.</w:t>
      </w:r>
      <w:r>
        <w:t xml:space="preserve"> Marca não deve competir com números e decisões.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Uma cor de ação por contexto.</w:t>
      </w:r>
      <w:r>
        <w:t xml:space="preserve"> Atlas Violet é a única cor de ação funcional.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Verde não significa "ganhou".</w:t>
      </w:r>
      <w:r>
        <w:t xml:space="preserve"> Usar para confirmação/sucesso factual, não promessa.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Modalidades têm cores próprias, mas a plataforma permanece LotoAtlas.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Estados críticos usam semântica acessível, não apenas cor.</w:t>
      </w:r>
    </w:p>
    <w:p>
      <w:pPr>
        <w:pStyle w:val="Heading2"/>
        <w:spacing w:after="100" w:before="220"/>
      </w:pPr>
      <w:r>
        <w:t xml:space="preserve">Componentes (tema escuro, padrão)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Fundo da aplicação:</w:t>
      </w:r>
      <w:r>
        <w:t xml:space="preserve"> `--la-bg-primary` (Atlas Ink).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Superfície de cartão:</w:t>
      </w:r>
      <w:r>
        <w:t xml:space="preserve"> `--la-bg-surface` (Atlas Ink 2) — cartões não são mais predominantemente brancos.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Superfície elevada:</w:t>
      </w:r>
      <w:r>
        <w:t xml:space="preserve"> `--la-bg-surface-elevated` (`#232F4D`) — modais, pop-overs, menus.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Botão primário:</w:t>
      </w:r>
      <w:r>
        <w:t xml:space="preserve"> fundo `--la-action` (Atlas Violet), texto `--la-action-foreground` (White, 5,61:1).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Botão secundário:</w:t>
      </w:r>
      <w:r>
        <w:t xml:space="preserve"> contornado, sem uma segunda cor de ação.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Links/texto de ação:</w:t>
      </w:r>
      <w:r>
        <w:t xml:space="preserve"> `--la-action-text` (`#A07AFF`, 5,71:1) — nunca Atlas Violet puro para texto.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Foco:</w:t>
      </w:r>
      <w:r>
        <w:t xml:space="preserve"> contorno `--la-focus` (Atlas Violet, 3,18:1 — atende não-texto ≥3:1), sempre visível.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Campos de entrada:</w:t>
      </w:r>
      <w:r>
        <w:t xml:space="preserve"> superfície `--la-bg-surface`/`--la-bg-surface-elevated`, borda `--la-border` em repouso, `--la-border-strong` em foco/validação.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Bordas:</w:t>
      </w:r>
      <w:r>
        <w:t xml:space="preserve"> `--la-border` é decorativo (baixo contraste, ~1,5:1); estado interativo usa `--la-border-strong` (Atlas Violet).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Selecionado:</w:t>
      </w:r>
      <w:r>
        <w:t xml:space="preserve"> `--la-border-strong` (Atlas Violet) — mesma cor de ação, reforçando "uma cor por contexto".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Sucesso:</w:t>
      </w:r>
      <w:r>
        <w:t xml:space="preserve"> `--la-success` (Luck Green, 6,99:1) + texto/ícone explícito, nunca insinuando prêmio.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Erro/aviso:</w:t>
      </w:r>
      <w:r>
        <w:t xml:space="preserve"> cor semântica própria da UI, não reaproveitada da identidade principal (Violet/Blue/Teal).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Badges de modalidade:</w:t>
      </w:r>
      <w:r>
        <w:t xml:space="preserve"> cores oficiais de cada jogo como identificador local, nunca substituindo a cor de ação única da plataforma.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Chips de dezena e dados numéricos:</w:t>
      </w:r>
      <w:r>
        <w:t xml:space="preserve"> fonte `--la-font-mono` (JetBrains Mono), com três estados nomeados textualmente (selecionado, sorteado, acerto) — nunca só por cor.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Gráficos:</w:t>
      </w:r>
      <w:r>
        <w:t xml:space="preserve"> Atlas Blue/Teal como séries de apoio; nunca como cor de ação.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Desabilitado:</w:t>
      </w:r>
      <w:r>
        <w:t xml:space="preserve"> opacidade reduzida do próprio token semântico, não um cinza genérico.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Hover:</w:t>
      </w:r>
      <w:r>
        <w:t xml:space="preserve"> reforço sutil do token semântico do próprio componente, nunca uma cor de ação alternativa.</w:t>
      </w:r>
    </w:p>
    <w:p>
      <w:pPr>
        <w:pStyle w:val="Heading2"/>
        <w:spacing w:after="100" w:before="220"/>
      </w:pPr>
      <w:r>
        <w:t xml:space="preserve">Tema claro (secundário)</w:t>
      </w:r>
    </w:p>
    <w:p>
      <w:pPr>
        <w:spacing w:after="100"/>
      </w:pPr>
      <w:r>
        <w:t xml:space="preserve">Mantém a orientação anterior (cartões brancos/off-white, texto Atlas Ink) como alternativa institucional/documentação — não é a superfície padrão do produto nesta versão.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Social e Conteúdo</w:t>
      </w:r>
    </w:p>
    <w:p>
      <w:pPr>
        <w:pStyle w:val="Heading2"/>
        <w:spacing w:after="100" w:before="220"/>
      </w:pPr>
      <w:r>
        <w:t xml:space="preserve">Papel das redes</w:t>
      </w:r>
    </w:p>
    <w:p>
      <w:pPr>
        <w:spacing w:after="100"/>
      </w:pPr>
      <w:r>
        <w:t xml:space="preserve">Construir confiança e educação, não incentivar volume de apostas.</w:t>
      </w:r>
    </w:p>
    <w:p>
      <w:pPr>
        <w:pStyle w:val="Heading2"/>
        <w:spacing w:after="100" w:before="220"/>
      </w:pPr>
      <w:r>
        <w:t xml:space="preserve">Pilares editoriais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Entenda o jogo</w:t>
      </w:r>
      <w:r>
        <w:t xml:space="preserve"> — regras, probabilidades, glossário.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Estratégias sem mito</w:t>
      </w:r>
      <w:r>
        <w:t xml:space="preserve"> — explicar o que uma carteira muda e o que não muda.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Dados e resultados</w:t>
      </w:r>
      <w:r>
        <w:t xml:space="preserve"> — resultados oficiais, histórico, curiosidades factuais.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Como usar o LotoAtlas</w:t>
      </w:r>
      <w:r>
        <w:t xml:space="preserve"> — features e tutoriais.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Jogo responsável</w:t>
      </w:r>
      <w:r>
        <w:t xml:space="preserve"> — orçamento e limites.</w:t>
      </w:r>
    </w:p>
    <w:p>
      <w:pPr>
        <w:pStyle w:val="Heading2"/>
        <w:spacing w:after="100" w:before="220"/>
      </w:pPr>
      <w:r>
        <w:t xml:space="preserve">Estrutura visual</w:t>
      </w:r>
    </w:p>
    <w:p>
      <w:pPr>
        <w:pStyle w:val="ListParagraph"/>
        <w:numPr>
          <w:ilvl w:val="0"/>
          <w:numId w:val="1"/>
        </w:numPr>
      </w:pPr>
      <w:r>
        <w:t xml:space="preserve">fundo claro ou Atlas Ink;</w:t>
      </w:r>
    </w:p>
    <w:p>
      <w:pPr>
        <w:pStyle w:val="ListParagraph"/>
        <w:numPr>
          <w:ilvl w:val="0"/>
          <w:numId w:val="1"/>
        </w:numPr>
      </w:pPr>
      <w:r>
        <w:t xml:space="preserve">headline curta;</w:t>
      </w:r>
    </w:p>
    <w:p>
      <w:pPr>
        <w:pStyle w:val="ListParagraph"/>
        <w:numPr>
          <w:ilvl w:val="0"/>
          <w:numId w:val="1"/>
        </w:numPr>
      </w:pPr>
      <w:r>
        <w:t xml:space="preserve">um dado ou ideia por peça;</w:t>
      </w:r>
    </w:p>
    <w:p>
      <w:pPr>
        <w:pStyle w:val="ListParagraph"/>
        <w:numPr>
          <w:ilvl w:val="0"/>
          <w:numId w:val="1"/>
        </w:numPr>
      </w:pPr>
      <w:r>
        <w:t xml:space="preserve">uso moderado de nós/rede/trevo;</w:t>
      </w:r>
    </w:p>
    <w:p>
      <w:pPr>
        <w:pStyle w:val="ListParagraph"/>
        <w:numPr>
          <w:ilvl w:val="0"/>
          <w:numId w:val="1"/>
        </w:numPr>
      </w:pPr>
      <w:r>
        <w:t xml:space="preserve">gradiente como detalhe;</w:t>
      </w:r>
    </w:p>
    <w:p>
      <w:pPr>
        <w:pStyle w:val="ListParagraph"/>
        <w:numPr>
          <w:ilvl w:val="0"/>
          <w:numId w:val="1"/>
        </w:numPr>
      </w:pPr>
      <w:r>
        <w:t xml:space="preserve">sem estética de jackpot.</w:t>
      </w:r>
    </w:p>
    <w:p>
      <w:pPr>
        <w:pStyle w:val="Heading2"/>
        <w:spacing w:after="100" w:before="220"/>
      </w:pPr>
      <w:r>
        <w:t xml:space="preserve">Assinatura</w:t>
      </w:r>
    </w:p>
    <w:p>
      <w:pPr>
        <w:spacing w:after="100"/>
      </w:pPr>
      <w:r>
        <w:rPr>
          <w:b/>
          <w:bCs/>
        </w:rPr>
        <w:t xml:space="preserve">LotoAtlas</w:t>
      </w:r>
      <w:r>
        <w:t xml:space="preserve">  </w:t>
      </w:r>
    </w:p>
    <w:p>
      <w:pPr>
        <w:spacing w:after="100"/>
      </w:pPr>
      <w:r>
        <w:rPr>
          <w:b/>
          <w:bCs/>
        </w:rPr>
        <w:t xml:space="preserve">Organize. Analise. Confira.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App Icon e Favicon</w:t>
      </w:r>
    </w:p>
    <w:p>
      <w:pPr>
        <w:pStyle w:val="Heading2"/>
        <w:spacing w:after="100" w:before="220"/>
      </w:pPr>
      <w:r>
        <w:t xml:space="preserve">App Icon</w:t>
      </w:r>
    </w:p>
    <w:p>
      <w:pPr>
        <w:spacing w:after="100"/>
      </w:pPr>
      <w:r>
        <w:t xml:space="preserve">Usar símbolo sobre Atlas Ink em quadrado arredondado.</w:t>
      </w:r>
    </w:p>
    <w:p>
      <w:pPr>
        <w:spacing w:after="100"/>
      </w:pPr>
      <w:r>
        <w:t xml:space="preserve">O ícone deve continuar legível sem wordmark.</w:t>
      </w:r>
    </w:p>
    <w:p>
      <w:pPr>
        <w:spacing w:after="100"/>
      </w:pPr>
      <w:r>
        <w:t xml:space="preserve">Tamanhos exportados neste pacote:</w:t>
      </w:r>
    </w:p>
    <w:p>
      <w:pPr>
        <w:pStyle w:val="ListParagraph"/>
        <w:numPr>
          <w:ilvl w:val="0"/>
          <w:numId w:val="1"/>
        </w:numPr>
      </w:pPr>
      <w:r>
        <w:t xml:space="preserve">1024;</w:t>
      </w:r>
    </w:p>
    <w:p>
      <w:pPr>
        <w:pStyle w:val="ListParagraph"/>
        <w:numPr>
          <w:ilvl w:val="0"/>
          <w:numId w:val="1"/>
        </w:numPr>
      </w:pPr>
      <w:r>
        <w:t xml:space="preserve">512;</w:t>
      </w:r>
    </w:p>
    <w:p>
      <w:pPr>
        <w:pStyle w:val="ListParagraph"/>
        <w:numPr>
          <w:ilvl w:val="0"/>
          <w:numId w:val="1"/>
        </w:numPr>
      </w:pPr>
      <w:r>
        <w:t xml:space="preserve">256;</w:t>
      </w:r>
    </w:p>
    <w:p>
      <w:pPr>
        <w:pStyle w:val="ListParagraph"/>
        <w:numPr>
          <w:ilvl w:val="0"/>
          <w:numId w:val="1"/>
        </w:numPr>
      </w:pPr>
      <w:r>
        <w:t xml:space="preserve">192;</w:t>
      </w:r>
    </w:p>
    <w:p>
      <w:pPr>
        <w:pStyle w:val="ListParagraph"/>
        <w:numPr>
          <w:ilvl w:val="0"/>
          <w:numId w:val="1"/>
        </w:numPr>
      </w:pPr>
      <w:r>
        <w:t xml:space="preserve">180;</w:t>
      </w:r>
    </w:p>
    <w:p>
      <w:pPr>
        <w:pStyle w:val="ListParagraph"/>
        <w:numPr>
          <w:ilvl w:val="0"/>
          <w:numId w:val="1"/>
        </w:numPr>
      </w:pPr>
      <w:r>
        <w:t xml:space="preserve">128;</w:t>
      </w:r>
    </w:p>
    <w:p>
      <w:pPr>
        <w:pStyle w:val="ListParagraph"/>
        <w:numPr>
          <w:ilvl w:val="0"/>
          <w:numId w:val="1"/>
        </w:numPr>
      </w:pPr>
      <w:r>
        <w:t xml:space="preserve">64;</w:t>
      </w:r>
    </w:p>
    <w:p>
      <w:pPr>
        <w:pStyle w:val="ListParagraph"/>
        <w:numPr>
          <w:ilvl w:val="0"/>
          <w:numId w:val="1"/>
        </w:numPr>
      </w:pPr>
      <w:r>
        <w:t xml:space="preserve">32 px.</w:t>
      </w:r>
    </w:p>
    <w:p>
      <w:pPr>
        <w:pStyle w:val="Heading2"/>
        <w:spacing w:after="100" w:before="220"/>
      </w:pPr>
      <w:r>
        <w:t xml:space="preserve">Favicon</w:t>
      </w:r>
    </w:p>
    <w:p>
      <w:pPr>
        <w:spacing w:after="100"/>
      </w:pPr>
      <w:r>
        <w:t xml:space="preserve">Abaixo de 32 px, o símbolo completo é detalhado demais. O favicon usa um micro mark simplificado:</w:t>
      </w:r>
    </w:p>
    <w:p>
      <w:pPr>
        <w:pStyle w:val="ListParagraph"/>
        <w:numPr>
          <w:ilvl w:val="0"/>
          <w:numId w:val="1"/>
        </w:numPr>
      </w:pPr>
      <w:r>
        <w:t xml:space="preserve">estrutura “A”;</w:t>
      </w:r>
    </w:p>
    <w:p>
      <w:pPr>
        <w:pStyle w:val="ListParagraph"/>
        <w:numPr>
          <w:ilvl w:val="0"/>
          <w:numId w:val="1"/>
        </w:numPr>
      </w:pPr>
      <w:r>
        <w:t xml:space="preserve">trevo central reduzido;</w:t>
      </w:r>
    </w:p>
    <w:p>
      <w:pPr>
        <w:pStyle w:val="ListParagraph"/>
        <w:numPr>
          <w:ilvl w:val="0"/>
          <w:numId w:val="1"/>
        </w:numPr>
      </w:pPr>
      <w:r>
        <w:t xml:space="preserve">fundo Atlas Ink.</w:t>
      </w:r>
    </w:p>
    <w:p>
      <w:pPr>
        <w:spacing w:after="100"/>
      </w:pPr>
      <w:r>
        <w:t xml:space="preserve">Exports:</w:t>
      </w:r>
    </w:p>
    <w:p>
      <w:pPr>
        <w:pStyle w:val="ListParagraph"/>
        <w:numPr>
          <w:ilvl w:val="0"/>
          <w:numId w:val="1"/>
        </w:numPr>
      </w:pPr>
      <w:r>
        <w:t xml:space="preserve">SVG;</w:t>
      </w:r>
    </w:p>
    <w:p>
      <w:pPr>
        <w:pStyle w:val="ListParagraph"/>
        <w:numPr>
          <w:ilvl w:val="0"/>
          <w:numId w:val="1"/>
        </w:numPr>
      </w:pPr>
      <w:r>
        <w:t xml:space="preserve">ICO;</w:t>
      </w:r>
    </w:p>
    <w:p>
      <w:pPr>
        <w:pStyle w:val="ListParagraph"/>
        <w:numPr>
          <w:ilvl w:val="0"/>
          <w:numId w:val="1"/>
        </w:numPr>
      </w:pPr>
      <w:r>
        <w:t xml:space="preserve">PNG 16, 32, 48, 64 e 128 px.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Naming, Legal e Governança</w:t>
      </w:r>
    </w:p>
    <w:p>
      <w:pPr>
        <w:pStyle w:val="Heading2"/>
        <w:spacing w:after="100" w:before="220"/>
      </w:pPr>
      <w:r>
        <w:t xml:space="preserve">Nome</w:t>
      </w:r>
    </w:p>
    <w:p>
      <w:pPr>
        <w:spacing w:after="100"/>
      </w:pPr>
      <w:r>
        <w:rPr>
          <w:b/>
          <w:bCs/>
        </w:rPr>
        <w:t xml:space="preserve">LotoAtlas</w:t>
      </w:r>
    </w:p>
    <w:p>
      <w:pPr>
        <w:spacing w:after="100"/>
      </w:pPr>
      <w:r>
        <w:t xml:space="preserve">Grafia oficial:</w:t>
      </w:r>
    </w:p>
    <w:p>
      <w:pPr>
        <w:pStyle w:val="ListParagraph"/>
        <w:numPr>
          <w:ilvl w:val="0"/>
          <w:numId w:val="1"/>
        </w:numPr>
      </w:pPr>
      <w:r>
        <w:t xml:space="preserve">“LotoAtlas” em texto corrido;</w:t>
      </w:r>
    </w:p>
    <w:p>
      <w:pPr>
        <w:pStyle w:val="ListParagraph"/>
        <w:numPr>
          <w:ilvl w:val="0"/>
          <w:numId w:val="1"/>
        </w:numPr>
      </w:pPr>
      <w:r>
        <w:t xml:space="preserve">nunca “Loto Atlas”, “Lotoatlas”, “LOTO ATLAS” como nome formal, exceto caixa alta em layouts gráficos.</w:t>
      </w:r>
    </w:p>
    <w:p>
      <w:pPr>
        <w:pStyle w:val="Heading2"/>
        <w:spacing w:after="100" w:before="220"/>
      </w:pPr>
      <w:r>
        <w:t xml:space="preserve">Situação de triagem</w:t>
      </w:r>
    </w:p>
    <w:p>
      <w:pPr>
        <w:spacing w:after="100"/>
      </w:pPr>
      <w:r>
        <w:t xml:space="preserve">Em 09/09/2026 foi realizada pelo responsável do projeto uma busca exata por “LotoAtlas” na base do INPI, sem resultado exato encontrado. Isso </w:t>
      </w:r>
      <w:r>
        <w:rPr>
          <w:b/>
          <w:bCs/>
        </w:rPr>
        <w:t xml:space="preserve">não garante registrabilidade</w:t>
      </w:r>
      <w:r>
        <w:t xml:space="preserve">.</w:t>
      </w:r>
    </w:p>
    <w:p>
      <w:pPr>
        <w:spacing w:after="100"/>
      </w:pPr>
      <w:r>
        <w:t xml:space="preserve">Antes de lançamento comercial/registro:</w:t>
      </w:r>
    </w:p>
    <w:p>
      <w:pPr>
        <w:pStyle w:val="ListParagraph"/>
        <w:numPr>
          <w:ilvl w:val="0"/>
          <w:numId w:val="2"/>
        </w:numPr>
      </w:pPr>
      <w:r>
        <w:t xml:space="preserve">busca por semelhança no INPI;</w:t>
      </w:r>
    </w:p>
    <w:p>
      <w:pPr>
        <w:pStyle w:val="ListParagraph"/>
        <w:numPr>
          <w:ilvl w:val="0"/>
          <w:numId w:val="2"/>
        </w:numPr>
      </w:pPr>
      <w:r>
        <w:t xml:space="preserve">busca por “Loto Atlas”, “Atlas Loto” e nomes foneticamente próximos;</w:t>
      </w:r>
    </w:p>
    <w:p>
      <w:pPr>
        <w:pStyle w:val="ListParagraph"/>
        <w:numPr>
          <w:ilvl w:val="0"/>
          <w:numId w:val="2"/>
        </w:numPr>
      </w:pPr>
      <w:r>
        <w:t xml:space="preserve">análise das classes aplicáveis com profissional habilitado;</w:t>
      </w:r>
    </w:p>
    <w:p>
      <w:pPr>
        <w:pStyle w:val="ListParagraph"/>
        <w:numPr>
          <w:ilvl w:val="0"/>
          <w:numId w:val="2"/>
        </w:numPr>
      </w:pPr>
      <w:r>
        <w:t xml:space="preserve">domínio `.com.br` e `.com`;</w:t>
      </w:r>
    </w:p>
    <w:p>
      <w:pPr>
        <w:pStyle w:val="ListParagraph"/>
        <w:numPr>
          <w:ilvl w:val="0"/>
          <w:numId w:val="2"/>
        </w:numPr>
      </w:pPr>
      <w:r>
        <w:t xml:space="preserve">App Store e Google Play;</w:t>
      </w:r>
    </w:p>
    <w:p>
      <w:pPr>
        <w:pStyle w:val="ListParagraph"/>
        <w:numPr>
          <w:ilvl w:val="0"/>
          <w:numId w:val="2"/>
        </w:numPr>
      </w:pPr>
      <w:r>
        <w:t xml:space="preserve">redes sociais;</w:t>
      </w:r>
    </w:p>
    <w:p>
      <w:pPr>
        <w:pStyle w:val="ListParagraph"/>
        <w:numPr>
          <w:ilvl w:val="0"/>
          <w:numId w:val="2"/>
        </w:numPr>
      </w:pPr>
      <w:r>
        <w:t xml:space="preserve">eventual parecer de propriedade intelectual.</w:t>
      </w:r>
    </w:p>
    <w:p>
      <w:pPr>
        <w:pStyle w:val="Heading2"/>
        <w:spacing w:after="100" w:before="220"/>
      </w:pPr>
      <w:r>
        <w:t xml:space="preserve">Independência institucional</w:t>
      </w:r>
    </w:p>
    <w:p>
      <w:pPr>
        <w:spacing w:after="100"/>
      </w:pPr>
      <w:r>
        <w:t xml:space="preserve">A identidade nunca deve sugerir que LotoAtlas é:</w:t>
      </w:r>
    </w:p>
    <w:p>
      <w:pPr>
        <w:pStyle w:val="ListParagraph"/>
        <w:numPr>
          <w:ilvl w:val="0"/>
          <w:numId w:val="1"/>
        </w:numPr>
      </w:pPr>
      <w:r>
        <w:t xml:space="preserve">produto da CAIXA;</w:t>
      </w:r>
    </w:p>
    <w:p>
      <w:pPr>
        <w:pStyle w:val="ListParagraph"/>
        <w:numPr>
          <w:ilvl w:val="0"/>
          <w:numId w:val="1"/>
        </w:numPr>
      </w:pPr>
      <w:r>
        <w:t xml:space="preserve">loteria oficial;</w:t>
      </w:r>
    </w:p>
    <w:p>
      <w:pPr>
        <w:pStyle w:val="ListParagraph"/>
        <w:numPr>
          <w:ilvl w:val="0"/>
          <w:numId w:val="1"/>
        </w:numPr>
      </w:pPr>
      <w:r>
        <w:t xml:space="preserve">casa de apostas;</w:t>
      </w:r>
    </w:p>
    <w:p>
      <w:pPr>
        <w:pStyle w:val="ListParagraph"/>
        <w:numPr>
          <w:ilvl w:val="0"/>
          <w:numId w:val="1"/>
        </w:numPr>
      </w:pPr>
      <w:r>
        <w:t xml:space="preserve">operador de apostas.</w:t>
      </w:r>
    </w:p>
    <w:p>
      <w:pPr>
        <w:pStyle w:val="Heading2"/>
        <w:spacing w:after="100" w:before="220"/>
      </w:pPr>
      <w:r>
        <w:t xml:space="preserve">Governança da marca</w:t>
      </w:r>
    </w:p>
    <w:p>
      <w:pPr>
        <w:spacing w:after="100"/>
      </w:pPr>
      <w:r>
        <w:t xml:space="preserve">Mudanças de:</w:t>
      </w:r>
    </w:p>
    <w:p>
      <w:pPr>
        <w:pStyle w:val="ListParagraph"/>
        <w:numPr>
          <w:ilvl w:val="0"/>
          <w:numId w:val="1"/>
        </w:numPr>
      </w:pPr>
      <w:r>
        <w:t xml:space="preserve">logo;</w:t>
      </w:r>
    </w:p>
    <w:p>
      <w:pPr>
        <w:pStyle w:val="ListParagraph"/>
        <w:numPr>
          <w:ilvl w:val="0"/>
          <w:numId w:val="1"/>
        </w:numPr>
      </w:pPr>
      <w:r>
        <w:t xml:space="preserve">paleta;</w:t>
      </w:r>
    </w:p>
    <w:p>
      <w:pPr>
        <w:pStyle w:val="ListParagraph"/>
        <w:numPr>
          <w:ilvl w:val="0"/>
          <w:numId w:val="1"/>
        </w:numPr>
      </w:pPr>
      <w:r>
        <w:t xml:space="preserve">tagline;</w:t>
      </w:r>
    </w:p>
    <w:p>
      <w:pPr>
        <w:pStyle w:val="ListParagraph"/>
        <w:numPr>
          <w:ilvl w:val="0"/>
          <w:numId w:val="1"/>
        </w:numPr>
      </w:pPr>
      <w:r>
        <w:t xml:space="preserve">naming;</w:t>
      </w:r>
    </w:p>
    <w:p>
      <w:pPr>
        <w:pStyle w:val="ListParagraph"/>
        <w:numPr>
          <w:ilvl w:val="0"/>
          <w:numId w:val="1"/>
        </w:numPr>
      </w:pPr>
      <w:r>
        <w:t xml:space="preserve">tom de voz;</w:t>
      </w:r>
    </w:p>
    <w:p>
      <w:pPr>
        <w:pStyle w:val="ListParagraph"/>
        <w:numPr>
          <w:ilvl w:val="0"/>
          <w:numId w:val="1"/>
        </w:numPr>
      </w:pPr>
      <w:r>
        <w:t xml:space="preserve">claims;</w:t>
      </w:r>
    </w:p>
    <w:p>
      <w:pPr>
        <w:spacing w:after="100"/>
      </w:pPr>
      <w:r>
        <w:t xml:space="preserve">devem ser versionadas e aprovadas pelo responsável do produto.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Checklist de Ativos</w:t>
      </w:r>
    </w:p>
    <w:p>
      <w:pPr>
        <w:pStyle w:val="Heading2"/>
        <w:spacing w:after="100" w:before="220"/>
      </w:pPr>
      <w:r>
        <w:t xml:space="preserve">Incluídos neste pacote v0.2</w:t>
      </w:r>
    </w:p>
    <w:p>
      <w:pPr>
        <w:pStyle w:val="Heading3"/>
        <w:spacing w:after="80" w:before="160"/>
      </w:pPr>
      <w:r>
        <w:t xml:space="preserve">Logos SVG</w:t>
      </w:r>
    </w:p>
    <w:p>
      <w:pPr>
        <w:pStyle w:val="ListParagraph"/>
        <w:numPr>
          <w:ilvl w:val="0"/>
          <w:numId w:val="1"/>
        </w:numPr>
      </w:pPr>
      <w:r>
        <w:t xml:space="preserve">horizontal claro;</w:t>
      </w:r>
    </w:p>
    <w:p>
      <w:pPr>
        <w:pStyle w:val="ListParagraph"/>
        <w:numPr>
          <w:ilvl w:val="0"/>
          <w:numId w:val="1"/>
        </w:numPr>
      </w:pPr>
      <w:r>
        <w:t xml:space="preserve">horizontal reverso;</w:t>
      </w:r>
    </w:p>
    <w:p>
      <w:pPr>
        <w:pStyle w:val="ListParagraph"/>
        <w:numPr>
          <w:ilvl w:val="0"/>
          <w:numId w:val="1"/>
        </w:numPr>
      </w:pPr>
      <w:r>
        <w:t xml:space="preserve">vertical claro;</w:t>
      </w:r>
    </w:p>
    <w:p>
      <w:pPr>
        <w:pStyle w:val="ListParagraph"/>
        <w:numPr>
          <w:ilvl w:val="0"/>
          <w:numId w:val="1"/>
        </w:numPr>
      </w:pPr>
      <w:r>
        <w:t xml:space="preserve">vertical reverso;</w:t>
      </w:r>
    </w:p>
    <w:p>
      <w:pPr>
        <w:pStyle w:val="ListParagraph"/>
        <w:numPr>
          <w:ilvl w:val="0"/>
          <w:numId w:val="1"/>
        </w:numPr>
      </w:pPr>
      <w:r>
        <w:t xml:space="preserve">símbolo colorido;</w:t>
      </w:r>
    </w:p>
    <w:p>
      <w:pPr>
        <w:pStyle w:val="ListParagraph"/>
        <w:numPr>
          <w:ilvl w:val="0"/>
          <w:numId w:val="1"/>
        </w:numPr>
      </w:pPr>
      <w:r>
        <w:t xml:space="preserve">símbolo em fundo escuro;</w:t>
      </w:r>
    </w:p>
    <w:p>
      <w:pPr>
        <w:pStyle w:val="ListParagraph"/>
        <w:numPr>
          <w:ilvl w:val="0"/>
          <w:numId w:val="1"/>
        </w:numPr>
      </w:pPr>
      <w:r>
        <w:t xml:space="preserve">símbolo monocromático escuro;</w:t>
      </w:r>
    </w:p>
    <w:p>
      <w:pPr>
        <w:pStyle w:val="ListParagraph"/>
        <w:numPr>
          <w:ilvl w:val="0"/>
          <w:numId w:val="1"/>
        </w:numPr>
      </w:pPr>
      <w:r>
        <w:t xml:space="preserve">símbolo monocromático branco;</w:t>
      </w:r>
    </w:p>
    <w:p>
      <w:pPr>
        <w:pStyle w:val="ListParagraph"/>
        <w:numPr>
          <w:ilvl w:val="0"/>
          <w:numId w:val="1"/>
        </w:numPr>
      </w:pPr>
      <w:r>
        <w:t xml:space="preserve">wordmark;</w:t>
      </w:r>
    </w:p>
    <w:p>
      <w:pPr>
        <w:pStyle w:val="ListParagraph"/>
        <w:numPr>
          <w:ilvl w:val="0"/>
          <w:numId w:val="1"/>
        </w:numPr>
      </w:pPr>
      <w:r>
        <w:t xml:space="preserve">wordmark reverso;</w:t>
      </w:r>
    </w:p>
    <w:p>
      <w:pPr>
        <w:pStyle w:val="ListParagraph"/>
        <w:numPr>
          <w:ilvl w:val="0"/>
          <w:numId w:val="1"/>
        </w:numPr>
      </w:pPr>
      <w:r>
        <w:t xml:space="preserve">app icon;</w:t>
      </w:r>
    </w:p>
    <w:p>
      <w:pPr>
        <w:pStyle w:val="ListParagraph"/>
        <w:numPr>
          <w:ilvl w:val="0"/>
          <w:numId w:val="1"/>
        </w:numPr>
      </w:pPr>
      <w:r>
        <w:t xml:space="preserve">favicon/micro mark.</w:t>
      </w:r>
    </w:p>
    <w:p>
      <w:pPr>
        <w:pStyle w:val="Heading3"/>
        <w:spacing w:after="80" w:before="160"/>
      </w:pPr>
      <w:r>
        <w:t xml:space="preserve">Raster</w:t>
      </w:r>
    </w:p>
    <w:p>
      <w:pPr>
        <w:pStyle w:val="ListParagraph"/>
        <w:numPr>
          <w:ilvl w:val="0"/>
          <w:numId w:val="1"/>
        </w:numPr>
      </w:pPr>
      <w:r>
        <w:t xml:space="preserve">logos principais PNG;</w:t>
      </w:r>
    </w:p>
    <w:p>
      <w:pPr>
        <w:pStyle w:val="ListParagraph"/>
        <w:numPr>
          <w:ilvl w:val="0"/>
          <w:numId w:val="1"/>
        </w:numPr>
      </w:pPr>
      <w:r>
        <w:t xml:space="preserve">símbolo 1024 px;</w:t>
      </w:r>
    </w:p>
    <w:p>
      <w:pPr>
        <w:pStyle w:val="ListParagraph"/>
        <w:numPr>
          <w:ilvl w:val="0"/>
          <w:numId w:val="1"/>
        </w:numPr>
      </w:pPr>
      <w:r>
        <w:t xml:space="preserve">app icons em vários tamanhos;</w:t>
      </w:r>
    </w:p>
    <w:p>
      <w:pPr>
        <w:pStyle w:val="ListParagraph"/>
        <w:numPr>
          <w:ilvl w:val="0"/>
          <w:numId w:val="1"/>
        </w:numPr>
      </w:pPr>
      <w:r>
        <w:t xml:space="preserve">favicons PNG;</w:t>
      </w:r>
    </w:p>
    <w:p>
      <w:pPr>
        <w:pStyle w:val="ListParagraph"/>
        <w:numPr>
          <w:ilvl w:val="0"/>
          <w:numId w:val="1"/>
        </w:numPr>
      </w:pPr>
      <w:r>
        <w:t xml:space="preserve">favicon ICO.</w:t>
      </w:r>
    </w:p>
    <w:p>
      <w:pPr>
        <w:pStyle w:val="Heading3"/>
        <w:spacing w:after="80" w:before="160"/>
      </w:pPr>
      <w:r>
        <w:t xml:space="preserve">Tokens</w:t>
      </w:r>
    </w:p>
    <w:p>
      <w:pPr>
        <w:pStyle w:val="ListParagraph"/>
        <w:numPr>
          <w:ilvl w:val="0"/>
          <w:numId w:val="1"/>
        </w:numPr>
      </w:pPr>
      <w:r>
        <w:t xml:space="preserve">colors.json;</w:t>
      </w:r>
    </w:p>
    <w:p>
      <w:pPr>
        <w:pStyle w:val="ListParagraph"/>
        <w:numPr>
          <w:ilvl w:val="0"/>
          <w:numId w:val="1"/>
        </w:numPr>
      </w:pPr>
      <w:r>
        <w:t xml:space="preserve">typography.json;</w:t>
      </w:r>
    </w:p>
    <w:p>
      <w:pPr>
        <w:pStyle w:val="ListParagraph"/>
        <w:numPr>
          <w:ilvl w:val="0"/>
          <w:numId w:val="1"/>
        </w:numPr>
      </w:pPr>
      <w:r>
        <w:t xml:space="preserve">brand-metadata.json;</w:t>
      </w:r>
    </w:p>
    <w:p>
      <w:pPr>
        <w:pStyle w:val="ListParagraph"/>
        <w:numPr>
          <w:ilvl w:val="0"/>
          <w:numId w:val="1"/>
        </w:numPr>
      </w:pPr>
      <w:r>
        <w:t xml:space="preserve">tokens.css.</w:t>
      </w:r>
    </w:p>
    <w:p>
      <w:pPr>
        <w:pStyle w:val="Heading3"/>
        <w:spacing w:after="80" w:before="160"/>
      </w:pPr>
      <w:r>
        <w:t xml:space="preserve">Templates</w:t>
      </w:r>
    </w:p>
    <w:p>
      <w:pPr>
        <w:pStyle w:val="ListParagraph"/>
        <w:numPr>
          <w:ilvl w:val="0"/>
          <w:numId w:val="1"/>
        </w:numPr>
      </w:pPr>
      <w:r>
        <w:t xml:space="preserve">social 1080x1080;</w:t>
      </w:r>
    </w:p>
    <w:p>
      <w:pPr>
        <w:pStyle w:val="ListParagraph"/>
        <w:numPr>
          <w:ilvl w:val="0"/>
          <w:numId w:val="1"/>
        </w:numPr>
      </w:pPr>
      <w:r>
        <w:t xml:space="preserve">story 1080x1920;</w:t>
      </w:r>
    </w:p>
    <w:p>
      <w:pPr>
        <w:pStyle w:val="ListParagraph"/>
        <w:numPr>
          <w:ilvl w:val="0"/>
          <w:numId w:val="1"/>
        </w:numPr>
      </w:pPr>
      <w:r>
        <w:t xml:space="preserve">capa de apresentação 1920x1080.</w:t>
      </w:r>
    </w:p>
    <w:p>
      <w:pPr>
        <w:pStyle w:val="Heading3"/>
        <w:spacing w:after="80" w:before="160"/>
      </w:pPr>
      <w:r>
        <w:t xml:space="preserve">Referências</w:t>
      </w:r>
    </w:p>
    <w:p>
      <w:pPr>
        <w:pStyle w:val="ListParagraph"/>
        <w:numPr>
          <w:ilvl w:val="0"/>
          <w:numId w:val="1"/>
        </w:numPr>
      </w:pPr>
      <w:r>
        <w:t xml:space="preserve">board visual aprovado como direção;</w:t>
      </w:r>
    </w:p>
    <w:p>
      <w:pPr>
        <w:pStyle w:val="ListParagraph"/>
        <w:numPr>
          <w:ilvl w:val="0"/>
          <w:numId w:val="1"/>
        </w:numPr>
      </w:pPr>
      <w:r>
        <w:t xml:space="preserve">conceito inicial.</w:t>
      </w:r>
    </w:p>
    <w:p>
      <w:pPr>
        <w:pStyle w:val="Heading2"/>
        <w:spacing w:after="100" w:before="220"/>
      </w:pPr>
      <w:r>
        <w:t xml:space="preserve">Adicionado em v0.3</w:t>
      </w:r>
    </w:p>
    <w:p>
      <w:pPr>
        <w:pStyle w:val="ListParagraph"/>
        <w:numPr>
          <w:ilvl w:val="0"/>
          <w:numId w:val="1"/>
        </w:numPr>
      </w:pPr>
      <w:r>
        <w:t xml:space="preserve">papéis semânticos de cor (`semantic.dark` / `semantic.light`) em `colors.json` e `tokens.css`, preservando todos os tokens brutos v0.2;</w:t>
      </w:r>
    </w:p>
    <w:p>
      <w:pPr>
        <w:pStyle w:val="ListParagraph"/>
        <w:numPr>
          <w:ilvl w:val="0"/>
          <w:numId w:val="1"/>
        </w:numPr>
      </w:pPr>
      <w:r>
        <w:t xml:space="preserve">novo token de texto de ação/link acessível (`#A07AFF`, "Atlas Violet Accessible");</w:t>
      </w:r>
    </w:p>
    <w:p>
      <w:pPr>
        <w:pStyle w:val="ListParagraph"/>
        <w:numPr>
          <w:ilvl w:val="0"/>
          <w:numId w:val="1"/>
        </w:numPr>
      </w:pPr>
      <w:r>
        <w:t xml:space="preserve">tabela de contraste medida (WCAG 2.x) para o tema escuro;</w:t>
      </w:r>
    </w:p>
    <w:p>
      <w:pPr>
        <w:pStyle w:val="ListParagraph"/>
        <w:numPr>
          <w:ilvl w:val="0"/>
          <w:numId w:val="1"/>
        </w:numPr>
      </w:pPr>
      <w:r>
        <w:t xml:space="preserve">JetBrains Mono como família de dados (`--la-font-mono`);</w:t>
      </w:r>
    </w:p>
    <w:p>
      <w:pPr>
        <w:pStyle w:val="ListParagraph"/>
        <w:numPr>
          <w:ilvl w:val="0"/>
          <w:numId w:val="1"/>
        </w:numPr>
      </w:pPr>
      <w:r>
        <w:t xml:space="preserve">`guidelines/03_COLOR_SYSTEM.md` e `guidelines/07_UI_BRAND_APPLICATION.md` reescritos em torno do produto escuro por padrão;</w:t>
      </w:r>
    </w:p>
    <w:p>
      <w:pPr>
        <w:pStyle w:val="ListParagraph"/>
        <w:numPr>
          <w:ilvl w:val="0"/>
          <w:numId w:val="1"/>
        </w:numPr>
      </w:pPr>
      <w:r>
        <w:t xml:space="preserve">novo brand board escuro (`preview/lotoatlas-brandboard-dark.svg`/`.png`).</w:t>
      </w:r>
    </w:p>
    <w:p>
      <w:pPr>
        <w:pStyle w:val="Heading2"/>
        <w:spacing w:after="100" w:before="220"/>
      </w:pPr>
      <w:r>
        <w:t xml:space="preserve">Antes de brandbook final v1.0</w:t>
      </w:r>
    </w:p>
    <w:p>
      <w:pPr>
        <w:pStyle w:val="ListParagraph"/>
        <w:numPr>
          <w:ilvl w:val="0"/>
          <w:numId w:val="1"/>
        </w:numPr>
      </w:pPr>
      <w:r>
        <w:t xml:space="preserve">validar registro de marca;</w:t>
      </w:r>
    </w:p>
    <w:p>
      <w:pPr>
        <w:pStyle w:val="ListParagraph"/>
        <w:numPr>
          <w:ilvl w:val="0"/>
          <w:numId w:val="1"/>
        </w:numPr>
      </w:pPr>
      <w:r>
        <w:t xml:space="preserve">validar domínio;</w:t>
      </w:r>
    </w:p>
    <w:p>
      <w:pPr>
        <w:pStyle w:val="ListParagraph"/>
        <w:numPr>
          <w:ilvl w:val="0"/>
          <w:numId w:val="1"/>
        </w:numPr>
      </w:pPr>
      <w:r>
        <w:t xml:space="preserve">refinar trevo e geometria final com designer;</w:t>
      </w:r>
    </w:p>
    <w:p>
      <w:pPr>
        <w:pStyle w:val="ListParagraph"/>
        <w:numPr>
          <w:ilvl w:val="0"/>
          <w:numId w:val="1"/>
        </w:numPr>
      </w:pPr>
      <w:r>
        <w:t xml:space="preserve">converter wordmark em curvas;</w:t>
      </w:r>
    </w:p>
    <w:p>
      <w:pPr>
        <w:pStyle w:val="ListParagraph"/>
        <w:numPr>
          <w:ilvl w:val="0"/>
          <w:numId w:val="1"/>
        </w:numPr>
      </w:pPr>
      <w:r>
        <w:t xml:space="preserve">gerar AI/EPS/PDF vetorial, se necessário;</w:t>
      </w:r>
    </w:p>
    <w:p>
      <w:pPr>
        <w:pStyle w:val="ListParagraph"/>
        <w:numPr>
          <w:ilvl w:val="0"/>
          <w:numId w:val="1"/>
        </w:numPr>
      </w:pPr>
      <w:r>
        <w:t xml:space="preserve">testar logo em 16/24/32 px;</w:t>
      </w:r>
    </w:p>
    <w:p>
      <w:pPr>
        <w:pStyle w:val="ListParagraph"/>
        <w:numPr>
          <w:ilvl w:val="0"/>
          <w:numId w:val="1"/>
        </w:numPr>
      </w:pPr>
      <w:r>
        <w:t xml:space="preserve">testar impressão CMYK/Pantone se houver material físico;</w:t>
      </w:r>
    </w:p>
    <w:p>
      <w:pPr>
        <w:pStyle w:val="ListParagraph"/>
        <w:numPr>
          <w:ilvl w:val="0"/>
          <w:numId w:val="1"/>
        </w:numPr>
      </w:pPr>
      <w:r>
        <w:t xml:space="preserve">definir política de co-branding;</w:t>
      </w:r>
    </w:p>
    <w:p>
      <w:pPr>
        <w:pStyle w:val="ListParagraph"/>
        <w:numPr>
          <w:ilvl w:val="0"/>
          <w:numId w:val="1"/>
        </w:numPr>
      </w:pPr>
      <w:r>
        <w:t xml:space="preserve">criar exemplos finais de aplicação no produto real.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Público e Personas de Marca</w:t>
      </w:r>
    </w:p>
    <w:p>
      <w:pPr>
        <w:pStyle w:val="Heading2"/>
        <w:spacing w:after="100" w:before="220"/>
      </w:pPr>
      <w:r>
        <w:t xml:space="preserve">Público prioritário</w:t>
      </w:r>
    </w:p>
    <w:p>
      <w:pPr>
        <w:spacing w:after="100"/>
      </w:pPr>
      <w:r>
        <w:t xml:space="preserve">Adultos que já têm contato com loterias e desejam uma experiência digital mais organizada, explicativa e confiável do que um gerador de números genérico.</w:t>
      </w:r>
    </w:p>
    <w:p>
      <w:pPr>
        <w:pStyle w:val="Heading3"/>
        <w:spacing w:after="80" w:before="160"/>
      </w:pPr>
      <w:r>
        <w:t xml:space="preserve">Necessidades de marca</w:t>
      </w:r>
    </w:p>
    <w:p>
      <w:pPr>
        <w:pStyle w:val="ListParagraph"/>
        <w:numPr>
          <w:ilvl w:val="0"/>
          <w:numId w:val="1"/>
        </w:numPr>
      </w:pPr>
      <w:r>
        <w:t xml:space="preserve">entender rapidamente o que o produto faz;</w:t>
      </w:r>
    </w:p>
    <w:p>
      <w:pPr>
        <w:pStyle w:val="ListParagraph"/>
        <w:numPr>
          <w:ilvl w:val="0"/>
          <w:numId w:val="1"/>
        </w:numPr>
      </w:pPr>
      <w:r>
        <w:t xml:space="preserve">sentir confiança sem aparência bancária excessiva;</w:t>
      </w:r>
    </w:p>
    <w:p>
      <w:pPr>
        <w:pStyle w:val="ListParagraph"/>
        <w:numPr>
          <w:ilvl w:val="0"/>
          <w:numId w:val="1"/>
        </w:numPr>
      </w:pPr>
      <w:r>
        <w:t xml:space="preserve">perceber tecnologia sem aparência de cripto/cassino;</w:t>
      </w:r>
    </w:p>
    <w:p>
      <w:pPr>
        <w:pStyle w:val="ListParagraph"/>
        <w:numPr>
          <w:ilvl w:val="0"/>
          <w:numId w:val="1"/>
        </w:numPr>
      </w:pPr>
      <w:r>
        <w:t xml:space="preserve">enxergar números com alta legibilidade;</w:t>
      </w:r>
    </w:p>
    <w:p>
      <w:pPr>
        <w:pStyle w:val="ListParagraph"/>
        <w:numPr>
          <w:ilvl w:val="0"/>
          <w:numId w:val="1"/>
        </w:numPr>
      </w:pPr>
      <w:r>
        <w:t xml:space="preserve">ter linguagem simples mesmo quando a metodologia é sofisticada;</w:t>
      </w:r>
    </w:p>
    <w:p>
      <w:pPr>
        <w:pStyle w:val="ListParagraph"/>
        <w:numPr>
          <w:ilvl w:val="0"/>
          <w:numId w:val="1"/>
        </w:numPr>
      </w:pPr>
      <w:r>
        <w:t xml:space="preserve">sentir autonomia, e não pressão para apostar.</w:t>
      </w:r>
    </w:p>
    <w:p>
      <w:pPr>
        <w:pStyle w:val="Heading2"/>
        <w:spacing w:after="100" w:before="220"/>
      </w:pPr>
      <w:r>
        <w:t xml:space="preserve">Persona 1 — Planejador pragmático</w:t>
      </w:r>
    </w:p>
    <w:p>
      <w:pPr>
        <w:spacing w:after="100"/>
      </w:pPr>
      <w:r>
        <w:rPr>
          <w:b/>
          <w:bCs/>
        </w:rPr>
        <w:t xml:space="preserve">Contexto:</w:t>
      </w:r>
      <w:r>
        <w:t xml:space="preserve"> joga ocasionalmente ou com alguma recorrência; prefere entender custo, quantidade de jogos e resultado.  </w:t>
      </w:r>
    </w:p>
    <w:p>
      <w:pPr>
        <w:spacing w:after="100"/>
      </w:pPr>
      <w:r>
        <w:rPr>
          <w:b/>
          <w:bCs/>
        </w:rPr>
        <w:t xml:space="preserve">Busca:</w:t>
      </w:r>
      <w:r>
        <w:t xml:space="preserve"> organização, histórico, conferência e explicações.  </w:t>
      </w:r>
    </w:p>
    <w:p>
      <w:pPr>
        <w:spacing w:after="100"/>
      </w:pPr>
      <w:r>
        <w:rPr>
          <w:b/>
          <w:bCs/>
        </w:rPr>
        <w:t xml:space="preserve">Rejeita:</w:t>
      </w:r>
      <w:r>
        <w:t xml:space="preserve"> promessa milagrosa, excesso de termos técnicos, telas confusas.  </w:t>
      </w:r>
    </w:p>
    <w:p>
      <w:pPr>
        <w:spacing w:after="100"/>
      </w:pPr>
      <w:r>
        <w:rPr>
          <w:b/>
          <w:bCs/>
        </w:rPr>
        <w:t xml:space="preserve">Resposta da marca:</w:t>
      </w:r>
      <w:r>
        <w:t xml:space="preserve"> Atlas Ink, tipografia robusta, hierarquia clara, voz Sábio.</w:t>
      </w:r>
    </w:p>
    <w:p>
      <w:pPr>
        <w:pStyle w:val="Heading2"/>
        <w:spacing w:after="100" w:before="220"/>
      </w:pPr>
      <w:r>
        <w:t xml:space="preserve">Persona 2 — Explorador digital</w:t>
      </w:r>
    </w:p>
    <w:p>
      <w:pPr>
        <w:spacing w:after="100"/>
      </w:pPr>
      <w:r>
        <w:rPr>
          <w:b/>
          <w:bCs/>
        </w:rPr>
        <w:t xml:space="preserve">Contexto:</w:t>
      </w:r>
      <w:r>
        <w:t xml:space="preserve"> usa smartphone, gosta de comparar estratégias e testar configurações.  </w:t>
      </w:r>
    </w:p>
    <w:p>
      <w:pPr>
        <w:spacing w:after="100"/>
      </w:pPr>
      <w:r>
        <w:rPr>
          <w:b/>
          <w:bCs/>
        </w:rPr>
        <w:t xml:space="preserve">Busca:</w:t>
      </w:r>
      <w:r>
        <w:t xml:space="preserve"> interação, dados, simulação, novas modalidades.  </w:t>
      </w:r>
    </w:p>
    <w:p>
      <w:pPr>
        <w:spacing w:after="100"/>
      </w:pPr>
      <w:r>
        <w:rPr>
          <w:b/>
          <w:bCs/>
        </w:rPr>
        <w:t xml:space="preserve">Rejeita:</w:t>
      </w:r>
      <w:r>
        <w:t xml:space="preserve"> visual antigo e experiência burocrática.  </w:t>
      </w:r>
    </w:p>
    <w:p>
      <w:pPr>
        <w:spacing w:after="100"/>
      </w:pPr>
      <w:r>
        <w:rPr>
          <w:b/>
          <w:bCs/>
        </w:rPr>
        <w:t xml:space="preserve">Resposta da marca:</w:t>
      </w:r>
      <w:r>
        <w:t xml:space="preserve"> gradiente, nós/rede, microinterações, voz Explorador.</w:t>
      </w:r>
    </w:p>
    <w:p>
      <w:pPr>
        <w:pStyle w:val="Heading2"/>
        <w:spacing w:after="100" w:before="220"/>
      </w:pPr>
      <w:r>
        <w:t xml:space="preserve">Persona 3 — Usuário desconfiado</w:t>
      </w:r>
    </w:p>
    <w:p>
      <w:pPr>
        <w:spacing w:after="100"/>
      </w:pPr>
      <w:r>
        <w:rPr>
          <w:b/>
          <w:bCs/>
        </w:rPr>
        <w:t xml:space="preserve">Contexto:</w:t>
      </w:r>
      <w:r>
        <w:t xml:space="preserve"> já viu ferramentas que prometem “números vencedores”.  </w:t>
      </w:r>
    </w:p>
    <w:p>
      <w:pPr>
        <w:spacing w:after="100"/>
      </w:pPr>
      <w:r>
        <w:rPr>
          <w:b/>
          <w:bCs/>
        </w:rPr>
        <w:t xml:space="preserve">Busca:</w:t>
      </w:r>
      <w:r>
        <w:t xml:space="preserve"> prova, transparência e metodologia.  </w:t>
      </w:r>
    </w:p>
    <w:p>
      <w:pPr>
        <w:spacing w:after="100"/>
      </w:pPr>
      <w:r>
        <w:rPr>
          <w:b/>
          <w:bCs/>
        </w:rPr>
        <w:t xml:space="preserve">Rejeita:</w:t>
      </w:r>
      <w:r>
        <w:t xml:space="preserve"> qualquer claim de certeza ou “IA que prevê sorteio”.  </w:t>
      </w:r>
    </w:p>
    <w:p>
      <w:pPr>
        <w:spacing w:after="100"/>
      </w:pPr>
      <w:r>
        <w:rPr>
          <w:b/>
          <w:bCs/>
        </w:rPr>
        <w:t xml:space="preserve">Resposta da marca:</w:t>
      </w:r>
      <w:r>
        <w:t xml:space="preserve"> explicar limites, mostrar fonte, usar linguagem factual.</w:t>
      </w:r>
    </w:p>
    <w:p>
      <w:pPr>
        <w:pStyle w:val="Heading2"/>
        <w:spacing w:after="100" w:before="220"/>
      </w:pPr>
      <w:r>
        <w:t xml:space="preserve">Implicação para design</w:t>
      </w:r>
    </w:p>
    <w:p>
      <w:pPr>
        <w:spacing w:after="100"/>
      </w:pPr>
      <w:r>
        <w:t xml:space="preserve">A marca precisa ser moderna e reconhecível como produto de loteria, mas não pode depender de códigos visuais de cassino. O trevo resolve reconhecimento de sorte; a rede/atlas preserva diferenciação e inteligência.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Biblioteca de Mensagens</w:t>
      </w:r>
    </w:p>
    <w:p>
      <w:pPr>
        <w:pStyle w:val="Heading2"/>
        <w:spacing w:after="100" w:before="220"/>
      </w:pPr>
      <w:r>
        <w:t xml:space="preserve">Hero options</w:t>
      </w:r>
    </w:p>
    <w:p>
      <w:pPr>
        <w:pStyle w:val="Heading3"/>
        <w:spacing w:after="80" w:before="160"/>
      </w:pPr>
      <w:r>
        <w:t xml:space="preserve">Principal</w:t>
      </w:r>
    </w:p>
    <w:p>
      <w:pPr>
        <w:spacing w:after="100"/>
      </w:pPr>
      <w:r>
        <w:rPr>
          <w:b/>
          <w:bCs/>
        </w:rPr>
        <w:t xml:space="preserve">Seus jogos, em uma visão mais completa.</w:t>
      </w:r>
      <w:r>
        <w:t xml:space="preserve">  </w:t>
      </w:r>
    </w:p>
    <w:p>
      <w:pPr>
        <w:spacing w:after="100"/>
      </w:pPr>
      <w:r>
        <w:t xml:space="preserve">Organize carteiras, compare estratégias e confira resultados com mais clareza.</w:t>
      </w:r>
    </w:p>
    <w:p>
      <w:pPr>
        <w:pStyle w:val="Heading3"/>
        <w:spacing w:after="80" w:before="160"/>
      </w:pPr>
      <w:r>
        <w:t xml:space="preserve">Alternativa analítica</w:t>
      </w:r>
    </w:p>
    <w:p>
      <w:pPr>
        <w:spacing w:after="100"/>
      </w:pPr>
      <w:r>
        <w:rPr>
          <w:b/>
          <w:bCs/>
        </w:rPr>
        <w:t xml:space="preserve">Mais método para organizar seus jogos.</w:t>
      </w:r>
      <w:r>
        <w:t xml:space="preserve">  </w:t>
      </w:r>
    </w:p>
    <w:p>
      <w:pPr>
        <w:spacing w:after="100"/>
      </w:pPr>
      <w:r>
        <w:t xml:space="preserve">Estratégias transparentes, histórico e conferência em um só lugar.</w:t>
      </w:r>
    </w:p>
    <w:p>
      <w:pPr>
        <w:pStyle w:val="Heading3"/>
        <w:spacing w:after="80" w:before="160"/>
      </w:pPr>
      <w:r>
        <w:t xml:space="preserve">Alternativa curta</w:t>
      </w:r>
    </w:p>
    <w:p>
      <w:pPr>
        <w:spacing w:after="100"/>
      </w:pPr>
      <w:r>
        <w:rPr>
          <w:b/>
          <w:bCs/>
        </w:rPr>
        <w:t xml:space="preserve">Jogue com mais clareza.</w:t>
      </w:r>
      <w:r>
        <w:t xml:space="preserve">  </w:t>
      </w:r>
    </w:p>
    <w:p>
      <w:pPr>
        <w:spacing w:after="100"/>
      </w:pPr>
      <w:r>
        <w:t xml:space="preserve">Sem promessas. Com método, organização e informação.</w:t>
      </w:r>
    </w:p>
    <w:p>
      <w:pPr>
        <w:pStyle w:val="Heading2"/>
        <w:spacing w:after="100" w:before="220"/>
      </w:pPr>
      <w:r>
        <w:t xml:space="preserve">CTAs</w:t>
      </w:r>
    </w:p>
    <w:p>
      <w:pPr>
        <w:pStyle w:val="Heading3"/>
        <w:spacing w:after="80" w:before="160"/>
      </w:pPr>
      <w:r>
        <w:t xml:space="preserve">Primários</w:t>
      </w:r>
    </w:p>
    <w:p>
      <w:pPr>
        <w:pStyle w:val="ListParagraph"/>
        <w:numPr>
          <w:ilvl w:val="0"/>
          <w:numId w:val="1"/>
        </w:numPr>
      </w:pPr>
      <w:r>
        <w:t xml:space="preserve">Montar meus jogos</w:t>
      </w:r>
    </w:p>
    <w:p>
      <w:pPr>
        <w:pStyle w:val="ListParagraph"/>
        <w:numPr>
          <w:ilvl w:val="0"/>
          <w:numId w:val="1"/>
        </w:numPr>
      </w:pPr>
      <w:r>
        <w:t xml:space="preserve">Gerar carteira</w:t>
      </w:r>
    </w:p>
    <w:p>
      <w:pPr>
        <w:pStyle w:val="ListParagraph"/>
        <w:numPr>
          <w:ilvl w:val="0"/>
          <w:numId w:val="1"/>
        </w:numPr>
      </w:pPr>
      <w:r>
        <w:t xml:space="preserve">Comparar estratégias</w:t>
      </w:r>
    </w:p>
    <w:p>
      <w:pPr>
        <w:pStyle w:val="ListParagraph"/>
        <w:numPr>
          <w:ilvl w:val="0"/>
          <w:numId w:val="1"/>
        </w:numPr>
      </w:pPr>
      <w:r>
        <w:t xml:space="preserve">Conferir resultado</w:t>
      </w:r>
    </w:p>
    <w:p>
      <w:pPr>
        <w:pStyle w:val="Heading3"/>
        <w:spacing w:after="80" w:before="160"/>
      </w:pPr>
      <w:r>
        <w:t xml:space="preserve">Secundários</w:t>
      </w:r>
    </w:p>
    <w:p>
      <w:pPr>
        <w:pStyle w:val="ListParagraph"/>
        <w:numPr>
          <w:ilvl w:val="0"/>
          <w:numId w:val="1"/>
        </w:numPr>
      </w:pPr>
      <w:r>
        <w:t xml:space="preserve">Entender como funciona</w:t>
      </w:r>
    </w:p>
    <w:p>
      <w:pPr>
        <w:pStyle w:val="ListParagraph"/>
        <w:numPr>
          <w:ilvl w:val="0"/>
          <w:numId w:val="1"/>
        </w:numPr>
      </w:pPr>
      <w:r>
        <w:t xml:space="preserve">Ver metodologia</w:t>
      </w:r>
    </w:p>
    <w:p>
      <w:pPr>
        <w:pStyle w:val="ListParagraph"/>
        <w:numPr>
          <w:ilvl w:val="0"/>
          <w:numId w:val="1"/>
        </w:numPr>
      </w:pPr>
      <w:r>
        <w:t xml:space="preserve">Ver meus jogos</w:t>
      </w:r>
    </w:p>
    <w:p>
      <w:pPr>
        <w:pStyle w:val="ListParagraph"/>
        <w:numPr>
          <w:ilvl w:val="0"/>
          <w:numId w:val="1"/>
        </w:numPr>
      </w:pPr>
      <w:r>
        <w:t xml:space="preserve">Simular concurso histórico</w:t>
      </w:r>
    </w:p>
    <w:p>
      <w:pPr>
        <w:pStyle w:val="Heading2"/>
        <w:spacing w:after="100" w:before="220"/>
      </w:pPr>
      <w:r>
        <w:t xml:space="preserve">Mensagens de confiança</w:t>
      </w:r>
    </w:p>
    <w:p>
      <w:pPr>
        <w:pStyle w:val="ListParagraph"/>
        <w:numPr>
          <w:ilvl w:val="0"/>
          <w:numId w:val="1"/>
        </w:numPr>
      </w:pPr>
      <w:r>
        <w:t xml:space="preserve">O sorteio continua aleatório.</w:t>
      </w:r>
    </w:p>
    <w:p>
      <w:pPr>
        <w:pStyle w:val="ListParagraph"/>
        <w:numPr>
          <w:ilvl w:val="0"/>
          <w:numId w:val="1"/>
        </w:numPr>
      </w:pPr>
      <w:r>
        <w:t xml:space="preserve">Estratégias organizam a carteira; não preveem o resultado.</w:t>
      </w:r>
    </w:p>
    <w:p>
      <w:pPr>
        <w:pStyle w:val="ListParagraph"/>
        <w:numPr>
          <w:ilvl w:val="0"/>
          <w:numId w:val="1"/>
        </w:numPr>
      </w:pPr>
      <w:r>
        <w:t xml:space="preserve">Dados oficiais, metodologia transparente.</w:t>
      </w:r>
    </w:p>
    <w:p>
      <w:pPr>
        <w:pStyle w:val="ListParagraph"/>
        <w:numPr>
          <w:ilvl w:val="0"/>
          <w:numId w:val="1"/>
        </w:numPr>
      </w:pPr>
      <w:r>
        <w:t xml:space="preserve">Seus jogos salvos ficam neste navegador enquanto não houver conta/sincronização.</w:t>
      </w:r>
    </w:p>
    <w:p>
      <w:pPr>
        <w:pStyle w:val="Heading2"/>
        <w:spacing w:after="100" w:before="220"/>
      </w:pPr>
      <w:r>
        <w:t xml:space="preserve">Mensagens de responsabilidade</w:t>
      </w:r>
    </w:p>
    <w:p>
      <w:pPr>
        <w:pStyle w:val="ListParagraph"/>
        <w:numPr>
          <w:ilvl w:val="0"/>
          <w:numId w:val="1"/>
        </w:numPr>
      </w:pPr>
      <w:r>
        <w:t xml:space="preserve">Defina um limite antes de jogar.</w:t>
      </w:r>
    </w:p>
    <w:p>
      <w:pPr>
        <w:pStyle w:val="ListParagraph"/>
        <w:numPr>
          <w:ilvl w:val="0"/>
          <w:numId w:val="1"/>
        </w:numPr>
      </w:pPr>
      <w:r>
        <w:t xml:space="preserve">Nunca comprometa despesas essenciais.</w:t>
      </w:r>
    </w:p>
    <w:p>
      <w:pPr>
        <w:pStyle w:val="ListParagraph"/>
        <w:numPr>
          <w:ilvl w:val="0"/>
          <w:numId w:val="1"/>
        </w:numPr>
      </w:pPr>
      <w:r>
        <w:t xml:space="preserve">Não tente recuperar perdas aumentando o valor apostado.</w:t>
      </w:r>
    </w:p>
    <w:p>
      <w:pPr>
        <w:pStyle w:val="Heading2"/>
        <w:spacing w:after="100" w:before="220"/>
      </w:pPr>
      <w:r>
        <w:t xml:space="preserve">SEO / descriptor provisório</w:t>
      </w:r>
    </w:p>
    <w:p>
      <w:pPr>
        <w:spacing w:after="100"/>
      </w:pPr>
      <w:r>
        <w:rPr>
          <w:b/>
          <w:bCs/>
        </w:rPr>
        <w:t xml:space="preserve">LotoAtlas — estratégias, carteiras e conferência para loterias</w:t>
      </w:r>
    </w:p>
    <w:p>
      <w:pPr>
        <w:pStyle w:val="Heading2"/>
        <w:spacing w:after="100" w:before="220"/>
      </w:pPr>
      <w:r>
        <w:t xml:space="preserve">Assinatura institucional</w:t>
      </w:r>
    </w:p>
    <w:p>
      <w:pPr>
        <w:spacing w:after="100"/>
      </w:pPr>
      <w:r>
        <w:rPr>
          <w:b/>
          <w:bCs/>
        </w:rPr>
        <w:t xml:space="preserve">LotoAtlas</w:t>
      </w:r>
      <w:r>
        <w:t xml:space="preserve">  </w:t>
      </w:r>
    </w:p>
    <w:p>
      <w:pPr>
        <w:spacing w:after="100"/>
      </w:pPr>
      <w:r>
        <w:rPr>
          <w:b/>
          <w:bCs/>
        </w:rPr>
        <w:t xml:space="preserve">Organize. Analise. Confira.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LotoAtlas — Guardrails de Monetização e Co-branding</w:t>
      </w:r>
    </w:p>
    <w:p>
      <w:pPr>
        <w:pStyle w:val="Heading2"/>
        <w:spacing w:after="100" w:before="220"/>
      </w:pPr>
      <w:r>
        <w:t xml:space="preserve">Princípio</w:t>
      </w:r>
    </w:p>
    <w:p>
      <w:pPr>
        <w:spacing w:after="100"/>
      </w:pPr>
      <w:r>
        <w:t xml:space="preserve">Uma eventual monetização não pode mudar a promessa fundamental da marca: clareza e método sem promessa de previsão.</w:t>
      </w:r>
    </w:p>
    <w:p>
      <w:pPr>
        <w:pStyle w:val="Heading2"/>
        <w:spacing w:after="100" w:before="220"/>
      </w:pPr>
      <w:r>
        <w:t xml:space="preserve">Possíveis extensões de marca</w:t>
      </w:r>
    </w:p>
    <w:p>
      <w:pPr>
        <w:pStyle w:val="ListParagraph"/>
        <w:numPr>
          <w:ilvl w:val="0"/>
          <w:numId w:val="1"/>
        </w:numPr>
      </w:pPr>
      <w:r>
        <w:t xml:space="preserve">LotoAtlas Pro</w:t>
      </w:r>
    </w:p>
    <w:p>
      <w:pPr>
        <w:pStyle w:val="ListParagraph"/>
        <w:numPr>
          <w:ilvl w:val="0"/>
          <w:numId w:val="1"/>
        </w:numPr>
      </w:pPr>
      <w:r>
        <w:t xml:space="preserve">LotoAtlas Insights</w:t>
      </w:r>
    </w:p>
    <w:p>
      <w:pPr>
        <w:pStyle w:val="ListParagraph"/>
        <w:numPr>
          <w:ilvl w:val="0"/>
          <w:numId w:val="1"/>
        </w:numPr>
      </w:pPr>
      <w:r>
        <w:t xml:space="preserve">LotoAtlas Lab</w:t>
      </w:r>
    </w:p>
    <w:p>
      <w:pPr>
        <w:spacing w:after="100"/>
      </w:pPr>
      <w:r>
        <w:t xml:space="preserve">Esses nomes só devem ser usados quando houver produtos/funcionalidades reais correspondentes.</w:t>
      </w:r>
    </w:p>
    <w:p>
      <w:pPr>
        <w:pStyle w:val="Heading2"/>
        <w:spacing w:after="100" w:before="220"/>
      </w:pPr>
      <w:r>
        <w:t xml:space="preserve">Monetização — pode explorar</w:t>
      </w:r>
    </w:p>
    <w:p>
      <w:pPr>
        <w:pStyle w:val="ListParagraph"/>
        <w:numPr>
          <w:ilvl w:val="0"/>
          <w:numId w:val="1"/>
        </w:numPr>
      </w:pPr>
      <w:r>
        <w:t xml:space="preserve">análises avançadas;</w:t>
      </w:r>
    </w:p>
    <w:p>
      <w:pPr>
        <w:pStyle w:val="ListParagraph"/>
        <w:numPr>
          <w:ilvl w:val="0"/>
          <w:numId w:val="1"/>
        </w:numPr>
      </w:pPr>
      <w:r>
        <w:t xml:space="preserve">histórico expandido;</w:t>
      </w:r>
    </w:p>
    <w:p>
      <w:pPr>
        <w:pStyle w:val="ListParagraph"/>
        <w:numPr>
          <w:ilvl w:val="0"/>
          <w:numId w:val="1"/>
        </w:numPr>
      </w:pPr>
      <w:r>
        <w:t xml:space="preserve">relatórios;</w:t>
      </w:r>
    </w:p>
    <w:p>
      <w:pPr>
        <w:pStyle w:val="ListParagraph"/>
        <w:numPr>
          <w:ilvl w:val="0"/>
          <w:numId w:val="1"/>
        </w:numPr>
      </w:pPr>
      <w:r>
        <w:t xml:space="preserve">sincronização em nuvem;</w:t>
      </w:r>
    </w:p>
    <w:p>
      <w:pPr>
        <w:pStyle w:val="ListParagraph"/>
        <w:numPr>
          <w:ilvl w:val="0"/>
          <w:numId w:val="1"/>
        </w:numPr>
      </w:pPr>
      <w:r>
        <w:t xml:space="preserve">filtros avançados;</w:t>
      </w:r>
    </w:p>
    <w:p>
      <w:pPr>
        <w:pStyle w:val="ListParagraph"/>
        <w:numPr>
          <w:ilvl w:val="0"/>
          <w:numId w:val="1"/>
        </w:numPr>
      </w:pPr>
      <w:r>
        <w:t xml:space="preserve">exportações premium;</w:t>
      </w:r>
    </w:p>
    <w:p>
      <w:pPr>
        <w:pStyle w:val="ListParagraph"/>
        <w:numPr>
          <w:ilvl w:val="0"/>
          <w:numId w:val="1"/>
        </w:numPr>
      </w:pPr>
      <w:r>
        <w:t xml:space="preserve">recursos de produtividade.</w:t>
      </w:r>
    </w:p>
    <w:p>
      <w:pPr>
        <w:pStyle w:val="Heading2"/>
        <w:spacing w:after="100" w:before="220"/>
      </w:pPr>
      <w:r>
        <w:t xml:space="preserve">Monetização — evitar</w:t>
      </w:r>
    </w:p>
    <w:p>
      <w:pPr>
        <w:pStyle w:val="ListParagraph"/>
        <w:numPr>
          <w:ilvl w:val="0"/>
          <w:numId w:val="1"/>
        </w:numPr>
      </w:pPr>
      <w:r>
        <w:t xml:space="preserve">vender “números vencedores”;</w:t>
      </w:r>
    </w:p>
    <w:p>
      <w:pPr>
        <w:pStyle w:val="ListParagraph"/>
        <w:numPr>
          <w:ilvl w:val="0"/>
          <w:numId w:val="1"/>
        </w:numPr>
      </w:pPr>
      <w:r>
        <w:t xml:space="preserve">cobrar por “certeza” ou “previsão”;</w:t>
      </w:r>
    </w:p>
    <w:p>
      <w:pPr>
        <w:pStyle w:val="ListParagraph"/>
        <w:numPr>
          <w:ilvl w:val="0"/>
          <w:numId w:val="1"/>
        </w:numPr>
      </w:pPr>
      <w:r>
        <w:t xml:space="preserve">urgência artificial antes do sorteio;</w:t>
      </w:r>
    </w:p>
    <w:p>
      <w:pPr>
        <w:pStyle w:val="ListParagraph"/>
        <w:numPr>
          <w:ilvl w:val="0"/>
          <w:numId w:val="1"/>
        </w:numPr>
      </w:pPr>
      <w:r>
        <w:t xml:space="preserve">ofertas ligadas a recuperação de perdas;</w:t>
      </w:r>
    </w:p>
    <w:p>
      <w:pPr>
        <w:pStyle w:val="ListParagraph"/>
        <w:numPr>
          <w:ilvl w:val="0"/>
          <w:numId w:val="1"/>
        </w:numPr>
      </w:pPr>
      <w:r>
        <w:t xml:space="preserve">gamificação de gasto;</w:t>
      </w:r>
    </w:p>
    <w:p>
      <w:pPr>
        <w:pStyle w:val="ListParagraph"/>
        <w:numPr>
          <w:ilvl w:val="0"/>
          <w:numId w:val="1"/>
        </w:numPr>
      </w:pPr>
      <w:r>
        <w:t xml:space="preserve">ranking baseado em volume apostado.</w:t>
      </w:r>
    </w:p>
    <w:p>
      <w:pPr>
        <w:pStyle w:val="Heading2"/>
        <w:spacing w:after="100" w:before="220"/>
      </w:pPr>
      <w:r>
        <w:t xml:space="preserve">Co-branding</w:t>
      </w:r>
    </w:p>
    <w:p>
      <w:pPr>
        <w:spacing w:after="100"/>
      </w:pPr>
      <w:r>
        <w:t xml:space="preserve">Em parceria com marcas externas:</w:t>
      </w:r>
    </w:p>
    <w:p>
      <w:pPr>
        <w:pStyle w:val="ListParagraph"/>
        <w:numPr>
          <w:ilvl w:val="0"/>
          <w:numId w:val="1"/>
        </w:numPr>
      </w:pPr>
      <w:r>
        <w:t xml:space="preserve">LotoAtlas deve manter identidade independente;</w:t>
      </w:r>
    </w:p>
    <w:p>
      <w:pPr>
        <w:pStyle w:val="ListParagraph"/>
        <w:numPr>
          <w:ilvl w:val="0"/>
          <w:numId w:val="1"/>
        </w:numPr>
      </w:pPr>
      <w:r>
        <w:t xml:space="preserve">parceiro não pode alterar claims da marca;</w:t>
      </w:r>
    </w:p>
    <w:p>
      <w:pPr>
        <w:pStyle w:val="ListParagraph"/>
        <w:numPr>
          <w:ilvl w:val="0"/>
          <w:numId w:val="1"/>
        </w:numPr>
      </w:pPr>
      <w:r>
        <w:t xml:space="preserve">logos devem respeitar área de proteção;</w:t>
      </w:r>
    </w:p>
    <w:p>
      <w:pPr>
        <w:pStyle w:val="ListParagraph"/>
        <w:numPr>
          <w:ilvl w:val="0"/>
          <w:numId w:val="1"/>
        </w:numPr>
      </w:pPr>
      <w:r>
        <w:t xml:space="preserve">nenhuma parceria deve sugerir chancela oficial da CAIXA sem autorização formal;</w:t>
      </w:r>
    </w:p>
    <w:p>
      <w:pPr>
        <w:pStyle w:val="ListParagraph"/>
        <w:numPr>
          <w:ilvl w:val="0"/>
          <w:numId w:val="1"/>
        </w:numPr>
      </w:pPr>
      <w:r>
        <w:t xml:space="preserve">campanhas devem seguir as mesmas regras de jogo responsável.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4acc506ff5ad77ee4167119f45126a3127607c.undefined"/><Relationship Id="rId8" Type="http://schemas.openxmlformats.org/officeDocument/2006/relationships/image" Target="media/f99b5a87c7b961e3768ce7d63e2b7001ce0d080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2026-09-10T02:04:32.063Z</dcterms:created>
  <dcterms:modified xsi:type="dcterms:W3CDTF">2026-09-10T02:04:32.066Z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