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rPr>
          <w:trHeight w:hRule="auto"/>
        </w:trPr>
        <w:tc>
          <w:tcPr>
            <w:tcW w:w="2528" w:type="dxa"/>
            <w:vAlign w:val="top"/>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vAlign w:val="top"/>
          </w:tcPr>
          <w:p>
            <w:pPr>
              <w:spacing w:before="0" w:after="0" w:line="240" w:lineRule="auto"/>
            </w:pPr>
            <w:r/>
            <w:r>
              <w:rPr>
                <w:rFonts w:ascii="Calibri" w:hAnsi="Calibri"/>
                <w:b w:val="0"/>
                <w:i w:val="0"/>
                <w:color w:val="1F1F1F"/>
                <w:sz w:val="19"/>
              </w:rPr>
              <w:t>El equipo ha avanzado en la definición y preparación del Proyecto APT "Sistema de Control y Seguimiento de Mantención de Vehículos de Emergencia del Cuerpo de Bomberos de Talcahuano". Se formalizaron la problemática, el alcance del MVP, los objetivos, la arquitectura tecnológica Odoo Community + PostgreSQL + PWA, la metodología Scrum, los roles del equipo y la planificación de 18 semanas. También se definieron las funcionalidades principales: vehículos y estados, mantenciones preventivas y reactivas, materiales e insumos, mano de obra, costos, avisos y reportes básicos. A la fecha, el trabajo se encuentra en transición desde la planificación inicial hacia Sprint 0, preparando la configuración técnica y el detalle del Product Backlog. El equipo está compuesto por Rodrigo Saavedra (Product Owner / QA Funcional), Benjamin Morales (Scrum Master) y Eddie Cerpa (Developer Odoo).</w:t>
            </w:r>
          </w:p>
        </w:tc>
      </w:tr>
      <w:tr w:rsidR="0003309E" w14:paraId="054DAFFB" w14:textId="77777777" w:rsidTr="000A1331">
        <w:trPr>
          <w:trHeight w:hRule="auto"/>
        </w:trPr>
        <w:tc>
          <w:tcPr>
            <w:tcW w:w="2528" w:type="dxa"/>
            <w:vAlign w:val="top"/>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top"/>
          </w:tcPr>
          <w:p>
            <w:pPr>
              <w:spacing w:before="0" w:after="0" w:line="240" w:lineRule="auto"/>
            </w:pPr>
            <w:r/>
            <w:r>
              <w:rPr>
                <w:rFonts w:ascii="Calibri" w:hAnsi="Calibri"/>
                <w:b w:val="0"/>
                <w:i w:val="0"/>
                <w:color w:val="1F1F1F"/>
                <w:sz w:val="19"/>
              </w:rPr>
              <w:t>No se han realizado ajustes al objetivo general ni a los objetivos específicos definidos en la Fase 1. Se mantiene el desarrollo e implantación de una solución web responsive/PWA para centralizar y consultar el estado y las mantenciones de los vehículos de emergencia.</w:t>
            </w:r>
          </w:p>
        </w:tc>
      </w:tr>
      <w:tr w:rsidR="0003309E" w14:paraId="2FEF1C0D" w14:textId="77777777" w:rsidTr="000A1331">
        <w:trPr>
          <w:trHeight w:hRule="auto"/>
        </w:trPr>
        <w:tc>
          <w:tcPr>
            <w:tcW w:w="2528" w:type="dxa"/>
            <w:vAlign w:val="top"/>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top"/>
          </w:tcPr>
          <w:p>
            <w:pPr>
              <w:spacing w:before="0" w:after="0" w:line="240" w:lineRule="auto"/>
            </w:pPr>
            <w:r/>
            <w:r>
              <w:rPr>
                <w:rFonts w:ascii="Calibri" w:hAnsi="Calibri"/>
                <w:b w:val="0"/>
                <w:i w:val="0"/>
                <w:color w:val="1F1F1F"/>
                <w:sz w:val="19"/>
              </w:rPr>
              <w:t>No se han realizado cambios a la metodología. Se mantiene Scrum con análisis inicial, Product Backlog, Sprint 0, tres sprints de desarrollo, validación/QA, implantación, retrospectiva y cierre. La solución móvil se resolverá mediante PWA, modalidad ya autorizada por el docente.</w:t>
            </w:r>
          </w:p>
        </w:tc>
      </w:tr>
      <w:tr w:rsidR="0003309E" w14:paraId="74E704B1" w14:textId="77777777" w:rsidTr="000A1331">
        <w:trPr>
          <w:trHeight w:hRule="auto"/>
        </w:trPr>
        <w:tc>
          <w:tcPr>
            <w:tcW w:w="2528" w:type="dxa"/>
            <w:vAlign w:val="top"/>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top"/>
          </w:tcPr>
          <w:p>
            <w:pPr>
              <w:spacing w:before="0" w:after="20" w:line="240" w:lineRule="auto"/>
            </w:pPr>
            <w:r/>
            <w:r>
              <w:rPr>
                <w:rFonts w:ascii="Calibri" w:hAnsi="Calibri"/>
                <w:b/>
                <w:color w:val="1F1F1F"/>
                <w:sz w:val="18"/>
              </w:rPr>
              <w:t>Evidencias disponibles y de avance:</w:t>
            </w:r>
          </w:p>
          <w:p>
            <w:pPr>
              <w:spacing w:before="0" w:after="20" w:line="240" w:lineRule="auto"/>
            </w:pPr>
            <w:r>
              <w:rPr>
                <w:rFonts w:ascii="Calibri" w:hAnsi="Calibri"/>
                <w:b w:val="0"/>
                <w:color w:val="1F1F1F"/>
                <w:sz w:val="18"/>
              </w:rPr>
              <w:t>• Guía 1.5 de Definición del Proyecto APT completada y alineada con la planificación de 18 semanas.</w:t>
            </w:r>
          </w:p>
          <w:p>
            <w:pPr>
              <w:spacing w:before="0" w:after="20" w:line="240" w:lineRule="auto"/>
            </w:pPr>
            <w:r>
              <w:rPr>
                <w:rFonts w:ascii="Calibri" w:hAnsi="Calibri"/>
                <w:b w:val="0"/>
                <w:color w:val="1F1F1F"/>
                <w:sz w:val="18"/>
              </w:rPr>
              <w:t>• Definición de alcance, objetivos, arquitectura Odoo Community + PostgreSQL + PWA y responsabilidades Scrum.</w:t>
            </w:r>
          </w:p>
          <w:p>
            <w:pPr>
              <w:spacing w:before="0" w:after="20" w:line="240" w:lineRule="auto"/>
            </w:pPr>
            <w:r>
              <w:rPr>
                <w:rFonts w:ascii="Calibri" w:hAnsi="Calibri"/>
                <w:b w:val="0"/>
                <w:color w:val="1F1F1F"/>
                <w:sz w:val="18"/>
              </w:rPr>
              <w:t>• Carta Gantt, plan de trabajo y presentación coherentes con Sprint 0, Sprints 1–3, QA e implantación.</w:t>
            </w:r>
          </w:p>
          <w:p>
            <w:pPr>
              <w:spacing w:before="0" w:after="20" w:line="240" w:lineRule="auto"/>
            </w:pPr>
            <w:r>
              <w:rPr>
                <w:rFonts w:ascii="Calibri" w:hAnsi="Calibri"/>
                <w:b w:val="0"/>
                <w:color w:val="1F1F1F"/>
                <w:sz w:val="18"/>
              </w:rPr>
              <w:t>• Preparación del Product Backlog, criterios de aceptación, Definition of Done y repositorio Git/GitHub para Sprint 0.</w:t>
            </w:r>
          </w:p>
          <w:p>
            <w:pPr>
              <w:spacing w:before="0" w:after="20" w:line="240" w:lineRule="auto"/>
            </w:pPr>
            <w:r>
              <w:rPr>
                <w:rFonts w:ascii="Calibri" w:hAnsi="Calibri"/>
                <w:b w:val="0"/>
                <w:color w:val="1F1F1F"/>
                <w:sz w:val="18"/>
              </w:rPr>
              <w:t>Estas evidencias aseguran trazabilidad entre requerimientos, planificación, responsabilidades y futuras entregas, con control de alcance y QA formal.</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top"/>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top"/>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top"/>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top"/>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top"/>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top"/>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top"/>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top"/>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top"/>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hRule="auto"/>
        </w:trPr>
        <w:tc>
          <w:tcPr>
            <w:tcW w:w="1328" w:type="dxa"/>
            <w:vAlign w:val="top"/>
          </w:tcPr>
          <w:p>
            <w:pPr>
              <w:spacing w:before="0" w:after="0" w:line="240" w:lineRule="auto"/>
            </w:pPr>
            <w:r/>
            <w:r>
              <w:rPr>
                <w:rFonts w:ascii="Calibri" w:hAnsi="Calibri"/>
                <w:b w:val="0"/>
                <w:i w:val="0"/>
                <w:color w:val="1F1F1F"/>
                <w:sz w:val="14"/>
              </w:rPr>
              <w:t>Gestionar proyectos informáticos</w:t>
            </w:r>
          </w:p>
        </w:tc>
        <w:tc>
          <w:tcPr>
            <w:tcW w:w="1077" w:type="dxa"/>
            <w:vAlign w:val="top"/>
          </w:tcPr>
          <w:p>
            <w:pPr>
              <w:spacing w:before="0" w:after="0" w:line="240" w:lineRule="auto"/>
            </w:pPr>
            <w:r/>
            <w:r>
              <w:rPr>
                <w:rFonts w:ascii="Calibri" w:hAnsi="Calibri"/>
                <w:b w:val="0"/>
                <w:i w:val="0"/>
                <w:color w:val="1F1F1F"/>
                <w:sz w:val="14"/>
              </w:rPr>
              <w:t>Análisis inicial y definición de alcance</w:t>
            </w:r>
          </w:p>
        </w:tc>
        <w:tc>
          <w:tcPr>
            <w:tcW w:w="1276" w:type="dxa"/>
            <w:vAlign w:val="top"/>
          </w:tcPr>
          <w:p>
            <w:pPr>
              <w:spacing w:before="0" w:after="0" w:line="240" w:lineRule="auto"/>
            </w:pPr>
            <w:r/>
            <w:r>
              <w:rPr>
                <w:rFonts w:ascii="Calibri" w:hAnsi="Calibri"/>
                <w:b w:val="0"/>
                <w:i w:val="0"/>
                <w:color w:val="1F1F1F"/>
                <w:sz w:val="14"/>
              </w:rPr>
              <w:t>Documentación, reuniones y herramientas ágiles</w:t>
            </w:r>
          </w:p>
        </w:tc>
        <w:tc>
          <w:tcPr>
            <w:tcW w:w="1276" w:type="dxa"/>
            <w:vAlign w:val="top"/>
          </w:tcPr>
          <w:p>
            <w:pPr>
              <w:spacing w:before="0" w:after="0" w:line="240" w:lineRule="auto"/>
            </w:pPr>
            <w:r/>
            <w:r>
              <w:rPr>
                <w:rFonts w:ascii="Calibri" w:hAnsi="Calibri"/>
                <w:b w:val="0"/>
                <w:i w:val="0"/>
                <w:color w:val="1F1F1F"/>
                <w:sz w:val="15"/>
              </w:rPr>
              <w:t>Semana 1</w:t>
            </w:r>
          </w:p>
        </w:tc>
        <w:tc>
          <w:tcPr>
            <w:tcW w:w="1275" w:type="dxa"/>
            <w:vAlign w:val="top"/>
          </w:tcPr>
          <w:p>
            <w:pPr>
              <w:spacing w:before="0" w:after="0" w:line="240" w:lineRule="auto"/>
            </w:pPr>
            <w:r/>
            <w:r>
              <w:rPr>
                <w:rFonts w:ascii="Calibri" w:hAnsi="Calibri"/>
                <w:b w:val="0"/>
                <w:i w:val="0"/>
                <w:color w:val="1F1F1F"/>
                <w:sz w:val="14"/>
              </w:rPr>
              <w:t>Equipo completo; lideran Rodrigo y Benjamin</w:t>
            </w:r>
          </w:p>
        </w:tc>
        <w:tc>
          <w:tcPr>
            <w:tcW w:w="1276" w:type="dxa"/>
            <w:vAlign w:val="top"/>
          </w:tcPr>
          <w:p>
            <w:pPr>
              <w:spacing w:before="0" w:after="0" w:line="240" w:lineRule="auto"/>
            </w:pPr>
            <w:r/>
            <w:r>
              <w:rPr>
                <w:rFonts w:ascii="Calibri" w:hAnsi="Calibri"/>
                <w:b w:val="0"/>
                <w:i w:val="0"/>
                <w:color w:val="1F1F1F"/>
                <w:sz w:val="14"/>
              </w:rPr>
              <w:t>Problemática, objetivo, alcance, roles y tecnología definidos.</w:t>
            </w:r>
          </w:p>
        </w:tc>
        <w:tc>
          <w:tcPr>
            <w:tcW w:w="1418" w:type="dxa"/>
            <w:vAlign w:val="top"/>
          </w:tcPr>
          <w:p>
            <w:pPr>
              <w:spacing w:before="0" w:after="0" w:line="240" w:lineRule="auto"/>
            </w:pPr>
            <w:r/>
            <w:r>
              <w:rPr>
                <w:rFonts w:ascii="Calibri" w:hAnsi="Calibri"/>
                <w:b w:val="0"/>
                <w:i w:val="0"/>
                <w:color w:val="1F1F1F"/>
                <w:sz w:val="15"/>
              </w:rPr>
              <w:t>Completado</w:t>
            </w:r>
          </w:p>
        </w:tc>
        <w:tc>
          <w:tcPr>
            <w:tcW w:w="850" w:type="dxa"/>
            <w:vAlign w:val="top"/>
          </w:tcPr>
          <w:p>
            <w:pPr>
              <w:spacing w:before="0" w:after="0" w:line="240" w:lineRule="auto"/>
            </w:pPr>
            <w:r/>
            <w:r>
              <w:rPr>
                <w:rFonts w:ascii="Calibri" w:hAnsi="Calibri"/>
                <w:b w:val="0"/>
                <w:i w:val="0"/>
                <w:color w:val="1F1F1F"/>
                <w:sz w:val="14"/>
              </w:rPr>
              <w:t>Sin ajuste de alcance.</w:t>
            </w:r>
          </w:p>
        </w:tc>
      </w:tr>
      <w:tr w:rsidR="00FD5149" w:rsidRPr="006E3B0D" w14:paraId="0D4FAAA2" w14:textId="77777777" w:rsidTr="00EA0C09">
        <w:trPr>
          <w:trHeight w:val="2410" w:hRule="auto"/>
        </w:trPr>
        <w:tc>
          <w:tcPr>
            <w:tcW w:w="1328" w:type="dxa"/>
            <w:vAlign w:val="top"/>
          </w:tcPr>
          <w:p>
            <w:pPr>
              <w:spacing w:before="0" w:after="0" w:line="240" w:lineRule="auto"/>
            </w:pPr>
            <w:r/>
            <w:r>
              <w:rPr>
                <w:rFonts w:ascii="Calibri" w:hAnsi="Calibri"/>
                <w:b w:val="0"/>
                <w:i w:val="0"/>
                <w:color w:val="1F1F1F"/>
                <w:sz w:val="14"/>
              </w:rPr>
              <w:t>Gestionar proyectos informáticos</w:t>
            </w:r>
          </w:p>
        </w:tc>
        <w:tc>
          <w:tcPr>
            <w:tcW w:w="1077" w:type="dxa"/>
            <w:vAlign w:val="top"/>
          </w:tcPr>
          <w:p>
            <w:pPr>
              <w:spacing w:before="0" w:after="0" w:line="240" w:lineRule="auto"/>
            </w:pPr>
            <w:r/>
            <w:r>
              <w:rPr>
                <w:rFonts w:ascii="Calibri" w:hAnsi="Calibri"/>
                <w:b w:val="0"/>
                <w:i w:val="0"/>
                <w:color w:val="1F1F1F"/>
                <w:sz w:val="14"/>
              </w:rPr>
              <w:t>Historias, criterios y Product Backlog</w:t>
            </w:r>
          </w:p>
        </w:tc>
        <w:tc>
          <w:tcPr>
            <w:tcW w:w="1276" w:type="dxa"/>
            <w:vAlign w:val="top"/>
          </w:tcPr>
          <w:p>
            <w:pPr>
              <w:spacing w:before="0" w:after="0" w:line="240" w:lineRule="auto"/>
            </w:pPr>
            <w:r/>
            <w:r>
              <w:rPr>
                <w:rFonts w:ascii="Calibri" w:hAnsi="Calibri"/>
                <w:b w:val="0"/>
                <w:i w:val="0"/>
                <w:color w:val="1F1F1F"/>
                <w:sz w:val="14"/>
              </w:rPr>
              <w:t>Documentación ágil, backlog y reuniones</w:t>
            </w:r>
          </w:p>
        </w:tc>
        <w:tc>
          <w:tcPr>
            <w:tcW w:w="1276" w:type="dxa"/>
            <w:vAlign w:val="top"/>
          </w:tcPr>
          <w:p>
            <w:pPr>
              <w:spacing w:before="0" w:after="0" w:line="240" w:lineRule="auto"/>
            </w:pPr>
            <w:r/>
            <w:r>
              <w:rPr>
                <w:rFonts w:ascii="Calibri" w:hAnsi="Calibri"/>
                <w:b w:val="0"/>
                <w:i w:val="0"/>
                <w:color w:val="1F1F1F"/>
                <w:sz w:val="15"/>
              </w:rPr>
              <w:t>Semanas 2–3</w:t>
            </w:r>
          </w:p>
        </w:tc>
        <w:tc>
          <w:tcPr>
            <w:tcW w:w="1275" w:type="dxa"/>
            <w:vAlign w:val="top"/>
          </w:tcPr>
          <w:p>
            <w:pPr>
              <w:spacing w:before="0" w:after="0" w:line="240" w:lineRule="auto"/>
            </w:pPr>
            <w:r/>
            <w:r>
              <w:rPr>
                <w:rFonts w:ascii="Calibri" w:hAnsi="Calibri"/>
                <w:b w:val="0"/>
                <w:i w:val="0"/>
                <w:color w:val="1F1F1F"/>
                <w:sz w:val="14"/>
              </w:rPr>
              <w:t>Equipo completo; lideran Rodrigo y Benjamin</w:t>
            </w:r>
          </w:p>
        </w:tc>
        <w:tc>
          <w:tcPr>
            <w:tcW w:w="1276" w:type="dxa"/>
            <w:vAlign w:val="top"/>
          </w:tcPr>
          <w:p>
            <w:pPr>
              <w:spacing w:before="0" w:after="0" w:line="240" w:lineRule="auto"/>
            </w:pPr>
            <w:r/>
            <w:r>
              <w:rPr>
                <w:rFonts w:ascii="Calibri" w:hAnsi="Calibri"/>
                <w:b w:val="0"/>
                <w:i w:val="0"/>
                <w:color w:val="1F1F1F"/>
                <w:sz w:val="14"/>
              </w:rPr>
              <w:t>Estructura y priorización definidas; falta consolidar el detalle operativo del backlog.</w:t>
            </w:r>
          </w:p>
        </w:tc>
        <w:tc>
          <w:tcPr>
            <w:tcW w:w="1418" w:type="dxa"/>
            <w:vAlign w:val="top"/>
          </w:tcPr>
          <w:p>
            <w:pPr>
              <w:spacing w:before="0" w:after="0" w:line="240" w:lineRule="auto"/>
            </w:pPr>
            <w:r/>
            <w:r>
              <w:rPr>
                <w:rFonts w:ascii="Calibri" w:hAnsi="Calibri"/>
                <w:b w:val="0"/>
                <w:i w:val="0"/>
                <w:color w:val="1F1F1F"/>
                <w:sz w:val="15"/>
              </w:rPr>
              <w:t>En curso</w:t>
            </w:r>
          </w:p>
        </w:tc>
        <w:tc>
          <w:tcPr>
            <w:tcW w:w="850" w:type="dxa"/>
            <w:vAlign w:val="top"/>
          </w:tcPr>
          <w:p>
            <w:pPr>
              <w:spacing w:before="0" w:after="0" w:line="240" w:lineRule="auto"/>
            </w:pPr>
            <w:r/>
            <w:r>
              <w:rPr>
                <w:rFonts w:ascii="Calibri" w:hAnsi="Calibri"/>
                <w:b w:val="0"/>
                <w:i w:val="0"/>
                <w:color w:val="1F1F1F"/>
                <w:sz w:val="14"/>
              </w:rPr>
              <w:t>Mantener foco en MVP y criterios de aceptación.</w:t>
            </w:r>
          </w:p>
        </w:tc>
      </w:tr>
      <w:tr w:rsidR="00FD5149" w:rsidRPr="006E3B0D" w14:paraId="0D4FAAA2" w14:textId="77777777" w:rsidTr="00EA0C09">
        <w:trPr>
          <w:trHeight w:val="2410" w:hRule="auto"/>
        </w:trPr>
        <w:tc>
          <w:tcPr>
            <w:tcW w:w="1328" w:type="dxa"/>
            <w:vAlign w:val="top"/>
          </w:tcPr>
          <w:p>
            <w:pPr>
              <w:spacing w:before="0" w:after="0" w:line="240" w:lineRule="auto"/>
            </w:pPr>
            <w:r/>
            <w:r>
              <w:rPr>
                <w:rFonts w:ascii="Calibri" w:hAnsi="Calibri"/>
                <w:b w:val="0"/>
                <w:i w:val="0"/>
                <w:color w:val="1F1F1F"/>
                <w:sz w:val="14"/>
              </w:rPr>
              <w:t>Modelos de datos / Desarrollo de software</w:t>
            </w:r>
          </w:p>
        </w:tc>
        <w:tc>
          <w:tcPr>
            <w:tcW w:w="1077" w:type="dxa"/>
            <w:vAlign w:val="top"/>
          </w:tcPr>
          <w:p>
            <w:pPr>
              <w:spacing w:before="0" w:after="0" w:line="240" w:lineRule="auto"/>
            </w:pPr>
            <w:r/>
            <w:r>
              <w:rPr>
                <w:rFonts w:ascii="Calibri" w:hAnsi="Calibri"/>
                <w:b w:val="0"/>
                <w:i w:val="0"/>
                <w:color w:val="1F1F1F"/>
                <w:sz w:val="14"/>
              </w:rPr>
              <w:t>Sprint 0 – Configuración</w:t>
            </w:r>
          </w:p>
        </w:tc>
        <w:tc>
          <w:tcPr>
            <w:tcW w:w="1276" w:type="dxa"/>
            <w:vAlign w:val="top"/>
          </w:tcPr>
          <w:p>
            <w:pPr>
              <w:spacing w:before="0" w:after="0" w:line="240" w:lineRule="auto"/>
            </w:pPr>
            <w:r/>
            <w:r>
              <w:rPr>
                <w:rFonts w:ascii="Calibri" w:hAnsi="Calibri"/>
                <w:b w:val="0"/>
                <w:i w:val="0"/>
                <w:color w:val="1F1F1F"/>
                <w:sz w:val="14"/>
              </w:rPr>
              <w:t>Odoo Community, PostgreSQL, Python, Git/GitHub y PWA</w:t>
            </w:r>
          </w:p>
        </w:tc>
        <w:tc>
          <w:tcPr>
            <w:tcW w:w="1276" w:type="dxa"/>
            <w:vAlign w:val="top"/>
          </w:tcPr>
          <w:p>
            <w:pPr>
              <w:spacing w:before="0" w:after="0" w:line="240" w:lineRule="auto"/>
            </w:pPr>
            <w:r/>
            <w:r>
              <w:rPr>
                <w:rFonts w:ascii="Calibri" w:hAnsi="Calibri"/>
                <w:b w:val="0"/>
                <w:i w:val="0"/>
                <w:color w:val="1F1F1F"/>
                <w:sz w:val="15"/>
              </w:rPr>
              <w:t>Semana 4</w:t>
            </w:r>
          </w:p>
        </w:tc>
        <w:tc>
          <w:tcPr>
            <w:tcW w:w="1275" w:type="dxa"/>
            <w:vAlign w:val="top"/>
          </w:tcPr>
          <w:p>
            <w:pPr>
              <w:spacing w:before="0" w:after="0" w:line="240" w:lineRule="auto"/>
            </w:pPr>
            <w:r/>
            <w:r>
              <w:rPr>
                <w:rFonts w:ascii="Calibri" w:hAnsi="Calibri"/>
                <w:b w:val="0"/>
                <w:i w:val="0"/>
                <w:color w:val="1F1F1F"/>
                <w:sz w:val="14"/>
              </w:rPr>
              <w:t>Equipo completo; lidera Eddie</w:t>
            </w:r>
          </w:p>
        </w:tc>
        <w:tc>
          <w:tcPr>
            <w:tcW w:w="1276" w:type="dxa"/>
            <w:vAlign w:val="top"/>
          </w:tcPr>
          <w:p>
            <w:pPr>
              <w:spacing w:before="0" w:after="0" w:line="240" w:lineRule="auto"/>
            </w:pPr>
            <w:r/>
            <w:r>
              <w:rPr>
                <w:rFonts w:ascii="Calibri" w:hAnsi="Calibri"/>
                <w:b w:val="0"/>
                <w:i w:val="0"/>
                <w:color w:val="1F1F1F"/>
                <w:sz w:val="14"/>
              </w:rPr>
              <w:t>Arquitectura y stack definidos; preparación del entorno y repositorio.</w:t>
            </w:r>
          </w:p>
        </w:tc>
        <w:tc>
          <w:tcPr>
            <w:tcW w:w="1418" w:type="dxa"/>
            <w:vAlign w:val="top"/>
          </w:tcPr>
          <w:p>
            <w:pPr>
              <w:spacing w:before="0" w:after="0" w:line="240" w:lineRule="auto"/>
            </w:pPr>
            <w:r/>
            <w:r>
              <w:rPr>
                <w:rFonts w:ascii="Calibri" w:hAnsi="Calibri"/>
                <w:b w:val="0"/>
                <w:i w:val="0"/>
                <w:color w:val="1F1F1F"/>
                <w:sz w:val="15"/>
              </w:rPr>
              <w:t>En curso</w:t>
            </w:r>
          </w:p>
        </w:tc>
        <w:tc>
          <w:tcPr>
            <w:tcW w:w="850" w:type="dxa"/>
            <w:vAlign w:val="top"/>
          </w:tcPr>
          <w:p>
            <w:pPr>
              <w:spacing w:before="0" w:after="0" w:line="240" w:lineRule="auto"/>
            </w:pPr>
            <w:r/>
            <w:r>
              <w:rPr>
                <w:rFonts w:ascii="Calibri" w:hAnsi="Calibri"/>
                <w:b w:val="0"/>
                <w:i w:val="0"/>
                <w:color w:val="1F1F1F"/>
                <w:sz w:val="14"/>
              </w:rPr>
              <w:t>PWA se mantiene como solución móvil autorizada.</w:t>
            </w:r>
          </w:p>
        </w:tc>
      </w:tr>
      <w:tr w:rsidR="00FD5149" w:rsidRPr="006E3B0D" w14:paraId="0D4FAAA2" w14:textId="77777777" w:rsidTr="00EA0C09">
        <w:trPr>
          <w:trHeight w:val="2410" w:hRule="auto"/>
        </w:trPr>
        <w:tc>
          <w:tcPr>
            <w:tcW w:w="1328" w:type="dxa"/>
            <w:vAlign w:val="top"/>
          </w:tcPr>
          <w:p>
            <w:pPr>
              <w:spacing w:before="0" w:after="0" w:line="240" w:lineRule="auto"/>
            </w:pPr>
            <w:r/>
            <w:r>
              <w:rPr>
                <w:rFonts w:ascii="Calibri" w:hAnsi="Calibri"/>
                <w:b w:val="0"/>
                <w:i w:val="0"/>
                <w:color w:val="1F1F1F"/>
                <w:sz w:val="14"/>
              </w:rPr>
              <w:t>Desarrollar solución de software</w:t>
            </w:r>
          </w:p>
        </w:tc>
        <w:tc>
          <w:tcPr>
            <w:tcW w:w="1077" w:type="dxa"/>
            <w:vAlign w:val="top"/>
          </w:tcPr>
          <w:p>
            <w:pPr>
              <w:spacing w:before="0" w:after="0" w:line="240" w:lineRule="auto"/>
            </w:pPr>
            <w:r/>
            <w:r>
              <w:rPr>
                <w:rFonts w:ascii="Calibri" w:hAnsi="Calibri"/>
                <w:b w:val="0"/>
                <w:i w:val="0"/>
                <w:color w:val="1F1F1F"/>
                <w:sz w:val="14"/>
              </w:rPr>
              <w:t>Sprint 1 – Vehículos y estados</w:t>
            </w:r>
          </w:p>
        </w:tc>
        <w:tc>
          <w:tcPr>
            <w:tcW w:w="1276" w:type="dxa"/>
            <w:vAlign w:val="top"/>
          </w:tcPr>
          <w:p>
            <w:pPr>
              <w:spacing w:before="0" w:after="0" w:line="240" w:lineRule="auto"/>
            </w:pPr>
            <w:r/>
            <w:r>
              <w:rPr>
                <w:rFonts w:ascii="Calibri" w:hAnsi="Calibri"/>
                <w:b w:val="0"/>
                <w:i w:val="0"/>
                <w:color w:val="1F1F1F"/>
                <w:sz w:val="14"/>
              </w:rPr>
              <w:t>Odoo, ORM, vistas, PostgreSQL y ambiente QA</w:t>
            </w:r>
          </w:p>
        </w:tc>
        <w:tc>
          <w:tcPr>
            <w:tcW w:w="1276" w:type="dxa"/>
            <w:vAlign w:val="top"/>
          </w:tcPr>
          <w:p>
            <w:pPr>
              <w:spacing w:before="0" w:after="0" w:line="240" w:lineRule="auto"/>
            </w:pPr>
            <w:r/>
            <w:r>
              <w:rPr>
                <w:rFonts w:ascii="Calibri" w:hAnsi="Calibri"/>
                <w:b w:val="0"/>
                <w:i w:val="0"/>
                <w:color w:val="1F1F1F"/>
                <w:sz w:val="15"/>
              </w:rPr>
              <w:t>Semanas 5–7</w:t>
            </w:r>
          </w:p>
        </w:tc>
        <w:tc>
          <w:tcPr>
            <w:tcW w:w="1275" w:type="dxa"/>
            <w:vAlign w:val="top"/>
          </w:tcPr>
          <w:p>
            <w:pPr>
              <w:spacing w:before="0" w:after="0" w:line="240" w:lineRule="auto"/>
            </w:pPr>
            <w:r/>
            <w:r>
              <w:rPr>
                <w:rFonts w:ascii="Calibri" w:hAnsi="Calibri"/>
                <w:b w:val="0"/>
                <w:i w:val="0"/>
                <w:color w:val="1F1F1F"/>
                <w:sz w:val="14"/>
              </w:rPr>
              <w:t>Equipo completo; lidera Eddie</w:t>
            </w:r>
          </w:p>
        </w:tc>
        <w:tc>
          <w:tcPr>
            <w:tcW w:w="1276" w:type="dxa"/>
            <w:vAlign w:val="top"/>
          </w:tcPr>
          <w:p>
            <w:pPr>
              <w:spacing w:before="0" w:after="0" w:line="240" w:lineRule="auto"/>
            </w:pPr>
            <w:r/>
            <w:r>
              <w:rPr>
                <w:rFonts w:ascii="Calibri" w:hAnsi="Calibri"/>
                <w:b w:val="0"/>
                <w:i w:val="0"/>
                <w:color w:val="1F1F1F"/>
                <w:sz w:val="14"/>
              </w:rPr>
              <w:t>Depende del cierre de Sprint 0 y del backlog priorizado.</w:t>
            </w:r>
          </w:p>
        </w:tc>
        <w:tc>
          <w:tcPr>
            <w:tcW w:w="1418" w:type="dxa"/>
            <w:vAlign w:val="top"/>
          </w:tcPr>
          <w:p>
            <w:pPr>
              <w:spacing w:before="0" w:after="0" w:line="240" w:lineRule="auto"/>
            </w:pPr>
            <w:r/>
            <w:r>
              <w:rPr>
                <w:rFonts w:ascii="Calibri" w:hAnsi="Calibri"/>
                <w:b w:val="0"/>
                <w:i w:val="0"/>
                <w:color w:val="1F1F1F"/>
                <w:sz w:val="15"/>
              </w:rPr>
              <w:t>No iniciado</w:t>
            </w:r>
          </w:p>
        </w:tc>
        <w:tc>
          <w:tcPr>
            <w:tcW w:w="850" w:type="dxa"/>
            <w:vAlign w:val="top"/>
          </w:tcPr>
          <w:p>
            <w:pPr>
              <w:spacing w:before="0" w:after="0" w:line="240" w:lineRule="auto"/>
            </w:pPr>
            <w:r/>
            <w:r>
              <w:rPr>
                <w:rFonts w:ascii="Calibri" w:hAnsi="Calibri"/>
                <w:b w:val="0"/>
                <w:i w:val="0"/>
                <w:color w:val="1F1F1F"/>
                <w:sz w:val="14"/>
              </w:rPr>
              <w:t>Sin ajuste.</w:t>
            </w:r>
          </w:p>
        </w:tc>
      </w:tr>
      <w:tr w:rsidR="00FD5149" w:rsidRPr="006E3B0D" w14:paraId="0D4FAAA2" w14:textId="77777777" w:rsidTr="00EA0C09">
        <w:trPr>
          <w:trHeight w:val="2410" w:hRule="auto"/>
        </w:trPr>
        <w:tc>
          <w:tcPr>
            <w:tcW w:w="1328" w:type="dxa"/>
            <w:vAlign w:val="top"/>
          </w:tcPr>
          <w:p>
            <w:pPr>
              <w:spacing w:before="0" w:after="0" w:line="240" w:lineRule="auto"/>
            </w:pPr>
            <w:r/>
            <w:r>
              <w:rPr>
                <w:rFonts w:ascii="Calibri" w:hAnsi="Calibri"/>
                <w:b w:val="0"/>
                <w:i w:val="0"/>
                <w:color w:val="1F1F1F"/>
                <w:sz w:val="14"/>
              </w:rPr>
              <w:t>Desarrollar solución de software</w:t>
            </w:r>
          </w:p>
        </w:tc>
        <w:tc>
          <w:tcPr>
            <w:tcW w:w="1077" w:type="dxa"/>
            <w:vAlign w:val="top"/>
          </w:tcPr>
          <w:p>
            <w:pPr>
              <w:spacing w:before="0" w:after="0" w:line="240" w:lineRule="auto"/>
            </w:pPr>
            <w:r/>
            <w:r>
              <w:rPr>
                <w:rFonts w:ascii="Calibri" w:hAnsi="Calibri"/>
                <w:b w:val="0"/>
                <w:i w:val="0"/>
                <w:color w:val="1F1F1F"/>
                <w:sz w:val="14"/>
              </w:rPr>
              <w:t>Sprint 2 – Mantenciones y avisos</w:t>
            </w:r>
          </w:p>
        </w:tc>
        <w:tc>
          <w:tcPr>
            <w:tcW w:w="1276" w:type="dxa"/>
            <w:vAlign w:val="top"/>
          </w:tcPr>
          <w:p>
            <w:pPr>
              <w:spacing w:before="0" w:after="0" w:line="240" w:lineRule="auto"/>
            </w:pPr>
            <w:r/>
            <w:r>
              <w:rPr>
                <w:rFonts w:ascii="Calibri" w:hAnsi="Calibri"/>
                <w:b w:val="0"/>
                <w:i w:val="0"/>
                <w:color w:val="1F1F1F"/>
                <w:sz w:val="14"/>
              </w:rPr>
              <w:t>Odoo, PostgreSQL, Git/GitHub y QA</w:t>
            </w:r>
          </w:p>
        </w:tc>
        <w:tc>
          <w:tcPr>
            <w:tcW w:w="1276" w:type="dxa"/>
            <w:vAlign w:val="top"/>
          </w:tcPr>
          <w:p>
            <w:pPr>
              <w:spacing w:before="0" w:after="0" w:line="240" w:lineRule="auto"/>
            </w:pPr>
            <w:r/>
            <w:r>
              <w:rPr>
                <w:rFonts w:ascii="Calibri" w:hAnsi="Calibri"/>
                <w:b w:val="0"/>
                <w:i w:val="0"/>
                <w:color w:val="1F1F1F"/>
                <w:sz w:val="15"/>
              </w:rPr>
              <w:t>Semanas 8–10</w:t>
            </w:r>
          </w:p>
        </w:tc>
        <w:tc>
          <w:tcPr>
            <w:tcW w:w="1275" w:type="dxa"/>
            <w:vAlign w:val="top"/>
          </w:tcPr>
          <w:p>
            <w:pPr>
              <w:spacing w:before="0" w:after="0" w:line="240" w:lineRule="auto"/>
            </w:pPr>
            <w:r/>
            <w:r>
              <w:rPr>
                <w:rFonts w:ascii="Calibri" w:hAnsi="Calibri"/>
                <w:b w:val="0"/>
                <w:i w:val="0"/>
                <w:color w:val="1F1F1F"/>
                <w:sz w:val="14"/>
              </w:rPr>
              <w:t>Equipo completo; lidera Eddie</w:t>
            </w:r>
          </w:p>
        </w:tc>
        <w:tc>
          <w:tcPr>
            <w:tcW w:w="1276" w:type="dxa"/>
            <w:vAlign w:val="top"/>
          </w:tcPr>
          <w:p>
            <w:pPr>
              <w:spacing w:before="0" w:after="0" w:line="240" w:lineRule="auto"/>
            </w:pPr>
            <w:r/>
            <w:r>
              <w:rPr>
                <w:rFonts w:ascii="Calibri" w:hAnsi="Calibri"/>
                <w:b w:val="0"/>
                <w:i w:val="0"/>
                <w:color w:val="1F1F1F"/>
                <w:sz w:val="14"/>
              </w:rPr>
              <w:t>Se validará mediante Review y criterios de aceptación.</w:t>
            </w:r>
          </w:p>
        </w:tc>
        <w:tc>
          <w:tcPr>
            <w:tcW w:w="1418" w:type="dxa"/>
            <w:vAlign w:val="top"/>
          </w:tcPr>
          <w:p>
            <w:pPr>
              <w:spacing w:before="0" w:after="0" w:line="240" w:lineRule="auto"/>
            </w:pPr>
            <w:r/>
            <w:r>
              <w:rPr>
                <w:rFonts w:ascii="Calibri" w:hAnsi="Calibri"/>
                <w:b w:val="0"/>
                <w:i w:val="0"/>
                <w:color w:val="1F1F1F"/>
                <w:sz w:val="15"/>
              </w:rPr>
              <w:t>No iniciado</w:t>
            </w:r>
          </w:p>
        </w:tc>
        <w:tc>
          <w:tcPr>
            <w:tcW w:w="850" w:type="dxa"/>
            <w:vAlign w:val="top"/>
          </w:tcPr>
          <w:p>
            <w:pPr>
              <w:spacing w:before="0" w:after="0" w:line="240" w:lineRule="auto"/>
            </w:pPr>
            <w:r/>
            <w:r>
              <w:rPr>
                <w:rFonts w:ascii="Calibri" w:hAnsi="Calibri"/>
                <w:b w:val="0"/>
                <w:i w:val="0"/>
                <w:color w:val="1F1F1F"/>
                <w:sz w:val="14"/>
              </w:rPr>
              <w:t>Sin ajuste.</w:t>
            </w:r>
          </w:p>
        </w:tc>
      </w:tr>
      <w:tr w:rsidR="00FD5149" w:rsidRPr="006E3B0D" w14:paraId="0D4FAAA2" w14:textId="77777777" w:rsidTr="00EA0C09">
        <w:trPr>
          <w:trHeight w:val="2410" w:hRule="auto"/>
        </w:trPr>
        <w:tc>
          <w:tcPr>
            <w:tcW w:w="1328" w:type="dxa"/>
            <w:vAlign w:val="top"/>
          </w:tcPr>
          <w:p>
            <w:pPr>
              <w:spacing w:before="0" w:after="0" w:line="240" w:lineRule="auto"/>
            </w:pPr>
            <w:r/>
            <w:r>
              <w:rPr>
                <w:rFonts w:ascii="Calibri" w:hAnsi="Calibri"/>
                <w:b w:val="0"/>
                <w:i w:val="0"/>
                <w:color w:val="1F1F1F"/>
                <w:sz w:val="14"/>
              </w:rPr>
              <w:t>Desarrollar / integrar software y datos</w:t>
            </w:r>
          </w:p>
        </w:tc>
        <w:tc>
          <w:tcPr>
            <w:tcW w:w="1077" w:type="dxa"/>
            <w:vAlign w:val="top"/>
          </w:tcPr>
          <w:p>
            <w:pPr>
              <w:spacing w:before="0" w:after="0" w:line="240" w:lineRule="auto"/>
            </w:pPr>
            <w:r/>
            <w:r>
              <w:rPr>
                <w:rFonts w:ascii="Calibri" w:hAnsi="Calibri"/>
                <w:b w:val="0"/>
                <w:i w:val="0"/>
                <w:color w:val="1F1F1F"/>
                <w:sz w:val="14"/>
              </w:rPr>
              <w:t>Sprint 3 – Insumos, costos y reportes</w:t>
            </w:r>
          </w:p>
        </w:tc>
        <w:tc>
          <w:tcPr>
            <w:tcW w:w="1276" w:type="dxa"/>
            <w:vAlign w:val="top"/>
          </w:tcPr>
          <w:p>
            <w:pPr>
              <w:spacing w:before="0" w:after="0" w:line="240" w:lineRule="auto"/>
            </w:pPr>
            <w:r/>
            <w:r>
              <w:rPr>
                <w:rFonts w:ascii="Calibri" w:hAnsi="Calibri"/>
                <w:b w:val="0"/>
                <w:i w:val="0"/>
                <w:color w:val="1F1F1F"/>
                <w:sz w:val="14"/>
              </w:rPr>
              <w:t>Odoo, PostgreSQL y herramientas de reporte</w:t>
            </w:r>
          </w:p>
        </w:tc>
        <w:tc>
          <w:tcPr>
            <w:tcW w:w="1276" w:type="dxa"/>
            <w:vAlign w:val="top"/>
          </w:tcPr>
          <w:p>
            <w:pPr>
              <w:spacing w:before="0" w:after="0" w:line="240" w:lineRule="auto"/>
            </w:pPr>
            <w:r/>
            <w:r>
              <w:rPr>
                <w:rFonts w:ascii="Calibri" w:hAnsi="Calibri"/>
                <w:b w:val="0"/>
                <w:i w:val="0"/>
                <w:color w:val="1F1F1F"/>
                <w:sz w:val="15"/>
              </w:rPr>
              <w:t>Semanas 11–13</w:t>
            </w:r>
          </w:p>
        </w:tc>
        <w:tc>
          <w:tcPr>
            <w:tcW w:w="1275" w:type="dxa"/>
            <w:vAlign w:val="top"/>
          </w:tcPr>
          <w:p>
            <w:pPr>
              <w:spacing w:before="0" w:after="0" w:line="240" w:lineRule="auto"/>
            </w:pPr>
            <w:r/>
            <w:r>
              <w:rPr>
                <w:rFonts w:ascii="Calibri" w:hAnsi="Calibri"/>
                <w:b w:val="0"/>
                <w:i w:val="0"/>
                <w:color w:val="1F1F1F"/>
                <w:sz w:val="14"/>
              </w:rPr>
              <w:t>Equipo completo; lidera Eddie</w:t>
            </w:r>
          </w:p>
        </w:tc>
        <w:tc>
          <w:tcPr>
            <w:tcW w:w="1276" w:type="dxa"/>
            <w:vAlign w:val="top"/>
          </w:tcPr>
          <w:p>
            <w:pPr>
              <w:spacing w:before="0" w:after="0" w:line="240" w:lineRule="auto"/>
            </w:pPr>
            <w:r/>
            <w:r>
              <w:rPr>
                <w:rFonts w:ascii="Calibri" w:hAnsi="Calibri"/>
                <w:b w:val="0"/>
                <w:i w:val="0"/>
                <w:color w:val="1F1F1F"/>
                <w:sz w:val="14"/>
              </w:rPr>
              <w:t>Alcance restringido al MVP priorizado.</w:t>
            </w:r>
          </w:p>
        </w:tc>
        <w:tc>
          <w:tcPr>
            <w:tcW w:w="1418" w:type="dxa"/>
            <w:vAlign w:val="top"/>
          </w:tcPr>
          <w:p>
            <w:pPr>
              <w:spacing w:before="0" w:after="0" w:line="240" w:lineRule="auto"/>
            </w:pPr>
            <w:r/>
            <w:r>
              <w:rPr>
                <w:rFonts w:ascii="Calibri" w:hAnsi="Calibri"/>
                <w:b w:val="0"/>
                <w:i w:val="0"/>
                <w:color w:val="1F1F1F"/>
                <w:sz w:val="15"/>
              </w:rPr>
              <w:t>No iniciado</w:t>
            </w:r>
          </w:p>
        </w:tc>
        <w:tc>
          <w:tcPr>
            <w:tcW w:w="850" w:type="dxa"/>
            <w:vAlign w:val="top"/>
          </w:tcPr>
          <w:p>
            <w:pPr>
              <w:spacing w:before="0" w:after="0" w:line="240" w:lineRule="auto"/>
            </w:pPr>
            <w:r/>
            <w:r>
              <w:rPr>
                <w:rFonts w:ascii="Calibri" w:hAnsi="Calibri"/>
                <w:b w:val="0"/>
                <w:i w:val="0"/>
                <w:color w:val="1F1F1F"/>
                <w:sz w:val="14"/>
              </w:rPr>
              <w:t>Sin ajuste.</w:t>
            </w:r>
          </w:p>
        </w:tc>
      </w:tr>
      <w:tr w:rsidR="00FD5149" w:rsidRPr="006E3B0D" w14:paraId="0D4FAAA2" w14:textId="77777777" w:rsidTr="00EA0C09">
        <w:trPr>
          <w:trHeight w:val="2410" w:hRule="auto"/>
        </w:trPr>
        <w:tc>
          <w:tcPr>
            <w:tcW w:w="1328" w:type="dxa"/>
            <w:vAlign w:val="top"/>
          </w:tcPr>
          <w:p>
            <w:pPr>
              <w:spacing w:before="0" w:after="0" w:line="240" w:lineRule="auto"/>
            </w:pPr>
            <w:r/>
            <w:r>
              <w:rPr>
                <w:rFonts w:ascii="Calibri" w:hAnsi="Calibri"/>
                <w:b w:val="0"/>
                <w:i w:val="0"/>
                <w:color w:val="1F1F1F"/>
                <w:sz w:val="14"/>
              </w:rPr>
              <w:t>Realizar pruebas de certificación</w:t>
            </w:r>
          </w:p>
        </w:tc>
        <w:tc>
          <w:tcPr>
            <w:tcW w:w="1077" w:type="dxa"/>
            <w:vAlign w:val="top"/>
          </w:tcPr>
          <w:p>
            <w:pPr>
              <w:spacing w:before="0" w:after="0" w:line="240" w:lineRule="auto"/>
            </w:pPr>
            <w:r/>
            <w:r>
              <w:rPr>
                <w:rFonts w:ascii="Calibri" w:hAnsi="Calibri"/>
                <w:b w:val="0"/>
                <w:i w:val="0"/>
                <w:color w:val="1F1F1F"/>
                <w:sz w:val="14"/>
              </w:rPr>
              <w:t>QA, integración y mejoras</w:t>
            </w:r>
          </w:p>
        </w:tc>
        <w:tc>
          <w:tcPr>
            <w:tcW w:w="1276" w:type="dxa"/>
            <w:vAlign w:val="top"/>
          </w:tcPr>
          <w:p>
            <w:pPr>
              <w:spacing w:before="0" w:after="0" w:line="240" w:lineRule="auto"/>
            </w:pPr>
            <w:r/>
            <w:r>
              <w:rPr>
                <w:rFonts w:ascii="Calibri" w:hAnsi="Calibri"/>
                <w:b w:val="0"/>
                <w:i w:val="0"/>
                <w:color w:val="1F1F1F"/>
                <w:sz w:val="14"/>
              </w:rPr>
              <w:t>Matriz QA, PWA, ambiente de homologación y backlog</w:t>
            </w:r>
          </w:p>
        </w:tc>
        <w:tc>
          <w:tcPr>
            <w:tcW w:w="1276" w:type="dxa"/>
            <w:vAlign w:val="top"/>
          </w:tcPr>
          <w:p>
            <w:pPr>
              <w:spacing w:before="0" w:after="0" w:line="240" w:lineRule="auto"/>
            </w:pPr>
            <w:r/>
            <w:r>
              <w:rPr>
                <w:rFonts w:ascii="Calibri" w:hAnsi="Calibri"/>
                <w:b w:val="0"/>
                <w:i w:val="0"/>
                <w:color w:val="1F1F1F"/>
                <w:sz w:val="15"/>
              </w:rPr>
              <w:t>Semanas 14–16</w:t>
            </w:r>
          </w:p>
        </w:tc>
        <w:tc>
          <w:tcPr>
            <w:tcW w:w="1275" w:type="dxa"/>
            <w:vAlign w:val="top"/>
          </w:tcPr>
          <w:p>
            <w:pPr>
              <w:spacing w:before="0" w:after="0" w:line="240" w:lineRule="auto"/>
            </w:pPr>
            <w:r/>
            <w:r>
              <w:rPr>
                <w:rFonts w:ascii="Calibri" w:hAnsi="Calibri"/>
                <w:b w:val="0"/>
                <w:i w:val="0"/>
                <w:color w:val="1F1F1F"/>
                <w:sz w:val="14"/>
              </w:rPr>
              <w:t>Equipo completo; lidera Rodrigo</w:t>
            </w:r>
          </w:p>
        </w:tc>
        <w:tc>
          <w:tcPr>
            <w:tcW w:w="1276" w:type="dxa"/>
            <w:vAlign w:val="top"/>
          </w:tcPr>
          <w:p>
            <w:pPr>
              <w:spacing w:before="0" w:after="0" w:line="240" w:lineRule="auto"/>
            </w:pPr>
            <w:r/>
            <w:r>
              <w:rPr>
                <w:rFonts w:ascii="Calibri" w:hAnsi="Calibri"/>
                <w:b w:val="0"/>
                <w:i w:val="0"/>
                <w:color w:val="1F1F1F"/>
                <w:sz w:val="14"/>
              </w:rPr>
              <w:t>Prueba, registro de hallazgos, corrección y revalidación.</w:t>
            </w:r>
          </w:p>
        </w:tc>
        <w:tc>
          <w:tcPr>
            <w:tcW w:w="1418" w:type="dxa"/>
            <w:vAlign w:val="top"/>
          </w:tcPr>
          <w:p>
            <w:pPr>
              <w:spacing w:before="0" w:after="0" w:line="240" w:lineRule="auto"/>
            </w:pPr>
            <w:r/>
            <w:r>
              <w:rPr>
                <w:rFonts w:ascii="Calibri" w:hAnsi="Calibri"/>
                <w:b w:val="0"/>
                <w:i w:val="0"/>
                <w:color w:val="1F1F1F"/>
                <w:sz w:val="15"/>
              </w:rPr>
              <w:t>No iniciado</w:t>
            </w:r>
          </w:p>
        </w:tc>
        <w:tc>
          <w:tcPr>
            <w:tcW w:w="850" w:type="dxa"/>
            <w:vAlign w:val="top"/>
          </w:tcPr>
          <w:p>
            <w:pPr>
              <w:spacing w:before="0" w:after="0" w:line="240" w:lineRule="auto"/>
            </w:pPr>
            <w:r/>
            <w:r>
              <w:rPr>
                <w:rFonts w:ascii="Calibri" w:hAnsi="Calibri"/>
                <w:b w:val="0"/>
                <w:i w:val="0"/>
                <w:color w:val="1F1F1F"/>
                <w:sz w:val="14"/>
              </w:rPr>
              <w:t>Sin ajuste.</w:t>
            </w:r>
          </w:p>
        </w:tc>
      </w:tr>
      <w:tr w:rsidR="00FD5149" w:rsidRPr="006E3B0D" w14:paraId="0D4FAAA2" w14:textId="77777777" w:rsidTr="00EA0C09">
        <w:trPr>
          <w:trHeight w:val="2410" w:hRule="auto"/>
        </w:trPr>
        <w:tc>
          <w:tcPr>
            <w:tcW w:w="1328" w:type="dxa"/>
            <w:vAlign w:val="top"/>
          </w:tcPr>
          <w:p>
            <w:pPr>
              <w:spacing w:before="0" w:after="0" w:line="240" w:lineRule="auto"/>
            </w:pPr>
            <w:r/>
            <w:r>
              <w:rPr>
                <w:rFonts w:ascii="Calibri" w:hAnsi="Calibri"/>
                <w:b w:val="0"/>
                <w:i w:val="0"/>
                <w:color w:val="1F1F1F"/>
                <w:sz w:val="14"/>
              </w:rPr>
              <w:t>Implantar software / Gestionar proyecto</w:t>
            </w:r>
          </w:p>
        </w:tc>
        <w:tc>
          <w:tcPr>
            <w:tcW w:w="1077" w:type="dxa"/>
            <w:vAlign w:val="top"/>
          </w:tcPr>
          <w:p>
            <w:pPr>
              <w:spacing w:before="0" w:after="0" w:line="240" w:lineRule="auto"/>
            </w:pPr>
            <w:r/>
            <w:r>
              <w:rPr>
                <w:rFonts w:ascii="Calibri" w:hAnsi="Calibri"/>
                <w:b w:val="0"/>
                <w:i w:val="0"/>
                <w:color w:val="1F1F1F"/>
                <w:sz w:val="14"/>
              </w:rPr>
              <w:t>Implantación, cierre y defensa</w:t>
            </w:r>
          </w:p>
        </w:tc>
        <w:tc>
          <w:tcPr>
            <w:tcW w:w="1276" w:type="dxa"/>
            <w:vAlign w:val="top"/>
          </w:tcPr>
          <w:p>
            <w:pPr>
              <w:spacing w:before="0" w:after="0" w:line="240" w:lineRule="auto"/>
            </w:pPr>
            <w:r/>
            <w:r>
              <w:rPr>
                <w:rFonts w:ascii="Calibri" w:hAnsi="Calibri"/>
                <w:b w:val="0"/>
                <w:i w:val="0"/>
                <w:color w:val="1F1F1F"/>
                <w:sz w:val="14"/>
              </w:rPr>
              <w:t>Ambiente definido, Odoo/PostgreSQL/PWA, repositorio y plantillas Duoc UC</w:t>
            </w:r>
          </w:p>
        </w:tc>
        <w:tc>
          <w:tcPr>
            <w:tcW w:w="1276" w:type="dxa"/>
            <w:vAlign w:val="top"/>
          </w:tcPr>
          <w:p>
            <w:pPr>
              <w:spacing w:before="0" w:after="0" w:line="240" w:lineRule="auto"/>
            </w:pPr>
            <w:r/>
            <w:r>
              <w:rPr>
                <w:rFonts w:ascii="Calibri" w:hAnsi="Calibri"/>
                <w:b w:val="0"/>
                <w:i w:val="0"/>
                <w:color w:val="1F1F1F"/>
                <w:sz w:val="15"/>
              </w:rPr>
              <w:t>Semanas 17–18</w:t>
            </w:r>
          </w:p>
        </w:tc>
        <w:tc>
          <w:tcPr>
            <w:tcW w:w="1275" w:type="dxa"/>
            <w:vAlign w:val="top"/>
          </w:tcPr>
          <w:p>
            <w:pPr>
              <w:spacing w:before="0" w:after="0" w:line="240" w:lineRule="auto"/>
            </w:pPr>
            <w:r/>
            <w:r>
              <w:rPr>
                <w:rFonts w:ascii="Calibri" w:hAnsi="Calibri"/>
                <w:b w:val="0"/>
                <w:i w:val="0"/>
                <w:color w:val="1F1F1F"/>
                <w:sz w:val="14"/>
              </w:rPr>
              <w:t>Equipo completo; lidera Benjamin</w:t>
            </w:r>
          </w:p>
        </w:tc>
        <w:tc>
          <w:tcPr>
            <w:tcW w:w="1276" w:type="dxa"/>
            <w:vAlign w:val="top"/>
          </w:tcPr>
          <w:p>
            <w:pPr>
              <w:spacing w:before="0" w:after="0" w:line="240" w:lineRule="auto"/>
            </w:pPr>
            <w:r/>
            <w:r>
              <w:rPr>
                <w:rFonts w:ascii="Calibri" w:hAnsi="Calibri"/>
                <w:b w:val="0"/>
                <w:i w:val="0"/>
                <w:color w:val="1F1F1F"/>
                <w:sz w:val="14"/>
              </w:rPr>
              <w:t>Consolidación de evidencias, manual, retrospectiva, informe, video y defensa.</w:t>
            </w:r>
          </w:p>
        </w:tc>
        <w:tc>
          <w:tcPr>
            <w:tcW w:w="1418" w:type="dxa"/>
            <w:vAlign w:val="top"/>
          </w:tcPr>
          <w:p>
            <w:pPr>
              <w:spacing w:before="0" w:after="0" w:line="240" w:lineRule="auto"/>
            </w:pPr>
            <w:r/>
            <w:r>
              <w:rPr>
                <w:rFonts w:ascii="Calibri" w:hAnsi="Calibri"/>
                <w:b w:val="0"/>
                <w:i w:val="0"/>
                <w:color w:val="1F1F1F"/>
                <w:sz w:val="15"/>
              </w:rPr>
              <w:t>No iniciado</w:t>
            </w:r>
          </w:p>
        </w:tc>
        <w:tc>
          <w:tcPr>
            <w:tcW w:w="850" w:type="dxa"/>
            <w:vAlign w:val="top"/>
          </w:tcPr>
          <w:p>
            <w:pPr>
              <w:spacing w:before="0" w:after="0" w:line="240" w:lineRule="auto"/>
            </w:pPr>
            <w:r/>
            <w:r>
              <w:rPr>
                <w:rFonts w:ascii="Calibri" w:hAnsi="Calibri"/>
                <w:b w:val="0"/>
                <w:i w:val="0"/>
                <w:color w:val="1F1F1F"/>
                <w:sz w:val="14"/>
              </w:rPr>
              <w:t>Sin ajuste.</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keepNext/>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keepNext/>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Ind w:w="-572" w:type="dxa"/>
      </w:tblPr>
      <w:tblGrid>
        <w:gridCol w:w="9496"/>
      </w:tblGrid>
      <w:tr w:rsidR="0003309E" w14:paraId="5B12D08B" w14:textId="77777777" w:rsidTr="00C5122E">
        <w:trPr>
          <w:trHeight w:hRule="auto"/>
        </w:trPr>
        <w:tc>
          <w:tcPr>
            <w:tcW w:w="5000" w:type="pct"/>
            <w:vAlign w:val="top"/>
          </w:tcPr>
          <w:p>
            <w:pPr>
              <w:spacing w:before="0" w:after="40" w:line="240" w:lineRule="auto"/>
            </w:pPr>
            <w:r/>
            <w:r>
              <w:rPr>
                <w:rFonts w:ascii="Calibri" w:hAnsi="Calibri"/>
                <w:b/>
                <w:color w:val="1F1F1F"/>
                <w:sz w:val="18"/>
              </w:rPr>
              <w:t xml:space="preserve">Factores que han facilitado y/o dificultado el desarrollo de mi plan de trabajo: </w:t>
            </w:r>
          </w:p>
          <w:p>
            <w:pPr>
              <w:spacing w:before="0" w:after="40" w:line="240" w:lineRule="auto"/>
            </w:pPr>
            <w:r>
              <w:rPr>
                <w:rFonts w:ascii="Calibri" w:hAnsi="Calibri"/>
                <w:b w:val="0"/>
                <w:color w:val="1F1F1F"/>
                <w:sz w:val="18"/>
              </w:rPr>
              <w:t>Como facilitadores, el equipo cuenta con un alcance ya definido, una arquitectura tecnológica acordada (Odoo Community, PostgreSQL y PWA), roles Scrum claros y una Carta Gantt común. También ha sido útil mantener una revisión constante entre los documentos de planificación para que objetivos, metodología, responsabilidades y tiempos sean coherentes. La principal exigencia hasta ahora ha sido transformar la definición general del proyecto en un backlog operativo y preparar Sprint 0 sin ampliar innecesariamente el alcance. Para abordarlo, se mantendrá la priorización por valor, esfuerzo, riesgo y tiempo, junto con revisiones de sprint y criterios de aceptación.</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Ind w:w="-572" w:type="dxa"/>
      </w:tblPr>
      <w:tblGrid>
        <w:gridCol w:w="9493"/>
      </w:tblGrid>
      <w:tr w:rsidR="0003309E" w:rsidRPr="00711C16" w14:paraId="56B8FCE9" w14:textId="77777777" w:rsidTr="00C5122E">
        <w:trPr>
          <w:trHeight w:hRule="auto"/>
        </w:trPr>
        <w:tc>
          <w:tcPr>
            <w:tcW w:w="5000" w:type="pct"/>
            <w:vAlign w:val="top"/>
          </w:tcPr>
          <w:p>
            <w:pPr>
              <w:spacing w:before="0" w:after="40" w:line="240" w:lineRule="auto"/>
            </w:pPr>
            <w:r/>
            <w:r>
              <w:rPr>
                <w:rFonts w:ascii="Calibri" w:hAnsi="Calibri"/>
                <w:b/>
                <w:color w:val="1F1F1F"/>
                <w:sz w:val="18"/>
              </w:rPr>
              <w:t xml:space="preserve">Actividades ajustadas o eliminadas: </w:t>
            </w:r>
          </w:p>
          <w:p>
            <w:pPr>
              <w:spacing w:before="0" w:after="40" w:line="240" w:lineRule="auto"/>
            </w:pPr>
            <w:r>
              <w:rPr>
                <w:rFonts w:ascii="Calibri" w:hAnsi="Calibri"/>
                <w:b w:val="0"/>
                <w:color w:val="1F1F1F"/>
                <w:sz w:val="18"/>
              </w:rPr>
              <w:t>No se han eliminado actividades ni se han modificado los objetivos del proyecto. Se mantiene el plan de 18 semanas definido en la Fase 1. Como definición técnica, el acceso móvil se implementará mediante PWA sobre Odoo, alternativa autorizada por el docente, evitando desarrollar aplicaciones nativas separadas. También se reforzó el enfoque de QA incorporando explícitamente el ciclo de diseño de pruebas, ejecución, registro de hallazgos, corrección y revalidación. Estos ajustes precisan la forma de ejecución, pero no cambian el alcance funcional del proyecto.</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hRule="auto"/>
        </w:trPr>
        <w:tc>
          <w:tcPr>
            <w:tcW w:w="5000" w:type="pct"/>
            <w:vAlign w:val="top"/>
          </w:tcPr>
          <w:p>
            <w:pPr>
              <w:spacing w:before="0" w:after="40" w:line="240" w:lineRule="auto"/>
            </w:pPr>
            <w:r/>
            <w:r>
              <w:rPr>
                <w:rFonts w:ascii="Calibri" w:hAnsi="Calibri"/>
                <w:b/>
                <w:color w:val="1F1F1F"/>
                <w:sz w:val="18"/>
              </w:rPr>
              <w:t xml:space="preserve">Actividades que no has iniciado o están retrasadas: </w:t>
            </w:r>
          </w:p>
          <w:p>
            <w:pPr>
              <w:spacing w:before="0" w:after="40" w:line="240" w:lineRule="auto"/>
            </w:pPr>
            <w:r>
              <w:rPr>
                <w:rFonts w:ascii="Calibri" w:hAnsi="Calibri"/>
                <w:b w:val="0"/>
                <w:color w:val="1F1F1F"/>
                <w:sz w:val="18"/>
              </w:rPr>
              <w:t>Los Sprints 1, 2 y 3, la etapa de QA/integración y la implantación final aún no se han iniciado porque corresponden a semanas posteriores de la Carta Gantt. No se consideran atrasadas. En el corto plazo, la prioridad es cerrar el detalle del Product Backlog y completar Sprint 0 para que el desarrollo funcional comience con requerimientos priorizados, criterios de aceptación claros, repositorio compartido y entorno técnico preparado. Si aparece alguna desviación, el equipo ajustará la prioridad del backlog sin alterar los objetivos centrales del MVP.</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