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1D1D"/>
          <w:sz w:val="50"/>
        </w:rPr>
        <w:t>Requisitos y arquitectura</w:t>
      </w:r>
    </w:p>
    <w:p>
      <w:pPr>
        <w:jc w:val="center"/>
      </w:pPr>
      <w:r>
        <w:rPr>
          <w:i/>
        </w:rPr>
        <w:t>Alcance funcional y decisiones de diseño</w:t>
      </w:r>
    </w:p>
    <w:p>
      <w:pPr>
        <w:jc w:val="center"/>
      </w:pPr>
      <w:r>
        <w:rPr>
          <w:b/>
          <w:color w:val="1E3A5F"/>
        </w:rPr>
        <w:t>Documento técnico basado en las guías del proyecto</w:t>
      </w:r>
    </w:p>
    <w:p>
      <w:r>
        <w:t>Proyecto APT · Ingeniería en Informática · Odoo Community 18 + PostgreSQL + PWA</w:t>
      </w:r>
    </w:p>
    <w:p>
      <w:pPr>
        <w:pStyle w:val="Heading1"/>
      </w:pPr>
      <w:r>
        <w:t>1. Propósito y fuentes</w:t>
      </w:r>
    </w:p>
    <w:p>
      <w:r>
        <w:t>El sistema centraliza el estado operativo y la mantención preventiva/reactiva de los vehículos de emergencia del Cuerpo de Bomberos de Talcahuano. Este documento se deriva de Software/Requerimiento Bomberos.docx, la Guía de Definición de Proyecto APT de Fase 1 y la Guía de Desarrollo de Fase 2.</w:t>
      </w:r>
    </w:p>
    <w:p>
      <w:pPr>
        <w:pStyle w:val="Heading1"/>
      </w:pPr>
      <w:r>
        <w:t>2. Requisitos funcionales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F1D1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08"/>
            <w:shd w:fill="7F1D1D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408"/>
            <w:shd w:fill="7F1D1D"/>
          </w:tcPr>
          <w:p>
            <w:r>
              <w:rPr>
                <w:b/>
                <w:color w:val="FFFFFF"/>
              </w:rPr>
              <w:t>Criterio de aceptación</w:t>
            </w:r>
          </w:p>
        </w:tc>
      </w:tr>
      <w:tr>
        <w:tc>
          <w:tcPr>
            <w:tcW w:type="dxa" w:w="3408"/>
            <w:vAlign w:val="center"/>
          </w:tcPr>
          <w:p>
            <w:r>
              <w:t>RF-01</w:t>
            </w:r>
          </w:p>
        </w:tc>
        <w:tc>
          <w:tcPr>
            <w:tcW w:type="dxa" w:w="3408"/>
            <w:vAlign w:val="center"/>
          </w:tcPr>
          <w:p>
            <w:r>
              <w:t>Compañías y perfiles</w:t>
            </w:r>
          </w:p>
        </w:tc>
        <w:tc>
          <w:tcPr>
            <w:tcW w:type="dxa" w:w="3408"/>
            <w:vAlign w:val="center"/>
          </w:tcPr>
          <w:p>
            <w:r>
              <w:t>Un administrador puede mantener compañías. El acceso a compañías y datos de flota se limita a las compañías asignadas, salvo Jefe de flota y Administrador.</w:t>
            </w:r>
          </w:p>
        </w:tc>
      </w:tr>
      <w:tr>
        <w:tc>
          <w:tcPr>
            <w:tcW w:type="dxa" w:w="3408"/>
            <w:vAlign w:val="center"/>
          </w:tcPr>
          <w:p>
            <w:r>
              <w:t>RF-02</w:t>
            </w:r>
          </w:p>
        </w:tc>
        <w:tc>
          <w:tcPr>
            <w:tcW w:type="dxa" w:w="3408"/>
            <w:vAlign w:val="center"/>
          </w:tcPr>
          <w:p>
            <w:r>
              <w:t>Vehículos</w:t>
            </w:r>
          </w:p>
        </w:tc>
        <w:tc>
          <w:tcPr>
            <w:tcW w:type="dxa" w:w="3408"/>
            <w:vAlign w:val="center"/>
          </w:tcPr>
          <w:p>
            <w:r>
              <w:t>Registrar ficha identificatoria y técnica, patente, compañía, tipo, estado operativo, documentos y kilometraje actual.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RF-03</w:t>
            </w:r>
          </w:p>
        </w:tc>
        <w:tc>
          <w:tcPr>
            <w:tcW w:type="dxa" w:w="3408"/>
            <w:vAlign w:val="center"/>
          </w:tcPr>
          <w:p>
            <w:r>
              <w:t>Historial de kilometraje</w:t>
            </w:r>
          </w:p>
        </w:tc>
        <w:tc>
          <w:tcPr>
            <w:tcW w:type="dxa" w:w="3408"/>
            <w:vAlign w:val="center"/>
          </w:tcPr>
          <w:p>
            <w:r>
              <w:t>Guardar fecha, kilometraje, usuario y observación; rechazar lecturas inferiores al máximo registrado.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RF-04</w:t>
            </w:r>
          </w:p>
        </w:tc>
        <w:tc>
          <w:tcPr>
            <w:tcW w:type="dxa" w:w="3408"/>
            <w:vAlign w:val="center"/>
          </w:tcPr>
          <w:p>
            <w:r>
              <w:t>Mantenciones preventivas y reactivas</w:t>
            </w:r>
          </w:p>
        </w:tc>
        <w:tc>
          <w:tcPr>
            <w:tcW w:type="dxa" w:w="3408"/>
            <w:vAlign w:val="center"/>
          </w:tcPr>
          <w:p>
            <w:r>
              <w:t>Crear órdenes con falla, diagnóstico, fecha/kilometraje objetivo, trabajo realizado, responsable, estado y trazabilidad.</w:t>
            </w:r>
          </w:p>
        </w:tc>
      </w:tr>
      <w:tr>
        <w:tc>
          <w:tcPr>
            <w:tcW w:type="dxa" w:w="3408"/>
            <w:vAlign w:val="center"/>
          </w:tcPr>
          <w:p>
            <w:r>
              <w:t>RF-05</w:t>
            </w:r>
          </w:p>
        </w:tc>
        <w:tc>
          <w:tcPr>
            <w:tcW w:type="dxa" w:w="3408"/>
            <w:vAlign w:val="center"/>
          </w:tcPr>
          <w:p>
            <w:r>
              <w:t>Flujo de aprobación</w:t>
            </w:r>
          </w:p>
        </w:tc>
        <w:tc>
          <w:tcPr>
            <w:tcW w:type="dxa" w:w="3408"/>
            <w:vAlign w:val="center"/>
          </w:tcPr>
          <w:p>
            <w:r>
              <w:t>Borrador → Programada → En ejecución → En revisión → Cerrada. Solo Jefe de flota puede cerrar; cancelar se limita a borrador/programada.</w:t>
            </w:r>
          </w:p>
        </w:tc>
      </w:tr>
      <w:tr>
        <w:tc>
          <w:tcPr>
            <w:tcW w:type="dxa" w:w="3408"/>
            <w:vAlign w:val="center"/>
          </w:tcPr>
          <w:p>
            <w:r>
              <w:t>RF-06</w:t>
            </w:r>
          </w:p>
        </w:tc>
        <w:tc>
          <w:tcPr>
            <w:tcW w:type="dxa" w:w="3408"/>
            <w:vAlign w:val="center"/>
          </w:tcPr>
          <w:p>
            <w:r>
              <w:t>Recursos y costos</w:t>
            </w:r>
          </w:p>
        </w:tc>
        <w:tc>
          <w:tcPr>
            <w:tcW w:type="dxa" w:w="3408"/>
            <w:vAlign w:val="center"/>
          </w:tcPr>
          <w:p>
            <w:r>
              <w:t>Registrar materiales/repuestos y mano de obra consumidos por orden, con subtotales y costo total en moneda de la compañía; no controla inventario.</w:t>
            </w:r>
          </w:p>
        </w:tc>
      </w:tr>
      <w:tr>
        <w:tc>
          <w:tcPr>
            <w:tcW w:type="dxa" w:w="3408"/>
            <w:vAlign w:val="center"/>
          </w:tcPr>
          <w:p>
            <w:r>
              <w:t>RF-07</w:t>
            </w:r>
          </w:p>
        </w:tc>
        <w:tc>
          <w:tcPr>
            <w:tcW w:type="dxa" w:w="3408"/>
            <w:vAlign w:val="center"/>
          </w:tcPr>
          <w:p>
            <w:r>
              <w:t>Avisos</w:t>
            </w:r>
          </w:p>
        </w:tc>
        <w:tc>
          <w:tcPr>
            <w:tcW w:type="dxa" w:w="3408"/>
            <w:vAlign w:val="center"/>
          </w:tcPr>
          <w:p>
            <w:r>
              <w:t>Generar avisos dentro de Odoo para órdenes próximas (30 días o 500 km), vencidas y pendientes de revisión; cron diario, sin correo.</w:t>
            </w:r>
          </w:p>
        </w:tc>
      </w:tr>
      <w:tr>
        <w:tc>
          <w:tcPr>
            <w:tcW w:type="dxa" w:w="3408"/>
            <w:vAlign w:val="center"/>
          </w:tcPr>
          <w:p>
            <w:r>
              <w:t>RF-08</w:t>
            </w:r>
          </w:p>
        </w:tc>
        <w:tc>
          <w:tcPr>
            <w:tcW w:type="dxa" w:w="3408"/>
            <w:vAlign w:val="center"/>
          </w:tcPr>
          <w:p>
            <w:r>
              <w:t>Reportes básicos</w:t>
            </w:r>
          </w:p>
        </w:tc>
        <w:tc>
          <w:tcPr>
            <w:tcW w:type="dxa" w:w="3408"/>
            <w:vAlign w:val="center"/>
          </w:tcPr>
          <w:p>
            <w:r>
              <w:t>Consultar estado de vehículos, órdenes por compañía/tipo/estado y costos agregados por compañía.</w:t>
            </w:r>
          </w:p>
        </w:tc>
      </w:tr>
      <w:tr>
        <w:tc>
          <w:tcPr>
            <w:tcW w:type="dxa" w:w="3408"/>
            <w:vAlign w:val="center"/>
          </w:tcPr>
          <w:p>
            <w:r>
              <w:t>RF-09</w:t>
            </w:r>
          </w:p>
        </w:tc>
        <w:tc>
          <w:tcPr>
            <w:tcW w:type="dxa" w:w="3408"/>
            <w:vAlign w:val="center"/>
          </w:tcPr>
          <w:p>
            <w:r>
              <w:t>Web móvil/PWA</w:t>
            </w:r>
          </w:p>
        </w:tc>
        <w:tc>
          <w:tcPr>
            <w:tcW w:type="dxa" w:w="3408"/>
            <w:vAlign w:val="center"/>
          </w:tcPr>
          <w:p>
            <w:r>
              <w:t>Interfaz responsive e instalable mediante el soporte PWA del cliente web de Odoo; las operaciones requieren Internet.</w:t>
            </w:r>
          </w:p>
        </w:tc>
      </w:tr>
    </w:tbl>
    <w:p/>
    <w:p>
      <w:pPr>
        <w:pStyle w:val="Heading1"/>
      </w:pPr>
      <w:r>
        <w:t>3. Arquitectura y módulos propios</w:t>
      </w:r>
    </w:p>
    <w:p>
      <w:r>
        <w:drawing>
          <wp:inline xmlns:a="http://schemas.openxmlformats.org/drawingml/2006/main" xmlns:pic="http://schemas.openxmlformats.org/drawingml/2006/picture">
            <wp:extent cx="6035040" cy="3084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845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1D1D"/>
          </w:tcPr>
          <w:p>
            <w:r>
              <w:rPr>
                <w:b/>
                <w:color w:val="FFFFFF"/>
              </w:rPr>
              <w:t>Addon propio</w:t>
            </w:r>
          </w:p>
        </w:tc>
        <w:tc>
          <w:tcPr>
            <w:tcW w:type="dxa" w:w="5112"/>
            <w:shd w:fill="7F1D1D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5112"/>
            <w:vAlign w:val="center"/>
          </w:tcPr>
          <w:p>
            <w:r>
              <w:t>bomberos_base</w:t>
            </w:r>
          </w:p>
        </w:tc>
        <w:tc>
          <w:tcPr>
            <w:tcW w:type="dxa" w:w="5112"/>
            <w:vAlign w:val="center"/>
          </w:tcPr>
          <w:p>
            <w:r>
              <w:t>Modelo Compañía de Bomberos, moneda CLP por defecto y grupos de Administrador, Jefe de flota, Técnico y Bombero consultor; extiende res.users para asignar compañías.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bomberos_fleet</w:t>
            </w:r>
          </w:p>
        </w:tc>
        <w:tc>
          <w:tcPr>
            <w:tcW w:type="dxa" w:w="5112"/>
            <w:vAlign w:val="center"/>
          </w:tcPr>
          <w:p>
            <w:r>
              <w:t>Vehículos propios, documentos asociados, estados operativos y lecturas históricas de kilometraje.</w:t>
            </w:r>
          </w:p>
        </w:tc>
      </w:tr>
      <w:tr>
        <w:tc>
          <w:tcPr>
            <w:tcW w:type="dxa" w:w="5112"/>
            <w:vAlign w:val="center"/>
          </w:tcPr>
          <w:p>
            <w:r>
              <w:t>bomberos_maintenance</w:t>
            </w:r>
          </w:p>
        </w:tc>
        <w:tc>
          <w:tcPr>
            <w:tcW w:type="dxa" w:w="5112"/>
            <w:vAlign w:val="center"/>
          </w:tcPr>
          <w:p>
            <w:r>
              <w:t>Órdenes preventivas/reactivas, materiales, mano de obra, costos, avisos diarios y vistas de análisis.</w:t>
            </w:r>
          </w:p>
        </w:tc>
      </w:tr>
    </w:tbl>
    <w:p/>
    <w:p>
      <w:r>
        <w:t>Los addons se encuentran fuera del repositorio fuente de Odoo, en Software/custom-addons. Se usan únicamente los componentes técnicos base/web de Odoo; no se instalan las aplicaciones estándar Fleet, Maintenance ni Inventory/Stock.</w:t>
      </w:r>
    </w:p>
    <w:p>
      <w:pPr>
        <w:pStyle w:val="Heading1"/>
      </w:pPr>
      <w:r>
        <w:t>4.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1D1D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5112"/>
            <w:shd w:fill="7F1D1D"/>
          </w:tcPr>
          <w:p>
            <w:r>
              <w:rPr>
                <w:b/>
                <w:color w:val="FFFFFF"/>
              </w:rPr>
              <w:t>Alcance y permisos</w:t>
            </w:r>
          </w:p>
        </w:tc>
      </w:tr>
      <w:tr>
        <w:tc>
          <w:tcPr>
            <w:tcW w:type="dxa" w:w="5112"/>
            <w:vAlign w:val="center"/>
          </w:tcPr>
          <w:p>
            <w:r>
              <w:t>Administrador de Bomberos</w:t>
            </w:r>
          </w:p>
        </w:tc>
        <w:tc>
          <w:tcPr>
            <w:tcW w:type="dxa" w:w="5112"/>
            <w:vAlign w:val="center"/>
          </w:tcPr>
          <w:p>
            <w:r>
              <w:t>Acceso global a los registros propios de Bomberos; administra compañías y hereda permisos de jefatura. La asignación de usuarios/roles se realiza por un administrador técnico de Odoo.</w:t>
            </w:r>
          </w:p>
        </w:tc>
      </w:tr>
      <w:tr>
        <w:tc>
          <w:tcPr>
            <w:tcW w:type="dxa" w:w="5112"/>
            <w:vAlign w:val="center"/>
          </w:tcPr>
          <w:p>
            <w:r>
              <w:t>Jefe de flota</w:t>
            </w:r>
          </w:p>
        </w:tc>
        <w:tc>
          <w:tcPr>
            <w:tcW w:type="dxa" w:w="5112"/>
            <w:vAlign w:val="center"/>
          </w:tcPr>
          <w:p>
            <w:r>
              <w:t>Acceso global a compañías, vehículos, órdenes, costos y avisos; mantiene vehículos/compañías, revisa y cierra órdenes, cancela órdenes permitidas y consulta reportes.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Técnico de mantención</w:t>
            </w:r>
          </w:p>
        </w:tc>
        <w:tc>
          <w:tcPr>
            <w:tcW w:type="dxa" w:w="5112"/>
            <w:vAlign w:val="center"/>
          </w:tcPr>
          <w:p>
            <w:r>
              <w:t>Lectura de vehículos de sus compañías; registra kilometraje y gestiona órdenes/recursos/avisos de las compañías asignadas. No cierra órdenes.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Bombero consultor</w:t>
            </w:r>
          </w:p>
        </w:tc>
        <w:tc>
          <w:tcPr>
            <w:tcW w:type="dxa" w:w="5112"/>
            <w:vAlign w:val="center"/>
          </w:tcPr>
          <w:p>
            <w:r>
              <w:t>Solo lectura de vehículos, historial, órdenes, costos y avisos de las compañías asignadas.</w:t>
            </w:r>
          </w:p>
        </w:tc>
      </w:tr>
    </w:tbl>
    <w:p/>
    <w:p>
      <w:pPr>
        <w:pStyle w:val="Heading1"/>
      </w:pPr>
      <w:r>
        <w:t>5. Reglas y límites acordados</w:t>
      </w:r>
    </w:p>
    <w:p>
      <w:pPr>
        <w:pStyle w:val="ListBullet"/>
      </w:pPr>
      <w:r>
        <w:t>Las compañías del proyecto son registros propios de Bomberos y no se confunden con las compañías multiempresa de Odoo.</w:t>
      </w:r>
    </w:p>
    <w:p>
      <w:pPr>
        <w:pStyle w:val="ListBullet"/>
      </w:pPr>
      <w:r>
        <w:t>Materiales y mano de obra se registran en la orden; no se controlan existencias, entradas ni salidas de bodega.</w:t>
      </w:r>
    </w:p>
    <w:p>
      <w:pPr>
        <w:pStyle w:val="ListBullet"/>
      </w:pPr>
      <w:r>
        <w:t>El aviso próximo se activa por fecha dentro de 30 días o kilometraje dentro de 500 km del objetivo; el vencimiento ocurre al alcanzar la fecha o el kilometraje objetivo.</w:t>
      </w:r>
    </w:p>
    <w:p>
      <w:pPr>
        <w:pStyle w:val="ListBullet"/>
      </w:pPr>
      <w:r>
        <w:t>Las órdenes en revisión/cerradas/canceladas y sus líneas quedan protegidas contra edición posterior.</w:t>
      </w:r>
    </w:p>
    <w:p>
      <w:pPr>
        <w:pStyle w:val="ListBullet"/>
      </w:pPr>
      <w:r>
        <w:t>Los datos de demostración llevan prefijo DEMO y solo se cargan al habilitar datos demo al instalar los módulos. No representan vehículos reales.</w:t>
      </w:r>
    </w:p>
    <w:p>
      <w:pPr>
        <w:pStyle w:val="ListBullet"/>
      </w:pPr>
      <w:r>
        <w:t>El alcance actual no incluye funcionamiento offline, aplicación nativa, correo/SMS ni integración con inventario.</w:t>
      </w:r>
    </w:p>
    <w:p>
      <w:pPr>
        <w:pStyle w:val="Heading1"/>
      </w:pPr>
      <w:r>
        <w:t>6. Modelo conceptual</w:t>
      </w:r>
    </w:p>
    <w:p>
      <w:r>
        <w:drawing>
          <wp:inline xmlns:a="http://schemas.openxmlformats.org/drawingml/2006/main" xmlns:pic="http://schemas.openxmlformats.org/drawingml/2006/picture">
            <wp:extent cx="6035040" cy="4425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e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25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detalles de atributos, relaciones y tablas se documentan en 02_Modelo_de_datos_y_diccionario.docx.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Evidencia de software · Cuerpo de Bomberos de Talcahuano · 14-10-2026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CAPSTONE · SISTEMA DE CONTROL Y SEGUIMIENTO DE MANTENCIÓN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F1D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7F1D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