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Modelo de datos y diccionario</w:t>
      </w:r>
    </w:p>
    <w:p>
      <w:pPr>
        <w:jc w:val="center"/>
      </w:pPr>
      <w:r>
        <w:rPr>
          <w:i/>
        </w:rPr>
        <w:t>Entidades ORM, relaciones y restricciones</w:t>
      </w:r>
    </w:p>
    <w:p>
      <w:pPr>
        <w:jc w:val="center"/>
      </w:pPr>
      <w:r>
        <w:rPr>
          <w:b/>
          <w:color w:val="1E3A5F"/>
        </w:rPr>
        <w:t>Diseño técnico implementado en los addons propios</w:t>
      </w:r>
    </w:p>
    <w:p>
      <w:r>
        <w:t>Proyecto APT · Ingeniería en Informática · Odoo Community 18 + PostgreSQL + PWA</w:t>
      </w:r>
    </w:p>
    <w:p>
      <w:r>
        <w:t>Las entidades de dominio son modelos ORM de Odoo sobre PostgreSQL. Los campos company_id de órdenes, recursos y avisos se derivan del vehículo/orden para aplicar las reglas de acceso por compañía.</w:t>
      </w:r>
    </w:p>
    <w:p>
      <w:r>
        <w:drawing>
          <wp:inline xmlns:a="http://schemas.openxmlformats.org/drawingml/2006/main" xmlns:pic="http://schemas.openxmlformats.org/drawingml/2006/picture">
            <wp:extent cx="6035040" cy="4425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e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56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Descripción / regla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bomberos.company</w:t>
            </w:r>
          </w:p>
        </w:tc>
        <w:tc>
          <w:tcPr>
            <w:tcW w:type="dxa" w:w="2556"/>
            <w:vAlign w:val="center"/>
          </w:tcPr>
          <w:p>
            <w:r>
              <w:t>code</w:t>
            </w:r>
          </w:p>
        </w:tc>
        <w:tc>
          <w:tcPr>
            <w:tcW w:type="dxa" w:w="2556"/>
            <w:vAlign w:val="center"/>
          </w:tcPr>
          <w:p>
            <w:r>
              <w:t>Char, único</w:t>
            </w:r>
          </w:p>
        </w:tc>
        <w:tc>
          <w:tcPr>
            <w:tcW w:type="dxa" w:w="2556"/>
            <w:vAlign w:val="center"/>
          </w:tcPr>
          <w:p>
            <w:r>
              <w:t>Código de la compañía de Bomberos.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bomberos.company</w:t>
            </w:r>
          </w:p>
        </w:tc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Char requerido</w:t>
            </w:r>
          </w:p>
        </w:tc>
        <w:tc>
          <w:tcPr>
            <w:tcW w:type="dxa" w:w="2556"/>
            <w:vAlign w:val="center"/>
          </w:tcPr>
          <w:p>
            <w:r>
              <w:t>Nombre de la compañía.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bomberos.company</w:t>
            </w:r>
          </w:p>
        </w:tc>
        <w:tc>
          <w:tcPr>
            <w:tcW w:type="dxa" w:w="2556"/>
            <w:vAlign w:val="center"/>
          </w:tcPr>
          <w:p>
            <w:r>
              <w:t>currency_id</w:t>
            </w:r>
          </w:p>
        </w:tc>
        <w:tc>
          <w:tcPr>
            <w:tcW w:type="dxa" w:w="2556"/>
            <w:vAlign w:val="center"/>
          </w:tcPr>
          <w:p>
            <w:r>
              <w:t>Many2one(res.currency)</w:t>
            </w:r>
          </w:p>
        </w:tc>
        <w:tc>
          <w:tcPr>
            <w:tcW w:type="dxa" w:w="2556"/>
            <w:vAlign w:val="center"/>
          </w:tcPr>
          <w:p>
            <w:r>
              <w:t>Moneda; CLP por defecto cuando está disponible.</w:t>
            </w:r>
          </w:p>
        </w:tc>
      </w:tr>
      <w:tr>
        <w:tc>
          <w:tcPr>
            <w:tcW w:type="dxa" w:w="2556"/>
            <w:vAlign w:val="center"/>
          </w:tcPr>
          <w:p>
            <w:r>
              <w:t>res.users (herencia)</w:t>
            </w:r>
          </w:p>
        </w:tc>
        <w:tc>
          <w:tcPr>
            <w:tcW w:type="dxa" w:w="2556"/>
            <w:vAlign w:val="center"/>
          </w:tcPr>
          <w:p>
            <w:r>
              <w:t>bomberos_company_ids</w:t>
            </w:r>
          </w:p>
        </w:tc>
        <w:tc>
          <w:tcPr>
            <w:tcW w:type="dxa" w:w="2556"/>
            <w:vAlign w:val="center"/>
          </w:tcPr>
          <w:p>
            <w:r>
              <w:t>Many2many(bomberos.company)</w:t>
            </w:r>
          </w:p>
        </w:tc>
        <w:tc>
          <w:tcPr>
            <w:tcW w:type="dxa" w:w="2556"/>
            <w:vAlign w:val="center"/>
          </w:tcPr>
          <w:p>
            <w:r>
              <w:t>Compañías a las que se asigna el usuario.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code / name</w:t>
            </w:r>
          </w:p>
        </w:tc>
        <w:tc>
          <w:tcPr>
            <w:tcW w:type="dxa" w:w="2556"/>
            <w:vAlign w:val="center"/>
          </w:tcPr>
          <w:p>
            <w:r>
              <w:t>Char requerido</w:t>
            </w:r>
          </w:p>
        </w:tc>
        <w:tc>
          <w:tcPr>
            <w:tcW w:type="dxa" w:w="2556"/>
            <w:vAlign w:val="center"/>
          </w:tcPr>
          <w:p>
            <w:r>
              <w:t>Código interno y nombre operativo de la unidad; código único por compañía.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license_plate</w:t>
            </w:r>
          </w:p>
        </w:tc>
        <w:tc>
          <w:tcPr>
            <w:tcW w:type="dxa" w:w="2556"/>
            <w:vAlign w:val="center"/>
          </w:tcPr>
          <w:p>
            <w:r>
              <w:t>Char requerido</w:t>
            </w:r>
          </w:p>
        </w:tc>
        <w:tc>
          <w:tcPr>
            <w:tcW w:type="dxa" w:w="2556"/>
            <w:vAlign w:val="center"/>
          </w:tcPr>
          <w:p>
            <w:r>
              <w:t>Patente; única por compañía.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company_id</w:t>
            </w:r>
          </w:p>
        </w:tc>
        <w:tc>
          <w:tcPr>
            <w:tcW w:type="dxa" w:w="2556"/>
            <w:vAlign w:val="center"/>
          </w:tcPr>
          <w:p>
            <w:r>
              <w:t>Many2one</w:t>
            </w:r>
          </w:p>
        </w:tc>
        <w:tc>
          <w:tcPr>
            <w:tcW w:type="dxa" w:w="2556"/>
            <w:vAlign w:val="center"/>
          </w:tcPr>
          <w:p>
            <w:r>
              <w:t>Compañía a cargo; restringe el acceso a la flota.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vehicle_type</w:t>
            </w:r>
          </w:p>
        </w:tc>
        <w:tc>
          <w:tcPr>
            <w:tcW w:type="dxa" w:w="2556"/>
            <w:vAlign w:val="center"/>
          </w:tcPr>
          <w:p>
            <w:r>
              <w:t>Selection</w:t>
            </w:r>
          </w:p>
        </w:tc>
        <w:tc>
          <w:tcPr>
            <w:tcW w:type="dxa" w:w="2556"/>
            <w:vAlign w:val="center"/>
          </w:tcPr>
          <w:p>
            <w:r>
              <w:t>Carro bomba, rescate, ambulancia, aljibe, comandancia u otro.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operational_state</w:t>
            </w:r>
          </w:p>
        </w:tc>
        <w:tc>
          <w:tcPr>
            <w:tcW w:type="dxa" w:w="2556"/>
            <w:vAlign w:val="center"/>
          </w:tcPr>
          <w:p>
            <w:r>
              <w:t>Selection</w:t>
            </w:r>
          </w:p>
        </w:tc>
        <w:tc>
          <w:tcPr>
            <w:tcW w:type="dxa" w:w="2556"/>
            <w:vAlign w:val="center"/>
          </w:tcPr>
          <w:p>
            <w:r>
              <w:t>Disponible, en mantención o fuera de servicio.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make / model_name / year / vin / engine_number / capacity</w:t>
            </w:r>
          </w:p>
        </w:tc>
        <w:tc>
          <w:tcPr>
            <w:tcW w:type="dxa" w:w="2556"/>
            <w:vAlign w:val="center"/>
          </w:tcPr>
          <w:p>
            <w:r>
              <w:t>Char / Integer</w:t>
            </w:r>
          </w:p>
        </w:tc>
        <w:tc>
          <w:tcPr>
            <w:tcW w:type="dxa" w:w="2556"/>
            <w:vAlign w:val="center"/>
          </w:tcPr>
          <w:p>
            <w:r>
              <w:t>Ficha técnica; año no anterior a 1900.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current_odometer_km</w:t>
            </w:r>
          </w:p>
        </w:tc>
        <w:tc>
          <w:tcPr>
            <w:tcW w:type="dxa" w:w="2556"/>
            <w:vAlign w:val="center"/>
          </w:tcPr>
          <w:p>
            <w:r>
              <w:t>Float readonly</w:t>
            </w:r>
          </w:p>
        </w:tc>
        <w:tc>
          <w:tcPr>
            <w:tcW w:type="dxa" w:w="2556"/>
            <w:vAlign w:val="center"/>
          </w:tcPr>
          <w:p>
            <w:r>
              <w:t>Kilometraje vigente, actualizado desde las lecturas.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</w:t>
            </w:r>
          </w:p>
        </w:tc>
        <w:tc>
          <w:tcPr>
            <w:tcW w:type="dxa" w:w="2556"/>
            <w:vAlign w:val="center"/>
          </w:tcPr>
          <w:p>
            <w:r>
              <w:t>document_ids</w:t>
            </w:r>
          </w:p>
        </w:tc>
        <w:tc>
          <w:tcPr>
            <w:tcW w:type="dxa" w:w="2556"/>
            <w:vAlign w:val="center"/>
          </w:tcPr>
          <w:p>
            <w:r>
              <w:t>Many2many(ir.attachment)</w:t>
            </w:r>
          </w:p>
        </w:tc>
        <w:tc>
          <w:tcPr>
            <w:tcW w:type="dxa" w:w="2556"/>
            <w:vAlign w:val="center"/>
          </w:tcPr>
          <w:p>
            <w:r>
              <w:t>Documentos técnicos relevantes del vehículo.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bomberos.vehicle.odometer</w:t>
            </w:r>
          </w:p>
        </w:tc>
        <w:tc>
          <w:tcPr>
            <w:tcW w:type="dxa" w:w="2556"/>
            <w:vAlign w:val="center"/>
          </w:tcPr>
          <w:p>
            <w:r>
              <w:t>vehicle_id / company_id</w:t>
            </w:r>
          </w:p>
        </w:tc>
        <w:tc>
          <w:tcPr>
            <w:tcW w:type="dxa" w:w="2556"/>
            <w:vAlign w:val="center"/>
          </w:tcPr>
          <w:p>
            <w:r>
              <w:t>Many2one / related</w:t>
            </w:r>
          </w:p>
        </w:tc>
        <w:tc>
          <w:tcPr>
            <w:tcW w:type="dxa" w:w="2556"/>
            <w:vAlign w:val="center"/>
          </w:tcPr>
          <w:p>
            <w:r>
              <w:t>Vehículo y compañía derivada.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bomberos.vehicle.odometer</w:t>
            </w:r>
          </w:p>
        </w:tc>
        <w:tc>
          <w:tcPr>
            <w:tcW w:type="dxa" w:w="2556"/>
            <w:vAlign w:val="center"/>
          </w:tcPr>
          <w:p>
            <w:r>
              <w:t>date / km / user_id / note</w:t>
            </w:r>
          </w:p>
        </w:tc>
        <w:tc>
          <w:tcPr>
            <w:tcW w:type="dxa" w:w="2556"/>
            <w:vAlign w:val="center"/>
          </w:tcPr>
          <w:p>
            <w:r>
              <w:t>Date / Float / Many2one / Char</w:t>
            </w:r>
          </w:p>
        </w:tc>
        <w:tc>
          <w:tcPr>
            <w:tcW w:type="dxa" w:w="2556"/>
            <w:vAlign w:val="center"/>
          </w:tcPr>
          <w:p>
            <w:r>
              <w:t>Lectura histórica; km no puede disminuir respecto del máximo.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Char / secuencia</w:t>
            </w:r>
          </w:p>
        </w:tc>
        <w:tc>
          <w:tcPr>
            <w:tcW w:type="dxa" w:w="2556"/>
            <w:vAlign w:val="center"/>
          </w:tcPr>
          <w:p>
            <w:r>
              <w:t>Folio MT-año con correlativo.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maintenance_type</w:t>
            </w:r>
          </w:p>
        </w:tc>
        <w:tc>
          <w:tcPr>
            <w:tcW w:type="dxa" w:w="2556"/>
            <w:vAlign w:val="center"/>
          </w:tcPr>
          <w:p>
            <w:r>
              <w:t>Selection</w:t>
            </w:r>
          </w:p>
        </w:tc>
        <w:tc>
          <w:tcPr>
            <w:tcW w:type="dxa" w:w="2556"/>
            <w:vAlign w:val="center"/>
          </w:tcPr>
          <w:p>
            <w:r>
              <w:t>Preventiva o reactiva.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vehicle_id / company_id</w:t>
            </w:r>
          </w:p>
        </w:tc>
        <w:tc>
          <w:tcPr>
            <w:tcW w:type="dxa" w:w="2556"/>
            <w:vAlign w:val="center"/>
          </w:tcPr>
          <w:p>
            <w:r>
              <w:t>Many2one / related</w:t>
            </w:r>
          </w:p>
        </w:tc>
        <w:tc>
          <w:tcPr>
            <w:tcW w:type="dxa" w:w="2556"/>
            <w:vAlign w:val="center"/>
          </w:tcPr>
          <w:p>
            <w:r>
              <w:t>Vehículo de la orden y compañía derivada.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state</w:t>
            </w:r>
          </w:p>
        </w:tc>
        <w:tc>
          <w:tcPr>
            <w:tcW w:type="dxa" w:w="2556"/>
            <w:vAlign w:val="center"/>
          </w:tcPr>
          <w:p>
            <w:r>
              <w:t>Selection readonly</w:t>
            </w:r>
          </w:p>
        </w:tc>
        <w:tc>
          <w:tcPr>
            <w:tcW w:type="dxa" w:w="2556"/>
            <w:vAlign w:val="center"/>
          </w:tcPr>
          <w:p>
            <w:r>
              <w:t>Borrador, programada, en ejecución, en revisión, cerrada o cancelada.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scheduled_date / due_odometer_km</w:t>
            </w:r>
          </w:p>
        </w:tc>
        <w:tc>
          <w:tcPr>
            <w:tcW w:type="dxa" w:w="2556"/>
            <w:vAlign w:val="center"/>
          </w:tcPr>
          <w:p>
            <w:r>
              <w:t>Date / Float</w:t>
            </w:r>
          </w:p>
        </w:tc>
        <w:tc>
          <w:tcPr>
            <w:tcW w:type="dxa" w:w="2556"/>
            <w:vAlign w:val="center"/>
          </w:tcPr>
          <w:p>
            <w:r>
              <w:t>Fecha y kilometraje objetivo para avisos preventivos.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failure_description / diagnosis / work_description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Falla reportada (obligatoria para reactivas), diagnóstico y trabajo realizado.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started_at / completed_at / reviewed_at / reviewer_id</w:t>
            </w:r>
          </w:p>
        </w:tc>
        <w:tc>
          <w:tcPr>
            <w:tcW w:type="dxa" w:w="2556"/>
            <w:vAlign w:val="center"/>
          </w:tcPr>
          <w:p>
            <w:r>
              <w:t>Datetime / Many2one</w:t>
            </w:r>
          </w:p>
        </w:tc>
        <w:tc>
          <w:tcPr>
            <w:tcW w:type="dxa" w:w="2556"/>
            <w:vAlign w:val="center"/>
          </w:tcPr>
          <w:p>
            <w:r>
              <w:t>Trazabilidad del inicio, revisión y cierre.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bomberos.maintenance.order</w:t>
            </w:r>
          </w:p>
        </w:tc>
        <w:tc>
          <w:tcPr>
            <w:tcW w:type="dxa" w:w="2556"/>
            <w:vAlign w:val="center"/>
          </w:tcPr>
          <w:p>
            <w:r>
              <w:t>material_cost / labor_cost / total_cost</w:t>
            </w:r>
          </w:p>
        </w:tc>
        <w:tc>
          <w:tcPr>
            <w:tcW w:type="dxa" w:w="2556"/>
            <w:vAlign w:val="center"/>
          </w:tcPr>
          <w:p>
            <w:r>
              <w:t>Monetary computed</w:t>
            </w:r>
          </w:p>
        </w:tc>
        <w:tc>
          <w:tcPr>
            <w:tcW w:type="dxa" w:w="2556"/>
            <w:vAlign w:val="center"/>
          </w:tcPr>
          <w:p>
            <w:r>
              <w:t>Subtotales y total calculados a partir de sus líneas.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bomberos.maintenance.material</w:t>
            </w:r>
          </w:p>
        </w:tc>
        <w:tc>
          <w:tcPr>
            <w:tcW w:type="dxa" w:w="2556"/>
            <w:vAlign w:val="center"/>
          </w:tcPr>
          <w:p>
            <w:r>
              <w:t>order_id / description / quantity / unit / unit_cost / subtotal</w:t>
            </w:r>
          </w:p>
        </w:tc>
        <w:tc>
          <w:tcPr>
            <w:tcW w:type="dxa" w:w="2556"/>
            <w:vAlign w:val="center"/>
          </w:tcPr>
          <w:p>
            <w:r>
              <w:t>Many2one / Char / Float / Monetary</w:t>
            </w:r>
          </w:p>
        </w:tc>
        <w:tc>
          <w:tcPr>
            <w:tcW w:type="dxa" w:w="2556"/>
            <w:vAlign w:val="center"/>
          </w:tcPr>
          <w:p>
            <w:r>
              <w:t>Material/repuesto consumido; cantidad positiva y costo no negativo.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bomberos.maintenance.labor</w:t>
            </w:r>
          </w:p>
        </w:tc>
        <w:tc>
          <w:tcPr>
            <w:tcW w:type="dxa" w:w="2556"/>
            <w:vAlign w:val="center"/>
          </w:tcPr>
          <w:p>
            <w:r>
              <w:t>order_id / description / hours / hourly_rate / subtotal</w:t>
            </w:r>
          </w:p>
        </w:tc>
        <w:tc>
          <w:tcPr>
            <w:tcW w:type="dxa" w:w="2556"/>
            <w:vAlign w:val="center"/>
          </w:tcPr>
          <w:p>
            <w:r>
              <w:t>Many2one / Char / Float / Monetary</w:t>
            </w:r>
          </w:p>
        </w:tc>
        <w:tc>
          <w:tcPr>
            <w:tcW w:type="dxa" w:w="2556"/>
            <w:vAlign w:val="center"/>
          </w:tcPr>
          <w:p>
            <w:r>
              <w:t>Mano de obra; horas positivas y tarifa no negativa.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bomberos.maintenance.alert</w:t>
            </w:r>
          </w:p>
        </w:tc>
        <w:tc>
          <w:tcPr>
            <w:tcW w:type="dxa" w:w="2556"/>
            <w:vAlign w:val="center"/>
          </w:tcPr>
          <w:p>
            <w:r>
              <w:t>maintenance_id / company_id</w:t>
            </w:r>
          </w:p>
        </w:tc>
        <w:tc>
          <w:tcPr>
            <w:tcW w:type="dxa" w:w="2556"/>
            <w:vAlign w:val="center"/>
          </w:tcPr>
          <w:p>
            <w:r>
              <w:t>Many2one / related</w:t>
            </w:r>
          </w:p>
        </w:tc>
        <w:tc>
          <w:tcPr>
            <w:tcW w:type="dxa" w:w="2556"/>
            <w:vAlign w:val="center"/>
          </w:tcPr>
          <w:p>
            <w:r>
              <w:t>Orden relacionada y compañía derivada.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bomberos.maintenance.alert</w:t>
            </w:r>
          </w:p>
        </w:tc>
        <w:tc>
          <w:tcPr>
            <w:tcW w:type="dxa" w:w="2556"/>
            <w:vAlign w:val="center"/>
          </w:tcPr>
          <w:p>
            <w:r>
              <w:t>alert_type / message / active</w:t>
            </w:r>
          </w:p>
        </w:tc>
        <w:tc>
          <w:tcPr>
            <w:tcW w:type="dxa" w:w="2556"/>
            <w:vAlign w:val="center"/>
          </w:tcPr>
          <w:p>
            <w:r>
              <w:t>Selection / Char / Boolean</w:t>
            </w:r>
          </w:p>
        </w:tc>
        <w:tc>
          <w:tcPr>
            <w:tcW w:type="dxa" w:w="2556"/>
            <w:vAlign w:val="center"/>
          </w:tcPr>
          <w:p>
            <w:r>
              <w:t>Aviso próximo, vencido o pendiente de revisión.</w:t>
            </w:r>
          </w:p>
        </w:tc>
      </w:tr>
      <w:tr>
        <w:tc>
          <w:tcPr>
            <w:tcW w:type="dxa" w:w="2556"/>
            <w:vAlign w:val="center"/>
          </w:tcPr>
          <w:p>
            <w:r>
              <w:t>bomberos.maintenance.alert</w:t>
            </w:r>
          </w:p>
        </w:tc>
        <w:tc>
          <w:tcPr>
            <w:tcW w:type="dxa" w:w="2556"/>
            <w:vAlign w:val="center"/>
          </w:tcPr>
          <w:p>
            <w:r>
              <w:t>acknowledged / acknowledged_by / acknowledged_at</w:t>
            </w:r>
          </w:p>
        </w:tc>
        <w:tc>
          <w:tcPr>
            <w:tcW w:type="dxa" w:w="2556"/>
            <w:vAlign w:val="center"/>
          </w:tcPr>
          <w:p>
            <w:r>
              <w:t>Boolean / Many2one / Datetime</w:t>
            </w:r>
          </w:p>
        </w:tc>
        <w:tc>
          <w:tcPr>
            <w:tcW w:type="dxa" w:w="2556"/>
            <w:vAlign w:val="center"/>
          </w:tcPr>
          <w:p>
            <w:r>
              <w:t>Seguimiento de lectura por técnicos/jefatura.</w:t>
            </w:r>
          </w:p>
        </w:tc>
      </w:tr>
    </w:tbl>
    <w:p/>
    <w:p>
      <w:pPr>
        <w:pStyle w:val="Heading1"/>
      </w:pPr>
      <w:r>
        <w:t>Relaciones principales</w:t>
      </w:r>
    </w:p>
    <w:p>
      <w:pPr>
        <w:pStyle w:val="ListBullet"/>
      </w:pPr>
      <w:r>
        <w:t>Una compañía tiene muchos vehículos; usuarios y compañías tienen relación muchos-a-muchos.</w:t>
      </w:r>
    </w:p>
    <w:p>
      <w:pPr>
        <w:pStyle w:val="ListBullet"/>
      </w:pPr>
      <w:r>
        <w:t>Un vehículo tiene muchas lecturas de kilometraje y muchas órdenes de mantención.</w:t>
      </w:r>
    </w:p>
    <w:p>
      <w:pPr>
        <w:pStyle w:val="ListBullet"/>
      </w:pPr>
      <w:r>
        <w:t>Una orden tiene líneas de materiales y mano de obra y puede originar avisos.</w:t>
      </w:r>
    </w:p>
    <w:p>
      <w:pPr>
        <w:pStyle w:val="ListBullet"/>
      </w:pPr>
      <w:r>
        <w:t>Las líneas y avisos heredan la compañía de la orden; no almacenan una asignación independiente.</w:t>
      </w:r>
    </w:p>
    <w:p>
      <w:pPr>
        <w:pStyle w:val="Heading1"/>
      </w:pPr>
      <w:r>
        <w:t>Restricciones de integridad</w:t>
      </w:r>
    </w:p>
    <w:p>
      <w:pPr>
        <w:pStyle w:val="ListBullet"/>
      </w:pPr>
      <w:r>
        <w:t>Códigos internos y patentes no se repiten dentro de una compañía.</w:t>
      </w:r>
    </w:p>
    <w:p>
      <w:pPr>
        <w:pStyle w:val="ListBullet"/>
      </w:pPr>
      <w:r>
        <w:t>Kilometraje y costos no aceptan valores negativos; cantidades y horas deben ser mayores que cero.</w:t>
      </w:r>
    </w:p>
    <w:p>
      <w:pPr>
        <w:pStyle w:val="ListBullet"/>
      </w:pPr>
      <w:r>
        <w:t>Una mantención reactiva exige describir la falla. Para enviar a revisión se exige describir el trabajo realizado.</w:t>
      </w:r>
    </w:p>
    <w:p>
      <w:pPr>
        <w:pStyle w:val="ListBullet"/>
      </w:pPr>
      <w:r>
        <w:t>No se permite iniciar dos órdenes simultáneas para el mismo vehículo.</w:t>
      </w:r>
    </w:p>
    <w:p>
      <w:pPr>
        <w:pStyle w:val="ListBullet"/>
      </w:pPr>
      <w:r>
        <w:t>Las líneas de recursos y órdenes en revisión/cerradas/canceladas quedan bloqueadas para edición.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