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Plan y matriz de QA</w:t>
      </w:r>
    </w:p>
    <w:p>
      <w:pPr>
        <w:jc w:val="center"/>
      </w:pPr>
      <w:r>
        <w:t>Pruebas automatizadas ejecutadas en la base capstone; validaciones manuales con usuarios reales pendientes</w:t>
      </w:r>
    </w:p>
    <w:p>
      <w:pPr>
        <w:jc w:val="center"/>
      </w:pPr>
      <w:r>
        <w:rPr>
          <w:b/>
          <w:color w:val="1E3A5F"/>
        </w:rPr>
        <w:t>Resultados limitados a la base temporal de prueba; no equivale a certificación con usuarios reales</w:t>
      </w:r>
    </w:p>
    <w:p>
      <w:r>
        <w:t>Proyecto APT · Ingeniería en Informática · Odoo Community 18 + PostgreSQL + PWA</w:t>
      </w:r>
    </w:p>
    <w:p>
      <w:pPr>
        <w:pStyle w:val="Heading1"/>
      </w:pPr>
      <w:r>
        <w:t>1. Resultado de verificación automatizada</w:t>
      </w:r>
    </w:p>
    <w:p>
      <w:r>
        <w:t>Instalación limpia verificada previamente en base temporal. El 14/10/2026 se ejecutó nuevamente la suite dirigida para bomberos_base, bomberos_fleet y bomberos_maintenance en la base de trabajo capstone: 9 pruebas, 0 fallidas y 0 errores. Los resultados automatizados de UT-01 a UT-09 corresponden a esa ejecución; no certifican pruebas de aceptación con usuarios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Prueba automatizada</w:t>
            </w:r>
          </w:p>
        </w:tc>
        <w:tc>
          <w:tcPr>
            <w:tcW w:type="dxa" w:w="3408"/>
            <w:shd w:fill="7F1D1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UT-01</w:t>
            </w:r>
          </w:p>
        </w:tc>
        <w:tc>
          <w:tcPr>
            <w:tcW w:type="dxa" w:w="3408"/>
            <w:vAlign w:val="center"/>
          </w:tcPr>
          <w:p>
            <w:r>
              <w:t>Consultor limitado a las compañías asignadas.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UT-02</w:t>
            </w:r>
          </w:p>
        </w:tc>
        <w:tc>
          <w:tcPr>
            <w:tcW w:type="dxa" w:w="3408"/>
            <w:vAlign w:val="center"/>
          </w:tcPr>
          <w:p>
            <w:r>
              <w:t>Jefe de flota consulta todas las compañías.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UT-03</w:t>
            </w:r>
          </w:p>
        </w:tc>
        <w:tc>
          <w:tcPr>
            <w:tcW w:type="dxa" w:w="3408"/>
            <w:vAlign w:val="center"/>
          </w:tcPr>
          <w:p>
            <w:r>
              <w:t>Lectura de kilometraje actualiza vehículo y rechaza disminuciones.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UT-04</w:t>
            </w:r>
          </w:p>
        </w:tc>
        <w:tc>
          <w:tcPr>
            <w:tcW w:type="dxa" w:w="3408"/>
            <w:vAlign w:val="center"/>
          </w:tcPr>
          <w:p>
            <w:r>
              <w:t>Consultor no puede cambiar estado operativo.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UT-05</w:t>
            </w:r>
          </w:p>
        </w:tc>
        <w:tc>
          <w:tcPr>
            <w:tcW w:type="dxa" w:w="3408"/>
            <w:vAlign w:val="center"/>
          </w:tcPr>
          <w:p>
            <w:r>
              <w:t>Registros de vehículo quedan limitados por compañía.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UT-06</w:t>
            </w:r>
          </w:p>
        </w:tc>
        <w:tc>
          <w:tcPr>
            <w:tcW w:type="dxa" w:w="3408"/>
            <w:vAlign w:val="center"/>
          </w:tcPr>
          <w:p>
            <w:r>
              <w:t>Aviso próximo pasa a vencido sin duplicarse.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UT-07</w:t>
            </w:r>
          </w:p>
        </w:tc>
        <w:tc>
          <w:tcPr>
            <w:tcW w:type="dxa" w:w="3408"/>
            <w:vAlign w:val="center"/>
          </w:tcPr>
          <w:p>
            <w:r>
              <w:t>Solo Jefe de flota puede cerrar órdenes.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UT-08</w:t>
            </w:r>
          </w:p>
        </w:tc>
        <w:tc>
          <w:tcPr>
            <w:tcW w:type="dxa" w:w="3408"/>
            <w:vAlign w:val="center"/>
          </w:tcPr>
          <w:p>
            <w:r>
              <w:t>Costos, flujo completo, kilometraje final e inmutabilidad al cerrar.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UT-09</w:t>
            </w:r>
          </w:p>
        </w:tc>
        <w:tc>
          <w:tcPr>
            <w:tcW w:type="dxa" w:w="3408"/>
            <w:vAlign w:val="center"/>
          </w:tcPr>
          <w:p>
            <w:r>
              <w:t>Orden reactiva exige la descripción de falla.</w:t>
            </w:r>
          </w:p>
        </w:tc>
        <w:tc>
          <w:tcPr>
            <w:tcW w:type="dxa" w:w="3408"/>
            <w:vAlign w:val="center"/>
          </w:tcPr>
          <w:p>
            <w:r>
              <w:t>Aprobada</w:t>
            </w:r>
          </w:p>
        </w:tc>
      </w:tr>
    </w:tbl>
    <w:p/>
    <w:p>
      <w:pPr>
        <w:pStyle w:val="Heading1"/>
      </w:pPr>
      <w:r>
        <w:t>2. Matriz de validación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Caso manual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Estado / evidencia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QA-01</w:t>
            </w:r>
          </w:p>
        </w:tc>
        <w:tc>
          <w:tcPr>
            <w:tcW w:type="dxa" w:w="2556"/>
            <w:vAlign w:val="center"/>
          </w:tcPr>
          <w:p>
            <w:r>
              <w:t>Ingresar como cada uno de los cuatro perfiles.</w:t>
            </w:r>
          </w:p>
        </w:tc>
        <w:tc>
          <w:tcPr>
            <w:tcW w:type="dxa" w:w="2556"/>
            <w:vAlign w:val="center"/>
          </w:tcPr>
          <w:p>
            <w:r>
              <w:t>Menús y acciones coinciden con la matriz de permisos.</w:t>
            </w:r>
          </w:p>
        </w:tc>
        <w:tc>
          <w:tcPr>
            <w:tcW w:type="dxa" w:w="2556"/>
            <w:vAlign w:val="center"/>
          </w:tcPr>
          <w:p>
            <w:r>
              <w:t>Pendiente de ejecución manual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QA-02</w:t>
            </w:r>
          </w:p>
        </w:tc>
        <w:tc>
          <w:tcPr>
            <w:tcW w:type="dxa" w:w="2556"/>
            <w:vAlign w:val="center"/>
          </w:tcPr>
          <w:p>
            <w:r>
              <w:t>Intentar abrir datos de otra compañía con Técnico/Consultor.</w:t>
            </w:r>
          </w:p>
        </w:tc>
        <w:tc>
          <w:tcPr>
            <w:tcW w:type="dxa" w:w="2556"/>
            <w:vAlign w:val="center"/>
          </w:tcPr>
          <w:p>
            <w:r>
              <w:t>No mostrar vehículos, órdenes ni avisos ajenos.</w:t>
            </w:r>
          </w:p>
        </w:tc>
        <w:tc>
          <w:tcPr>
            <w:tcW w:type="dxa" w:w="2556"/>
            <w:vAlign w:val="center"/>
          </w:tcPr>
          <w:p>
            <w:r>
              <w:t>Pendiente de ejecución manual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QA-03</w:t>
            </w:r>
          </w:p>
        </w:tc>
        <w:tc>
          <w:tcPr>
            <w:tcW w:type="dxa" w:w="2556"/>
            <w:vAlign w:val="center"/>
          </w:tcPr>
          <w:p>
            <w:r>
              <w:t>Registrar vehículo, datos técnicos y adjuntar documentos.</w:t>
            </w:r>
          </w:p>
        </w:tc>
        <w:tc>
          <w:tcPr>
            <w:tcW w:type="dxa" w:w="2556"/>
            <w:vAlign w:val="center"/>
          </w:tcPr>
          <w:p>
            <w:r>
              <w:t>Ficha visible para roles autorizados.</w:t>
            </w:r>
          </w:p>
        </w:tc>
        <w:tc>
          <w:tcPr>
            <w:tcW w:type="dxa" w:w="2556"/>
            <w:vAlign w:val="center"/>
          </w:tcPr>
          <w:p>
            <w:r>
              <w:t>Pendiente de ejecución manual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QA-04</w:t>
            </w:r>
          </w:p>
        </w:tc>
        <w:tc>
          <w:tcPr>
            <w:tcW w:type="dxa" w:w="2556"/>
            <w:vAlign w:val="center"/>
          </w:tcPr>
          <w:p>
            <w:r>
              <w:t>Registrar lectura de kilometraje menor a la actual.</w:t>
            </w:r>
          </w:p>
        </w:tc>
        <w:tc>
          <w:tcPr>
            <w:tcW w:type="dxa" w:w="2556"/>
            <w:vAlign w:val="center"/>
          </w:tcPr>
          <w:p>
            <w:r>
              <w:t>El sistema rechaza la lectura y no altera el historial.</w:t>
            </w:r>
          </w:p>
        </w:tc>
        <w:tc>
          <w:tcPr>
            <w:tcW w:type="dxa" w:w="2556"/>
            <w:vAlign w:val="center"/>
          </w:tcPr>
          <w:p>
            <w:r>
              <w:t>Cubierto por UT-03; repetir en UI 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QA-05</w:t>
            </w:r>
          </w:p>
        </w:tc>
        <w:tc>
          <w:tcPr>
            <w:tcW w:type="dxa" w:w="2556"/>
            <w:vAlign w:val="center"/>
          </w:tcPr>
          <w:p>
            <w:r>
              <w:t>Tramitar orden reactiva hasta En revisión.</w:t>
            </w:r>
          </w:p>
        </w:tc>
        <w:tc>
          <w:tcPr>
            <w:tcW w:type="dxa" w:w="2556"/>
            <w:vAlign w:val="center"/>
          </w:tcPr>
          <w:p>
            <w:r>
              <w:t>Se conserva falla, diagnóstico, recursos y costos; genera aviso de revisión.</w:t>
            </w:r>
          </w:p>
        </w:tc>
        <w:tc>
          <w:tcPr>
            <w:tcW w:type="dxa" w:w="2556"/>
            <w:vAlign w:val="center"/>
          </w:tcPr>
          <w:p>
            <w:r>
              <w:t>Flujo automatizado; validación UI 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QA-06</w:t>
            </w:r>
          </w:p>
        </w:tc>
        <w:tc>
          <w:tcPr>
            <w:tcW w:type="dxa" w:w="2556"/>
            <w:vAlign w:val="center"/>
          </w:tcPr>
          <w:p>
            <w:r>
              <w:t>Cerrar una orden como Técnico.</w:t>
            </w:r>
          </w:p>
        </w:tc>
        <w:tc>
          <w:tcPr>
            <w:tcW w:type="dxa" w:w="2556"/>
            <w:vAlign w:val="center"/>
          </w:tcPr>
          <w:p>
            <w:r>
              <w:t>Acceso denegado; Jefe de flota sí puede cerrarla.</w:t>
            </w:r>
          </w:p>
        </w:tc>
        <w:tc>
          <w:tcPr>
            <w:tcW w:type="dxa" w:w="2556"/>
            <w:vAlign w:val="center"/>
          </w:tcPr>
          <w:p>
            <w:r>
              <w:t>Cubierto por UT-07; repetir en UI 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QA-07</w:t>
            </w:r>
          </w:p>
        </w:tc>
        <w:tc>
          <w:tcPr>
            <w:tcW w:type="dxa" w:w="2556"/>
            <w:vAlign w:val="center"/>
          </w:tcPr>
          <w:p>
            <w:r>
              <w:t>Forzar fecha dentro de 30 días y cercanía de 500 km.</w:t>
            </w:r>
          </w:p>
        </w:tc>
        <w:tc>
          <w:tcPr>
            <w:tcW w:type="dxa" w:w="2556"/>
            <w:vAlign w:val="center"/>
          </w:tcPr>
          <w:p>
            <w:r>
              <w:t>Se generan avisos próximos; al alcanzar objetivo, aviso vencido.</w:t>
            </w:r>
          </w:p>
        </w:tc>
        <w:tc>
          <w:tcPr>
            <w:tcW w:type="dxa" w:w="2556"/>
            <w:vAlign w:val="center"/>
          </w:tcPr>
          <w:p>
            <w:r>
              <w:t>Cubierto parcialmente por UT-06; revisión UI pendiente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QA-08</w:t>
            </w:r>
          </w:p>
        </w:tc>
        <w:tc>
          <w:tcPr>
            <w:tcW w:type="dxa" w:w="2556"/>
            <w:vAlign w:val="center"/>
          </w:tcPr>
          <w:p>
            <w:r>
              <w:t>Consultar reporte pivot/gráfico por compañía y tipo.</w:t>
            </w:r>
          </w:p>
        </w:tc>
        <w:tc>
          <w:tcPr>
            <w:tcW w:type="dxa" w:w="2556"/>
            <w:vAlign w:val="center"/>
          </w:tcPr>
          <w:p>
            <w:r>
              <w:t>Totales coinciden con las órdenes registradas.</w:t>
            </w:r>
          </w:p>
        </w:tc>
        <w:tc>
          <w:tcPr>
            <w:tcW w:type="dxa" w:w="2556"/>
            <w:vAlign w:val="center"/>
          </w:tcPr>
          <w:p>
            <w:r>
              <w:t>Pendiente de ejecución manual</w:t>
            </w:r>
          </w:p>
        </w:tc>
      </w:tr>
      <w:tr>
        <w:tc>
          <w:tcPr>
            <w:tcW w:type="dxa" w:w="2556"/>
            <w:vAlign w:val="center"/>
          </w:tcPr>
          <w:p>
            <w:r>
              <w:t>QA-09</w:t>
            </w:r>
          </w:p>
        </w:tc>
        <w:tc>
          <w:tcPr>
            <w:tcW w:type="dxa" w:w="2556"/>
            <w:vAlign w:val="center"/>
          </w:tcPr>
          <w:p>
            <w:r>
              <w:t>Instalar/abrir PWA en teléfono con Internet.</w:t>
            </w:r>
          </w:p>
        </w:tc>
        <w:tc>
          <w:tcPr>
            <w:tcW w:type="dxa" w:w="2556"/>
            <w:vAlign w:val="center"/>
          </w:tcPr>
          <w:p>
            <w:r>
              <w:t>Interfaz responsive e instalable; sesión requiere conexión.</w:t>
            </w:r>
          </w:p>
        </w:tc>
        <w:tc>
          <w:tcPr>
            <w:tcW w:type="dxa" w:w="2556"/>
            <w:vAlign w:val="center"/>
          </w:tcPr>
          <w:p>
            <w:r>
              <w:t>Pendiente de ejecución manual</w:t>
            </w:r>
          </w:p>
        </w:tc>
      </w:tr>
    </w:tbl>
    <w:p/>
    <w:p>
      <w:pPr>
        <w:pStyle w:val="Heading1"/>
      </w:pPr>
      <w:r>
        <w:t>3. Registro para ejecución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Ejecutor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Base/dispositivo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Enlace o captura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Incidencia</w:t>
            </w:r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/>
    <w:p>
      <w:r>
        <w:t>No se registran como ejecutadas las pruebas manuales de interfaz, PWA móvil ni validación con la organización. Completar la tabla durante QA y adjuntar capturas/resultados reales.</w:t>
      </w:r>
    </w:p>
    <w:p>
      <w:pPr>
        <w:pStyle w:val="Heading1"/>
      </w:pPr>
      <w:r>
        <w:t>4. Evidencia de ejecución en la base de trabajo</w:t>
      </w:r>
    </w:p>
    <w:p>
      <w:r>
        <w:t>La base capstone ya contiene registros de muestra identificados explícitamente con el prefijo DEMO. Los nombres, patentes, kilometrajes, fallas y costos son ficticios y se utilizan únicamente para visualizar y probar el flujo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Evidencia</w:t>
            </w:r>
          </w:p>
        </w:tc>
        <w:tc>
          <w:tcPr>
            <w:tcW w:type="dxa" w:w="5112"/>
          </w:tcPr>
          <w:p>
            <w:r>
              <w:t>Resultado en capstone</w:t>
            </w:r>
          </w:p>
        </w:tc>
      </w:tr>
      <w:tr>
        <w:tc>
          <w:tcPr>
            <w:tcW w:type="dxa" w:w="5112"/>
          </w:tcPr>
          <w:p>
            <w:r>
              <w:t>Compañías y flota</w:t>
            </w:r>
          </w:p>
        </w:tc>
        <w:tc>
          <w:tcPr>
            <w:tcW w:type="dxa" w:w="5112"/>
          </w:tcPr>
          <w:p>
            <w:r>
              <w:t>2 compañías y 5 vehículos DEMO con lecturas de kilometraje.</w:t>
            </w:r>
          </w:p>
        </w:tc>
      </w:tr>
      <w:tr>
        <w:tc>
          <w:tcPr>
            <w:tcW w:type="dxa" w:w="5112"/>
          </w:tcPr>
          <w:p>
            <w:r>
              <w:t>Órdenes</w:t>
            </w:r>
          </w:p>
        </w:tc>
        <w:tc>
          <w:tcPr>
            <w:tcW w:type="dxa" w:w="5112"/>
          </w:tcPr>
          <w:p>
            <w:r>
              <w:t>5 órdenes repartidas en Borrador, Programada, En ejecución, En revisión y Cerrada.</w:t>
            </w:r>
          </w:p>
        </w:tc>
      </w:tr>
      <w:tr>
        <w:tc>
          <w:tcPr>
            <w:tcW w:type="dxa" w:w="5112"/>
          </w:tcPr>
          <w:p>
            <w:r>
              <w:t>Perfiles</w:t>
            </w:r>
          </w:p>
        </w:tc>
        <w:tc>
          <w:tcPr>
            <w:tcW w:type="dxa" w:w="5112"/>
          </w:tcPr>
          <w:p>
            <w:r>
              <w:t>4 usuarios de muestra con los roles Administrador, Jefe de flota, Técnico y Bombero consultor; las cuentas no tienen contraseña configurada.</w:t>
            </w:r>
          </w:p>
        </w:tc>
      </w:tr>
      <w:tr>
        <w:tc>
          <w:tcPr>
            <w:tcW w:type="dxa" w:w="5112"/>
          </w:tcPr>
          <w:p>
            <w:r>
              <w:t>Avisos</w:t>
            </w:r>
          </w:p>
        </w:tc>
        <w:tc>
          <w:tcPr>
            <w:tcW w:type="dxa" w:w="5112"/>
          </w:tcPr>
          <w:p>
            <w:r>
              <w:t>2 avisos activos de muestra: mantención próxima y orden pendiente de revisión.</w:t>
            </w:r>
          </w:p>
        </w:tc>
      </w:tr>
      <w:tr>
        <w:tc>
          <w:tcPr>
            <w:tcW w:type="dxa" w:w="5112"/>
          </w:tcPr>
          <w:p>
            <w:r>
              <w:t>Suite automatizada</w:t>
            </w:r>
          </w:p>
        </w:tc>
        <w:tc>
          <w:tcPr>
            <w:tcW w:type="dxa" w:w="5112"/>
          </w:tcPr>
          <w:p>
            <w:r>
              <w:t>9 pruebas aprobadas, 0 fallas y 0 errores en la base capstone.</w:t>
            </w:r>
          </w:p>
        </w:tc>
      </w:tr>
      <w:tr>
        <w:tc>
          <w:tcPr>
            <w:tcW w:type="dxa" w:w="5112"/>
          </w:tcPr>
          <w:p>
            <w:r>
              <w:t>Aplicaciones estándar</w:t>
            </w:r>
          </w:p>
        </w:tc>
        <w:tc>
          <w:tcPr>
            <w:tcW w:type="dxa" w:w="5112"/>
          </w:tcPr>
          <w:p>
            <w:r>
              <w:t>fleet, maintenance y stock permanecen desinstaladas; se usan los tres addons propios.</w:t>
            </w:r>
          </w:p>
        </w:tc>
      </w:tr>
      <w:tr>
        <w:tc>
          <w:tcPr>
            <w:tcW w:type="dxa" w:w="5112"/>
          </w:tcPr>
          <w:p>
            <w:r>
              <w:t>Capturas y presentación</w:t>
            </w:r>
          </w:p>
        </w:tc>
        <w:tc>
          <w:tcPr>
            <w:tcW w:type="dxa" w:w="5112"/>
          </w:tcPr>
          <w:p>
            <w:r>
              <w:t>Capturas reales en ./Capturas/ y recorrido explicativo en ./Presentacion_Demo_Flota_Bomberos.pptx.</w:t>
            </w:r>
          </w:p>
        </w:tc>
      </w:tr>
    </w:tbl>
    <w:p>
      <w:r>
        <w:t>Alcance pendiente: no se inició sesión con cada uno de los cuatro usuarios de muestra porque no se configuraron contraseñas; la matriz de grupos y la restricción por compañía sí están cubiertas por pruebas automatizadas. La validación presencial con Bomberos, PWA en teléfonos reales y aceptación operativa continúa pendiente y no se presenta como realizada.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