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1F4E79"/>
          <w:sz w:val="42"/>
          <w:szCs w:val="42"/>
        </w:rPr>
        <w:t xml:space="preserve">Must Learn CodeQL</w:t>
      </w:r>
    </w:p>
    <w:p>
      <w:pPr>
        <w:spacing w:after="100"/>
        <w:jc w:val="center"/>
      </w:pPr>
      <w:r>
        <w:rPr>
          <w:i/>
          <w:iCs/>
          <w:color w:val="5B9BD5"/>
          <w:sz w:val="20"/>
          <w:szCs w:val="20"/>
        </w:rPr>
        <w:t xml:space="preserve">A Practical Guide to Semantic Code Analysis</w:t>
      </w:r>
    </w:p>
    <w:p>
      <w:pPr>
        <w:jc w:val="center"/>
      </w:pPr>
      <w:r>
        <w:rPr>
          <w:sz w:val="18"/>
          <w:szCs w:val="18"/>
        </w:rPr>
        <w:t xml:space="preserve">Rod Trent • 2026</w:t>
      </w:r>
    </w:p>
    <w:p>
      <w:pPr>
        <w:spacing w:before="40"/>
        <w:jc w:val="center"/>
      </w:pPr>
      <w:hyperlink w:history="1" r:id="rIdj4qcyd7ntp-wbt7ggyu77">
        <w:r>
          <w:rPr>
            <w:rStyle w:val="Hyperlink"/>
          </w:rPr>
          <w:t xml:space="preserve">github.com/rod-trent/MustLearnCodeQL</w:t>
        </w:r>
      </w:hyperlink>
    </w:p>
    <w:p>
      <w:pPr>
        <w:pStyle w:val="Heading1"/>
        <w:pageBreakBefore/>
      </w:pPr>
      <w:bookmarkStart w:name="_Toc1" w:id="1"/>
      <w:r>
        <w:t xml:space="preserve">Contents</w:t>
      </w:r>
      <w:bookmarkEnd w:id="1"/>
    </w:p>
    <w:sdt>
      <w:sdtPr>
        <w:alias w:val="Table of Contents"/>
      </w:sdtPr>
      <w:sdtContent>
        <w:p>
          <w:pPr>
            <w:pStyle w:val="TOC1"/>
            <w:tabs>
              <w:tab w:val="right" w:pos="9648" w:leader="dot"/>
            </w:tabs>
          </w:pPr>
          <w:r>
            <w:fldChar w:fldCharType="begin" w:dirty="true"/>
            <w:instrText xml:space="preserve">TOC \h \o "1-2"</w:instrText>
            <w:fldChar w:fldCharType="separate"/>
          </w:r>
          <w:hyperlink w:history="1" w:anchor="_Toc1">
            <w:r>
              <w:t xml:space="preserve">Contents</w:t>
            </w:r>
            <w:r>
              <w:tab/>
            </w:r>
            <w:r>
              <w:fldChar w:fldCharType="begin" w:dirty="true"/>
              <w:instrText xml:space="preserve">PAGEREF _Toc1 \h</w:instrText>
              <w:fldChar w:fldCharType="separate"/>
              <w:fldChar w:fldCharType="end"/>
            </w:r>
          </w:hyperlink>
        </w:p>
        <w:p>
          <w:pPr>
            <w:pStyle w:val="TOC1"/>
            <w:tabs>
              <w:tab w:val="right" w:pos="9648" w:leader="dot"/>
            </w:tabs>
          </w:pPr>
          <w:hyperlink w:history="1" w:anchor="_Toc2">
            <w:r>
              <w:t xml:space="preserve">How to Use This Book</w:t>
            </w:r>
            <w:r>
              <w:tab/>
            </w:r>
            <w:r>
              <w:fldChar w:fldCharType="begin" w:dirty="true"/>
              <w:instrText xml:space="preserve">PAGEREF _Toc2 \h</w:instrText>
              <w:fldChar w:fldCharType="separate"/>
              <w:fldChar w:fldCharType="end"/>
            </w:r>
          </w:hyperlink>
        </w:p>
        <w:p>
          <w:pPr>
            <w:pStyle w:val="TOC1"/>
            <w:tabs>
              <w:tab w:val="right" w:pos="9648" w:leader="dot"/>
            </w:tabs>
          </w:pPr>
          <w:hyperlink w:history="1" w:anchor="_Toc3">
            <w:r>
              <w:t xml:space="preserve">Prior Chapters</w:t>
            </w:r>
            <w:r>
              <w:tab/>
            </w:r>
            <w:r>
              <w:fldChar w:fldCharType="begin" w:dirty="true"/>
              <w:instrText xml:space="preserve">PAGEREF _Toc3 \h</w:instrText>
              <w:fldChar w:fldCharType="separate"/>
              <w:fldChar w:fldCharType="end"/>
            </w:r>
          </w:hyperlink>
        </w:p>
        <w:p>
          <w:pPr>
            <w:pStyle w:val="TOC1"/>
            <w:tabs>
              <w:tab w:val="right" w:pos="9648" w:leader="dot"/>
            </w:tabs>
          </w:pPr>
          <w:hyperlink w:history="1" w:anchor="_Toc4">
            <w:r>
              <w:t xml:space="preserve">Chapter 12: Integrating CodeQL into Development Workflows</w:t>
            </w:r>
            <w:r>
              <w:tab/>
            </w:r>
            <w:r>
              <w:fldChar w:fldCharType="begin" w:dirty="true"/>
              <w:instrText xml:space="preserve">PAGEREF _Toc4 \h</w:instrText>
              <w:fldChar w:fldCharType="separate"/>
              <w:fldChar w:fldCharType="end"/>
            </w:r>
          </w:hyperlink>
        </w:p>
        <w:p>
          <w:pPr>
            <w:pStyle w:val="TOC2"/>
            <w:tabs>
              <w:tab w:val="right" w:pos="9648" w:leader="dot"/>
            </w:tabs>
            <w:ind w:left="220"/>
          </w:pPr>
          <w:hyperlink w:history="1" w:anchor="_Toc5">
            <w:r>
              <w:t xml:space="preserve">Why CI Integration Matters</w:t>
            </w:r>
            <w:r>
              <w:tab/>
            </w:r>
            <w:r>
              <w:fldChar w:fldCharType="begin" w:dirty="true"/>
              <w:instrText xml:space="preserve">PAGEREF _Toc5 \h</w:instrText>
              <w:fldChar w:fldCharType="separate"/>
              <w:fldChar w:fldCharType="end"/>
            </w:r>
          </w:hyperlink>
        </w:p>
        <w:p>
          <w:pPr>
            <w:pStyle w:val="TOC2"/>
            <w:tabs>
              <w:tab w:val="right" w:pos="9648" w:leader="dot"/>
            </w:tabs>
            <w:ind w:left="220"/>
          </w:pPr>
          <w:hyperlink w:history="1" w:anchor="_Toc6">
            <w:r>
              <w:t xml:space="preserve">GitHub Code Scanning and the CodeQL Action</w:t>
            </w:r>
            <w:r>
              <w:tab/>
            </w:r>
            <w:r>
              <w:fldChar w:fldCharType="begin" w:dirty="true"/>
              <w:instrText xml:space="preserve">PAGEREF _Toc6 \h</w:instrText>
              <w:fldChar w:fldCharType="separate"/>
              <w:fldChar w:fldCharType="end"/>
            </w:r>
          </w:hyperlink>
        </w:p>
        <w:p>
          <w:pPr>
            <w:pStyle w:val="TOC2"/>
            <w:tabs>
              <w:tab w:val="right" w:pos="9648" w:leader="dot"/>
            </w:tabs>
            <w:ind w:left="220"/>
          </w:pPr>
          <w:hyperlink w:history="1" w:anchor="_Toc7">
            <w:r>
              <w:t xml:space="preserve">Minimal Workflow Sketch</w:t>
            </w:r>
            <w:r>
              <w:tab/>
            </w:r>
            <w:r>
              <w:fldChar w:fldCharType="begin" w:dirty="true"/>
              <w:instrText xml:space="preserve">PAGEREF _Toc7 \h</w:instrText>
              <w:fldChar w:fldCharType="separate"/>
              <w:fldChar w:fldCharType="end"/>
            </w:r>
          </w:hyperlink>
        </w:p>
        <w:p>
          <w:pPr>
            <w:pStyle w:val="TOC2"/>
            <w:tabs>
              <w:tab w:val="right" w:pos="9648" w:leader="dot"/>
            </w:tabs>
            <w:ind w:left="220"/>
          </w:pPr>
          <w:hyperlink w:history="1" w:anchor="_Toc8">
            <w:r>
              <w:t xml:space="preserve">Other Continuous Integration Systems</w:t>
            </w:r>
            <w:r>
              <w:tab/>
            </w:r>
            <w:r>
              <w:fldChar w:fldCharType="begin" w:dirty="true"/>
              <w:instrText xml:space="preserve">PAGEREF _Toc8 \h</w:instrText>
              <w:fldChar w:fldCharType="separate"/>
              <w:fldChar w:fldCharType="end"/>
            </w:r>
          </w:hyperlink>
        </w:p>
        <w:p>
          <w:pPr>
            <w:pStyle w:val="TOC2"/>
            <w:tabs>
              <w:tab w:val="right" w:pos="9648" w:leader="dot"/>
            </w:tabs>
            <w:ind w:left="220"/>
          </w:pPr>
          <w:hyperlink w:history="1" w:anchor="_Toc9">
            <w:r>
              <w:t xml:space="preserve">Multi-Repository Variant Analysis</w:t>
            </w:r>
            <w:r>
              <w:tab/>
            </w:r>
            <w:r>
              <w:fldChar w:fldCharType="begin" w:dirty="true"/>
              <w:instrText xml:space="preserve">PAGEREF _Toc9 \h</w:instrText>
              <w:fldChar w:fldCharType="separate"/>
              <w:fldChar w:fldCharType="end"/>
            </w:r>
          </w:hyperlink>
        </w:p>
        <w:p>
          <w:pPr>
            <w:pStyle w:val="TOC2"/>
            <w:tabs>
              <w:tab w:val="right" w:pos="9648" w:leader="dot"/>
            </w:tabs>
            <w:ind w:left="220"/>
          </w:pPr>
          <w:hyperlink w:history="1" w:anchor="_Toc10">
            <w:r>
              <w:t xml:space="preserve">Rollout Practices</w:t>
            </w:r>
            <w:r>
              <w:tab/>
            </w:r>
            <w:r>
              <w:fldChar w:fldCharType="begin" w:dirty="true"/>
              <w:instrText xml:space="preserve">PAGEREF _Toc10 \h</w:instrText>
              <w:fldChar w:fldCharType="separate"/>
              <w:fldChar w:fldCharType="end"/>
            </w:r>
          </w:hyperlink>
        </w:p>
        <w:p>
          <w:pPr>
            <w:pStyle w:val="TOC2"/>
            <w:tabs>
              <w:tab w:val="right" w:pos="9648" w:leader="dot"/>
            </w:tabs>
            <w:ind w:left="220"/>
          </w:pPr>
          <w:hyperlink w:history="1" w:anchor="_Toc11">
            <w:r>
              <w:t xml:space="preserve">Common Integration Pitfalls</w:t>
            </w:r>
            <w:r>
              <w:tab/>
            </w:r>
            <w:r>
              <w:fldChar w:fldCharType="begin" w:dirty="true"/>
              <w:instrText xml:space="preserve">PAGEREF _Toc11 \h</w:instrText>
              <w:fldChar w:fldCharType="separate"/>
              <w:fldChar w:fldCharType="end"/>
            </w:r>
          </w:hyperlink>
        </w:p>
        <w:p>
          <w:pPr>
            <w:pStyle w:val="TOC1"/>
            <w:tabs>
              <w:tab w:val="right" w:pos="9648" w:leader="dot"/>
            </w:tabs>
          </w:pPr>
          <w:hyperlink w:history="1" w:anchor="_Toc12">
            <w:r>
              <w:t xml:space="preserve">Chapter 13: Performance and Debugging</w:t>
            </w:r>
            <w:r>
              <w:tab/>
            </w:r>
            <w:r>
              <w:fldChar w:fldCharType="begin" w:dirty="true"/>
              <w:instrText xml:space="preserve">PAGEREF _Toc12 \h</w:instrText>
              <w:fldChar w:fldCharType="separate"/>
              <w:fldChar w:fldCharType="end"/>
            </w:r>
          </w:hyperlink>
        </w:p>
        <w:p>
          <w:pPr>
            <w:pStyle w:val="TOC1"/>
            <w:tabs>
              <w:tab w:val="right" w:pos="9648" w:leader="dot"/>
            </w:tabs>
          </w:pPr>
          <w:hyperlink w:history="1" w:anchor="_Toc13">
            <w:r>
              <w:t xml:space="preserve">Chapter 14: Case Studies</w:t>
            </w:r>
            <w:r>
              <w:tab/>
            </w:r>
            <w:r>
              <w:fldChar w:fldCharType="begin" w:dirty="true"/>
              <w:instrText xml:space="preserve">PAGEREF _Toc13 \h</w:instrText>
              <w:fldChar w:fldCharType="separate"/>
              <w:fldChar w:fldCharType="end"/>
            </w:r>
          </w:hyperlink>
        </w:p>
        <w:p>
          <w:pPr>
            <w:pStyle w:val="TOC1"/>
            <w:tabs>
              <w:tab w:val="right" w:pos="9648" w:leader="dot"/>
            </w:tabs>
          </w:pPr>
          <w:hyperlink w:history="1" w:anchor="_Toc14">
            <w:r>
              <w:t xml:space="preserve">Chapter 15: Best Practices</w:t>
            </w:r>
            <w:r>
              <w:tab/>
            </w:r>
            <w:r>
              <w:fldChar w:fldCharType="begin" w:dirty="true"/>
              <w:instrText xml:space="preserve">PAGEREF _Toc14 \h</w:instrText>
              <w:fldChar w:fldCharType="separate"/>
              <w:fldChar w:fldCharType="end"/>
            </w:r>
          </w:hyperlink>
        </w:p>
        <w:p>
          <w:pPr>
            <w:pStyle w:val="TOC1"/>
            <w:tabs>
              <w:tab w:val="right" w:pos="9648" w:leader="dot"/>
            </w:tabs>
          </w:pPr>
          <w:hyperlink w:history="1" w:anchor="_Toc15">
            <w:r>
              <w:t xml:space="preserve">Appendix</w:t>
            </w:r>
            <w:r>
              <w:tab/>
            </w:r>
            <w:r>
              <w:fldChar w:fldCharType="begin" w:dirty="true"/>
              <w:instrText xml:space="preserve">PAGEREF _Toc15 \h</w:instrText>
              <w:fldChar w:fldCharType="separate"/>
              <w:fldChar w:fldCharType="end"/>
            </w:r>
          </w:hyperlink>
        </w:p>
        <w:p>
          <w:r>
            <w:fldChar w:fldCharType="end"/>
          </w:r>
        </w:p>
      </w:sdtContent>
    </w:sdt>
    <w:p>
      <w:pPr>
        <w:pStyle w:val="Heading1"/>
        <w:pageBreakBefore/>
      </w:pPr>
      <w:bookmarkStart w:name="_Toc2" w:id="2"/>
      <w:r>
        <w:t xml:space="preserve">How to Use This Book</w:t>
      </w:r>
      <w:bookmarkEnd w:id="2"/>
    </w:p>
    <w:p>
      <w:pPr>
        <w:spacing w:after="90" w:line="276"/>
      </w:pPr>
      <w:r>
        <w:rPr>
          <w:sz w:val="22"/>
          <w:szCs w:val="22"/>
        </w:rPr>
        <w:t xml:space="preserve">Chapter 12 on CI integration has been expanded. The sample workflow is in examples/chapter12/codeql-analysis.yml.</w:t>
      </w:r>
    </w:p>
    <w:p>
      <w:pPr>
        <w:pStyle w:val="Heading1"/>
        <w:pageBreakBefore/>
      </w:pPr>
      <w:bookmarkStart w:name="_Toc3" w:id="3"/>
      <w:r>
        <w:t xml:space="preserve">Prior Chapters</w:t>
      </w:r>
      <w:bookmarkEnd w:id="3"/>
    </w:p>
    <w:p>
      <w:pPr>
        <w:spacing w:after="90" w:line="276"/>
      </w:pPr>
      <w:r>
        <w:rPr>
          <w:sz w:val="22"/>
          <w:szCs w:val="22"/>
        </w:rPr>
        <w:t xml:space="preserve">Chapters 1–11 cover fundamentals through packaging: databases, QL, data flow, taint tracking, library extension, packs, suites, and metadata. This chapter shows how to run those packs automatically.</w:t>
      </w:r>
    </w:p>
    <w:p>
      <w:pPr>
        <w:pStyle w:val="Heading1"/>
        <w:pageBreakBefore/>
      </w:pPr>
      <w:bookmarkStart w:name="_Toc4" w:id="4"/>
      <w:r>
        <w:t xml:space="preserve">Chapter 12: Integrating CodeQL into Development Workflows</w:t>
      </w:r>
      <w:bookmarkEnd w:id="4"/>
    </w:p>
    <w:p>
      <w:pPr>
        <w:pStyle w:val="Heading2"/>
      </w:pPr>
      <w:bookmarkStart w:name="_Toc5" w:id="5"/>
      <w:r>
        <w:t xml:space="preserve">Why CI Integration Matters</w:t>
      </w:r>
      <w:bookmarkEnd w:id="5"/>
    </w:p>
    <w:p>
      <w:pPr>
        <w:spacing w:after="90" w:line="276"/>
      </w:pPr>
      <w:r>
        <w:rPr>
          <w:sz w:val="22"/>
          <w:szCs w:val="22"/>
        </w:rPr>
        <w:t xml:space="preserve">A query that is run only by hand protects nothing after the first week. Embedding CodeQL in continuous integration turns every pull request into an opportunity to catch regressions and new variants of known issues. Alerts appear where developers already work, with paths and severity, so triage is immediate.</w:t>
      </w:r>
    </w:p>
    <w:p>
      <w:pPr>
        <w:pStyle w:val="Heading2"/>
      </w:pPr>
      <w:bookmarkStart w:name="_Toc6" w:id="6"/>
      <w:r>
        <w:t xml:space="preserve">GitHub Code Scanning and the CodeQL Action</w:t>
      </w:r>
      <w:bookmarkEnd w:id="6"/>
    </w:p>
    <w:p>
      <w:pPr>
        <w:spacing w:after="90" w:line="276"/>
      </w:pPr>
      <w:r>
        <w:rPr>
          <w:sz w:val="22"/>
          <w:szCs w:val="22"/>
        </w:rPr>
        <w:t xml:space="preserve">The most common setup uses the official CodeQL GitHub Action. The workflow checks out the repository, initializes CodeQL for the desired languages, optionally builds the project, runs the selected queries or suite, and uploads the SARIF results. Alerts then appear in the repository Security tab and as pull-request comments.</w:t>
      </w:r>
    </w:p>
    <w:p>
      <w:pPr>
        <w:spacing w:after="90" w:line="276"/>
      </w:pPr>
      <w:r>
        <w:rPr>
          <w:sz w:val="22"/>
          <w:szCs w:val="22"/>
        </w:rPr>
        <w:t xml:space="preserve">A complete, adaptable workflow is provided at examples/chapter12/codeql-analysis.yml. Key points you will customize:</w:t>
      </w:r>
    </w:p>
    <w:p>
      <w:pPr>
        <w:spacing w:after="90" w:line="276"/>
      </w:pPr>
      <w:r>
        <w:rPr>
          <w:sz w:val="22"/>
          <w:szCs w:val="22"/>
        </w:rPr>
        <w:t xml:space="preserve">• Language matrix (javascript, python, java, cpp, etc.)</w:t>
      </w:r>
    </w:p>
    <w:p>
      <w:pPr>
        <w:spacing w:after="90" w:line="276"/>
      </w:pPr>
      <w:r>
        <w:rPr>
          <w:sz w:val="22"/>
          <w:szCs w:val="22"/>
        </w:rPr>
        <w:t xml:space="preserve">• Queries or packs/suites to run (built-in security-extended or your own pack)</w:t>
      </w:r>
    </w:p>
    <w:p>
      <w:pPr>
        <w:spacing w:after="90" w:line="276"/>
      </w:pPr>
      <w:r>
        <w:rPr>
          <w:sz w:val="22"/>
          <w:szCs w:val="22"/>
        </w:rPr>
        <w:t xml:space="preserve">• Build mode or explicit build command for compiled languages</w:t>
      </w:r>
    </w:p>
    <w:p>
      <w:pPr>
        <w:spacing w:after="90" w:line="276"/>
      </w:pPr>
      <w:r>
        <w:rPr>
          <w:sz w:val="22"/>
          <w:szCs w:val="22"/>
        </w:rPr>
        <w:t xml:space="preserve">• Paths to ignore (generated code, vendored dependencies)</w:t>
      </w:r>
    </w:p>
    <w:p>
      <w:pPr>
        <w:spacing w:after="90" w:line="276"/>
      </w:pPr>
      <w:r>
        <w:rPr>
          <w:sz w:val="22"/>
          <w:szCs w:val="22"/>
        </w:rPr>
        <w:t xml:space="preserve">• Permissions required for security-events: write</w:t>
      </w:r>
    </w:p>
    <w:p>
      <w:pPr>
        <w:pStyle w:val="Heading2"/>
      </w:pPr>
      <w:bookmarkStart w:name="_Toc7" w:id="7"/>
      <w:r>
        <w:t xml:space="preserve">Minimal Workflow Sketch</w:t>
      </w:r>
      <w:bookmarkEnd w:id="7"/>
    </w:p>
    <w:p>
      <w:pPr>
        <w:spacing w:after="15" w:before="50"/>
      </w:pPr>
    </w:p>
    <w:p>
      <w:pPr>
        <w:pBdr>
          <w:left w:val="single" w:color="2E75B6" w:sz="12" w:space="6"/>
        </w:pBdr>
        <w:shd w:fill="F7F9FC" w:val="clear"/>
        <w:spacing w:after="0" w:line="240"/>
        <w:ind w:left="320"/>
      </w:pPr>
      <w:r>
        <w:rPr>
          <w:rFonts w:ascii="Consolas" w:cs="Consolas" w:eastAsia="Consolas" w:hAnsi="Consolas"/>
          <w:color w:val="1E293B"/>
          <w:sz w:val="18"/>
          <w:szCs w:val="18"/>
        </w:rPr>
        <w:t xml:space="preserve">name: CodeQL</w:t>
      </w:r>
    </w:p>
    <w:p>
      <w:pPr>
        <w:pBdr>
          <w:left w:val="single" w:color="2E75B6" w:sz="12" w:space="6"/>
        </w:pBdr>
        <w:shd w:fill="F7F9FC" w:val="clear"/>
        <w:spacing w:after="0" w:line="240"/>
        <w:ind w:left="320"/>
      </w:pPr>
      <w:r>
        <w:rPr>
          <w:rFonts w:ascii="Consolas" w:cs="Consolas" w:eastAsia="Consolas" w:hAnsi="Consolas"/>
          <w:color w:val="1E293B"/>
          <w:sz w:val="18"/>
          <w:szCs w:val="18"/>
        </w:rPr>
        <w:t xml:space="preserve">on:</w:t>
      </w:r>
    </w:p>
    <w:p>
      <w:pPr>
        <w:pBdr>
          <w:left w:val="single" w:color="2E75B6" w:sz="12" w:space="6"/>
        </w:pBdr>
        <w:shd w:fill="F7F9FC" w:val="clear"/>
        <w:spacing w:after="0" w:line="240"/>
        <w:ind w:left="320"/>
      </w:pPr>
      <w:r>
        <w:rPr>
          <w:rFonts w:ascii="Consolas" w:cs="Consolas" w:eastAsia="Consolas" w:hAnsi="Consolas"/>
          <w:color w:val="1E293B"/>
          <w:sz w:val="18"/>
          <w:szCs w:val="18"/>
        </w:rPr>
        <w:t xml:space="preserve">  push:</w:t>
      </w:r>
    </w:p>
    <w:p>
      <w:pPr>
        <w:pBdr>
          <w:left w:val="single" w:color="2E75B6" w:sz="12" w:space="6"/>
        </w:pBdr>
        <w:shd w:fill="F7F9FC" w:val="clear"/>
        <w:spacing w:after="0" w:line="240"/>
        <w:ind w:left="320"/>
      </w:pPr>
      <w:r>
        <w:rPr>
          <w:rFonts w:ascii="Consolas" w:cs="Consolas" w:eastAsia="Consolas" w:hAnsi="Consolas"/>
          <w:color w:val="1E293B"/>
          <w:sz w:val="18"/>
          <w:szCs w:val="18"/>
        </w:rPr>
        <w:t xml:space="preserve">    branches: [ main ]</w:t>
      </w:r>
    </w:p>
    <w:p>
      <w:pPr>
        <w:pBdr>
          <w:left w:val="single" w:color="2E75B6" w:sz="12" w:space="6"/>
        </w:pBdr>
        <w:shd w:fill="F7F9FC" w:val="clear"/>
        <w:spacing w:after="0" w:line="240"/>
        <w:ind w:left="320"/>
      </w:pPr>
      <w:r>
        <w:rPr>
          <w:rFonts w:ascii="Consolas" w:cs="Consolas" w:eastAsia="Consolas" w:hAnsi="Consolas"/>
          <w:color w:val="1E293B"/>
          <w:sz w:val="18"/>
          <w:szCs w:val="18"/>
        </w:rPr>
        <w:t xml:space="preserve">  pull_request:</w:t>
      </w:r>
    </w:p>
    <w:p>
      <w:pPr>
        <w:pBdr>
          <w:left w:val="single" w:color="2E75B6" w:sz="12" w:space="6"/>
        </w:pBdr>
        <w:shd w:fill="F7F9FC" w:val="clear"/>
        <w:spacing w:after="0" w:line="240"/>
        <w:ind w:left="320"/>
      </w:pPr>
      <w:r>
        <w:rPr>
          <w:rFonts w:ascii="Consolas" w:cs="Consolas" w:eastAsia="Consolas" w:hAnsi="Consolas"/>
          <w:color w:val="1E293B"/>
          <w:sz w:val="18"/>
          <w:szCs w:val="18"/>
        </w:rPr>
        <w:t xml:space="preserve">jobs:</w:t>
      </w:r>
    </w:p>
    <w:p>
      <w:pPr>
        <w:pBdr>
          <w:left w:val="single" w:color="2E75B6" w:sz="12" w:space="6"/>
        </w:pBdr>
        <w:shd w:fill="F7F9FC" w:val="clear"/>
        <w:spacing w:after="0" w:line="240"/>
        <w:ind w:left="320"/>
      </w:pPr>
      <w:r>
        <w:rPr>
          <w:rFonts w:ascii="Consolas" w:cs="Consolas" w:eastAsia="Consolas" w:hAnsi="Consolas"/>
          <w:color w:val="1E293B"/>
          <w:sz w:val="18"/>
          <w:szCs w:val="18"/>
        </w:rPr>
        <w:t xml:space="preserve">  analyze:</w:t>
      </w:r>
    </w:p>
    <w:p>
      <w:pPr>
        <w:pBdr>
          <w:left w:val="single" w:color="2E75B6" w:sz="12" w:space="6"/>
        </w:pBdr>
        <w:shd w:fill="F7F9FC" w:val="clear"/>
        <w:spacing w:after="0" w:line="240"/>
        <w:ind w:left="320"/>
      </w:pPr>
      <w:r>
        <w:rPr>
          <w:rFonts w:ascii="Consolas" w:cs="Consolas" w:eastAsia="Consolas" w:hAnsi="Consolas"/>
          <w:color w:val="1E293B"/>
          <w:sz w:val="18"/>
          <w:szCs w:val="18"/>
        </w:rPr>
        <w:t xml:space="preserve">    runs-on: ubuntu-latest</w:t>
      </w:r>
    </w:p>
    <w:p>
      <w:pPr>
        <w:pBdr>
          <w:left w:val="single" w:color="2E75B6" w:sz="12" w:space="6"/>
        </w:pBdr>
        <w:shd w:fill="F7F9FC" w:val="clear"/>
        <w:spacing w:after="0" w:line="240"/>
        <w:ind w:left="320"/>
      </w:pPr>
      <w:r>
        <w:rPr>
          <w:rFonts w:ascii="Consolas" w:cs="Consolas" w:eastAsia="Consolas" w:hAnsi="Consolas"/>
          <w:color w:val="1E293B"/>
          <w:sz w:val="18"/>
          <w:szCs w:val="18"/>
        </w:rPr>
        <w:t xml:space="preserve">    permissions:</w:t>
      </w:r>
    </w:p>
    <w:p>
      <w:pPr>
        <w:pBdr>
          <w:left w:val="single" w:color="2E75B6" w:sz="12" w:space="6"/>
        </w:pBdr>
        <w:shd w:fill="F7F9FC" w:val="clear"/>
        <w:spacing w:after="0" w:line="240"/>
        <w:ind w:left="320"/>
      </w:pPr>
      <w:r>
        <w:rPr>
          <w:rFonts w:ascii="Consolas" w:cs="Consolas" w:eastAsia="Consolas" w:hAnsi="Consolas"/>
          <w:color w:val="1E293B"/>
          <w:sz w:val="18"/>
          <w:szCs w:val="18"/>
        </w:rPr>
        <w:t xml:space="preserve">      security-events: write</w:t>
      </w:r>
    </w:p>
    <w:p>
      <w:pPr>
        <w:pBdr>
          <w:left w:val="single" w:color="2E75B6" w:sz="12" w:space="6"/>
        </w:pBdr>
        <w:shd w:fill="F7F9FC" w:val="clear"/>
        <w:spacing w:after="0" w:line="240"/>
        <w:ind w:left="320"/>
      </w:pPr>
      <w:r>
        <w:rPr>
          <w:rFonts w:ascii="Consolas" w:cs="Consolas" w:eastAsia="Consolas" w:hAnsi="Consolas"/>
          <w:color w:val="1E293B"/>
          <w:sz w:val="18"/>
          <w:szCs w:val="18"/>
        </w:rPr>
        <w:t xml:space="preserve">    steps:</w:t>
      </w:r>
    </w:p>
    <w:p>
      <w:pPr>
        <w:pBdr>
          <w:left w:val="single" w:color="2E75B6" w:sz="12" w:space="6"/>
        </w:pBdr>
        <w:shd w:fill="F7F9FC" w:val="clear"/>
        <w:spacing w:after="0" w:line="240"/>
        <w:ind w:left="320"/>
      </w:pPr>
      <w:r>
        <w:rPr>
          <w:rFonts w:ascii="Consolas" w:cs="Consolas" w:eastAsia="Consolas" w:hAnsi="Consolas"/>
          <w:color w:val="1E293B"/>
          <w:sz w:val="18"/>
          <w:szCs w:val="18"/>
        </w:rPr>
        <w:t xml:space="preserve">      - uses: actions/checkout@v4</w:t>
      </w:r>
    </w:p>
    <w:p>
      <w:pPr>
        <w:pBdr>
          <w:left w:val="single" w:color="2E75B6" w:sz="12" w:space="6"/>
        </w:pBdr>
        <w:shd w:fill="F7F9FC" w:val="clear"/>
        <w:spacing w:after="0" w:line="240"/>
        <w:ind w:left="320"/>
      </w:pPr>
      <w:r>
        <w:rPr>
          <w:rFonts w:ascii="Consolas" w:cs="Consolas" w:eastAsia="Consolas" w:hAnsi="Consolas"/>
          <w:color w:val="1E293B"/>
          <w:sz w:val="18"/>
          <w:szCs w:val="18"/>
        </w:rPr>
        <w:t xml:space="preserve">      - uses: github/codeql-action/init@v3</w:t>
      </w:r>
    </w:p>
    <w:p>
      <w:pPr>
        <w:pBdr>
          <w:left w:val="single" w:color="2E75B6" w:sz="12" w:space="6"/>
        </w:pBdr>
        <w:shd w:fill="F7F9FC" w:val="clear"/>
        <w:spacing w:after="0" w:line="240"/>
        <w:ind w:left="320"/>
      </w:pPr>
      <w:r>
        <w:rPr>
          <w:rFonts w:ascii="Consolas" w:cs="Consolas" w:eastAsia="Consolas" w:hAnsi="Consolas"/>
          <w:color w:val="1E293B"/>
          <w:sz w:val="18"/>
          <w:szCs w:val="18"/>
        </w:rPr>
        <w:t xml:space="preserve">        with:</w:t>
      </w:r>
    </w:p>
    <w:p>
      <w:pPr>
        <w:pBdr>
          <w:left w:val="single" w:color="2E75B6" w:sz="12" w:space="6"/>
        </w:pBdr>
        <w:shd w:fill="F7F9FC" w:val="clear"/>
        <w:spacing w:after="0" w:line="240"/>
        <w:ind w:left="320"/>
      </w:pPr>
      <w:r>
        <w:rPr>
          <w:rFonts w:ascii="Consolas" w:cs="Consolas" w:eastAsia="Consolas" w:hAnsi="Consolas"/>
          <w:color w:val="1E293B"/>
          <w:sz w:val="18"/>
          <w:szCs w:val="18"/>
        </w:rPr>
        <w:t xml:space="preserve">          languages: javascript</w:t>
      </w:r>
    </w:p>
    <w:p>
      <w:pPr>
        <w:pBdr>
          <w:left w:val="single" w:color="2E75B6" w:sz="12" w:space="6"/>
        </w:pBdr>
        <w:shd w:fill="F7F9FC" w:val="clear"/>
        <w:spacing w:after="0" w:line="240"/>
        <w:ind w:left="320"/>
      </w:pPr>
      <w:r>
        <w:rPr>
          <w:rFonts w:ascii="Consolas" w:cs="Consolas" w:eastAsia="Consolas" w:hAnsi="Consolas"/>
          <w:color w:val="1E293B"/>
          <w:sz w:val="18"/>
          <w:szCs w:val="18"/>
        </w:rPr>
        <w:t xml:space="preserve">          queries: security-extended</w:t>
      </w:r>
    </w:p>
    <w:p>
      <w:pPr>
        <w:pBdr>
          <w:left w:val="single" w:color="2E75B6" w:sz="12" w:space="6"/>
        </w:pBdr>
        <w:shd w:fill="F7F9FC" w:val="clear"/>
        <w:spacing w:after="0" w:line="240"/>
        <w:ind w:left="320"/>
      </w:pPr>
      <w:r>
        <w:rPr>
          <w:rFonts w:ascii="Consolas" w:cs="Consolas" w:eastAsia="Consolas" w:hAnsi="Consolas"/>
          <w:color w:val="1E293B"/>
          <w:sz w:val="18"/>
          <w:szCs w:val="18"/>
        </w:rPr>
        <w:t xml:space="preserve">      - uses: github/codeql-action/analyze@v3</w:t>
      </w:r>
    </w:p>
    <w:p>
      <w:pPr>
        <w:spacing w:after="70" w:before="15"/>
      </w:pPr>
    </w:p>
    <w:p>
      <w:pPr>
        <w:spacing w:after="90" w:line="276"/>
      </w:pPr>
      <w:r>
        <w:rPr>
          <w:sz w:val="22"/>
          <w:szCs w:val="22"/>
        </w:rPr>
        <w:t xml:space="preserve">For a custom pack or suite, replace the queries value with a pack reference or a path to your .qls file. Compiled languages usually need an explicit build step between init and analyze, or a configured build mode.</w:t>
      </w:r>
    </w:p>
    <w:p>
      <w:pPr>
        <w:pStyle w:val="Heading2"/>
      </w:pPr>
      <w:bookmarkStart w:name="_Toc8" w:id="8"/>
      <w:r>
        <w:t xml:space="preserve">Other Continuous Integration Systems</w:t>
      </w:r>
      <w:bookmarkEnd w:id="8"/>
    </w:p>
    <w:p>
      <w:pPr>
        <w:spacing w:after="90" w:line="276"/>
      </w:pPr>
      <w:r>
        <w:rPr>
          <w:sz w:val="22"/>
          <w:szCs w:val="22"/>
        </w:rPr>
        <w:t xml:space="preserve">If you use Jenkins, Azure Pipelines, GitLab CI, or another system, download the CodeQL CLI bundle, create the database with the same commands shown in earlier chapters, run the queries or suite, and upload the resulting SARIF file to GitHub (via the API or the codeql github upload-results command). The packs, suites, and metadata you prepared in Chapter 11 work unchanged.</w:t>
      </w:r>
    </w:p>
    <w:p>
      <w:pPr>
        <w:pStyle w:val="Heading2"/>
      </w:pPr>
      <w:bookmarkStart w:name="_Toc9" w:id="9"/>
      <w:r>
        <w:t xml:space="preserve">Multi-Repository Variant Analysis</w:t>
      </w:r>
      <w:bookmarkEnd w:id="9"/>
    </w:p>
    <w:p>
      <w:pPr>
        <w:spacing w:after="90" w:line="276"/>
      </w:pPr>
      <w:r>
        <w:rPr>
          <w:sz w:val="22"/>
          <w:szCs w:val="22"/>
        </w:rPr>
        <w:t xml:space="preserve">For research or organization-wide hunting, multi-repository variant analysis (MRVA) runs a single query or suite against a large set of repositories. This is the same mechanism used by security researchers to discover new vulnerability variants at scale. Results can be exported and triaged centrally. MRVA complements per-repository CI: CI prevents regressions; MRVA finds historical and cross-repo instances.</w:t>
      </w:r>
    </w:p>
    <w:p>
      <w:pPr>
        <w:pStyle w:val="Heading2"/>
      </w:pPr>
      <w:bookmarkStart w:name="_Toc10" w:id="10"/>
      <w:r>
        <w:t xml:space="preserve">Rollout Practices</w:t>
      </w:r>
      <w:bookmarkEnd w:id="10"/>
    </w:p>
    <w:p>
      <w:pPr>
        <w:spacing w:after="90" w:line="276"/>
      </w:pPr>
      <w:r>
        <w:rPr>
          <w:sz w:val="22"/>
          <w:szCs w:val="22"/>
        </w:rPr>
        <w:t xml:space="preserve">Start with a single repository and the default security suite. Review the first set of alerts, add barriers or models for the noisiest false positives, then expand. When you introduce custom packs, pin their versions. Monitor alert volume and fix rate. Provide a short internal guide that explains how to read a path alert and how to request a model update when an internal framework is involved.</w:t>
      </w:r>
    </w:p>
    <w:p>
      <w:pPr>
        <w:pStyle w:val="Heading2"/>
      </w:pPr>
      <w:bookmarkStart w:name="_Toc11" w:id="11"/>
      <w:r>
        <w:t xml:space="preserve">Common Integration Pitfalls</w:t>
      </w:r>
      <w:bookmarkEnd w:id="11"/>
    </w:p>
    <w:p>
      <w:pPr>
        <w:spacing w:after="90" w:line="276"/>
      </w:pPr>
      <w:r>
        <w:rPr>
          <w:sz w:val="22"/>
          <w:szCs w:val="22"/>
        </w:rPr>
        <w:t xml:space="preserve">Missing security-events permission prevents upload. Forgetting the build step for compiled languages produces empty or incomplete databases. Pointing at the wrong suite silently runs too many or too few queries. Unpinned pack versions cause sudden alert changes after an upstream update. Generated or third-party code that is not excluded creates noise. Address these before enabling the workflow on many repositories.</w:t>
      </w:r>
    </w:p>
    <w:p>
      <w:pPr>
        <w:pStyle w:val="Heading1"/>
        <w:pageBreakBefore/>
      </w:pPr>
      <w:bookmarkStart w:name="_Toc12" w:id="12"/>
      <w:r>
        <w:t xml:space="preserve">Chapter 13: Performance and Debugging</w:t>
      </w:r>
      <w:bookmarkEnd w:id="12"/>
    </w:p>
    <w:p>
      <w:pPr>
        <w:spacing w:after="90" w:line="276"/>
      </w:pPr>
      <w:r>
        <w:rPr>
          <w:sz w:val="22"/>
          <w:szCs w:val="22"/>
        </w:rPr>
        <w:t xml:space="preserve">Precise predicates and partial-flow debugging keep CI runs fast and results trustworthy. See examples/chapter13/.</w:t>
      </w:r>
    </w:p>
    <w:p>
      <w:pPr>
        <w:pStyle w:val="Heading1"/>
        <w:pageBreakBefore/>
      </w:pPr>
      <w:bookmarkStart w:name="_Toc13" w:id="13"/>
      <w:r>
        <w:t xml:space="preserve">Chapter 14: Case Studies</w:t>
      </w:r>
      <w:bookmarkEnd w:id="13"/>
    </w:p>
    <w:p>
      <w:pPr>
        <w:spacing w:after="90" w:line="276"/>
      </w:pPr>
      <w:r>
        <w:rPr>
          <w:sz w:val="22"/>
          <w:szCs w:val="22"/>
        </w:rPr>
        <w:t xml:space="preserve">Published queries and examples/chapter14/ show patterns ready to place in the packs you run in CI.</w:t>
      </w:r>
    </w:p>
    <w:p>
      <w:pPr>
        <w:pStyle w:val="Heading1"/>
        <w:pageBreakBefore/>
      </w:pPr>
      <w:bookmarkStart w:name="_Toc14" w:id="14"/>
      <w:r>
        <w:t xml:space="preserve">Chapter 15: Best Practices</w:t>
      </w:r>
      <w:bookmarkEnd w:id="14"/>
    </w:p>
    <w:p>
      <w:pPr>
        <w:spacing w:after="90" w:line="276"/>
      </w:pPr>
      <w:r>
        <w:rPr>
          <w:sz w:val="22"/>
          <w:szCs w:val="22"/>
        </w:rPr>
        <w:t xml:space="preserve">Pin versions, test before enabling organization-wide, and keep models and queries in separate packs.</w:t>
      </w:r>
    </w:p>
    <w:p>
      <w:pPr>
        <w:pStyle w:val="Heading1"/>
        <w:pageBreakBefore/>
      </w:pPr>
      <w:bookmarkStart w:name="_Toc15" w:id="15"/>
      <w:r>
        <w:t xml:space="preserve">Appendix</w:t>
      </w:r>
      <w:bookmarkEnd w:id="15"/>
    </w:p>
    <w:p>
      <w:pPr>
        <w:spacing w:after="90" w:line="276"/>
      </w:pPr>
      <w:r>
        <w:rPr>
          <w:sz w:val="22"/>
          <w:szCs w:val="22"/>
        </w:rPr>
        <w:t xml:space="preserve">Sample workflow: examples/chapter12/codeql-analysis.yml. Official CodeQL Action documentation and https://codeql.github.com/docs/. Repository: https://github.com/rod-trent/MustLearnCodeQL.</w:t>
      </w:r>
    </w:p>
    <w:p>
      <w:pPr>
        <w:spacing w:before="160"/>
        <w:jc w:val="center"/>
      </w:pPr>
      <w:r>
        <w:rPr>
          <w:i/>
          <w:iCs/>
          <w:color w:val="666666"/>
          <w:sz w:val="18"/>
          <w:szCs w:val="18"/>
        </w:rPr>
        <w:t xml:space="preserve">End of Must Learn CodeQL</w:t>
      </w:r>
    </w:p>
    <w:sectPr>
      <w:headerReference w:type="default" r:id="rId6"/>
      <w:footerReference w:type="default" r:id="rId7"/>
      <w:pgSz w:w="12240" w:h="15840" w:orient="portrait"/>
      <w:pgMar w:top="1296" w:right="1296" w:bottom="1296" w:left="1296"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5E7EB" w:sz="6" w:space="1"/>
      </w:pBdr>
      <w:jc w:val="center"/>
    </w:pPr>
    <w:r>
      <w:rPr>
        <w:color w:val="6B7280"/>
        <w:sz w:val="18"/>
        <w:szCs w:val="18"/>
      </w:rPr>
      <w:t xml:space="preserve">Page </w:t>
    </w:r>
    <w:r>
      <w:rPr>
        <w:color w:val="6B7280"/>
        <w:sz w:val="18"/>
        <w:szCs w:val="18"/>
      </w:rPr>
      <w:fldChar w:fldCharType="begin"/>
      <w:instrText xml:space="preserve">PAGE</w:instrText>
      <w:fldChar w:fldCharType="separate"/>
      <w:fldChar w:fldCharType="end"/>
    </w:r>
    <w:r>
      <w:rPr>
        <w:color w:val="6B7280"/>
        <w:sz w:val="18"/>
        <w:szCs w:val="18"/>
      </w:rPr>
      <w:t xml:space="preserve">  ·  github.com/rod-trent/MustLearnCodeQL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5E7EB" w:sz="6" w:space="1"/>
      </w:pBdr>
      <w:jc w:val="right"/>
    </w:pPr>
    <w:r>
      <w:rPr>
        <w:i/>
        <w:iCs/>
        <w:color w:val="6B7280"/>
        <w:sz w:val="18"/>
        <w:szCs w:val="18"/>
      </w:rPr>
      <w:t xml:space="preserve">Must Learn CodeQL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120"/>
      <w:outlineLvl w:val="0"/>
    </w:pPr>
    <w:rPr>
      <w:rFonts w:ascii="Calibri" w:cs="Calibri" w:eastAsia="Calibri" w:hAnsi="Calibri"/>
      <w:b/>
      <w:bCs/>
      <w:color w:val="1F4E79"/>
      <w:sz w:val="32"/>
      <w:szCs w:val="32"/>
    </w:rPr>
  </w:style>
  <w:style w:type="paragraph" w:styleId="Heading2">
    <w:name w:val="Heading 2"/>
    <w:basedOn w:val="Normal"/>
    <w:next w:val="Normal"/>
    <w:qFormat/>
    <w:pPr>
      <w:spacing w:after="50" w:before="140"/>
      <w:outlineLvl w:val="1"/>
    </w:pPr>
    <w:rPr>
      <w:rFonts w:ascii="Calibri" w:cs="Calibri" w:eastAsia="Calibri" w:hAnsi="Calibri"/>
      <w:b/>
      <w:bCs/>
      <w:color w:val="2E75B6"/>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j4qcyd7ntp-wbt7ggyu77" Type="http://schemas.openxmlformats.org/officeDocument/2006/relationships/hyperlink" Target="https://github.com/rod-trent/MustLearnCodeQL"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2026-10-15T17:15:17.794Z</dcterms:created>
  <dcterms:modified xsi:type="dcterms:W3CDTF">2026-10-15T17:15:17.856Z</dcterms:modified>
</cp:coreProperties>
</file>

<file path=docProps/custom.xml><?xml version="1.0" encoding="utf-8"?>
<Properties xmlns="http://schemas.openxmlformats.org/officeDocument/2006/custom-properties" xmlns:vt="http://schemas.openxmlformats.org/officeDocument/2006/docPropsVTypes"/>
</file>