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Calibri" w:cs="Calibri" w:eastAsia="Calibri" w:hAnsi="Calibri"/>
          <w:b/>
          <w:bCs/>
          <w:color w:val="1F4E79"/>
          <w:sz w:val="56"/>
          <w:szCs w:val="56"/>
        </w:rPr>
        <w:t xml:space="preserve">Must Learn CodeQL</w:t>
      </w:r>
    </w:p>
    <w:p>
      <w:pPr>
        <w:spacing w:after="400" w:before="0"/>
        <w:jc w:val="center"/>
      </w:pPr>
      <w:r>
        <w:rPr>
          <w:rFonts w:ascii="Calibri" w:cs="Calibri" w:eastAsia="Calibri" w:hAnsi="Calibri"/>
          <w:i/>
          <w:iCs/>
          <w:color w:val="5B9BD5"/>
          <w:sz w:val="28"/>
          <w:szCs w:val="28"/>
        </w:rPr>
        <w:t xml:space="preserve">A Practical Guide to Semantic Code Analysis</w:t>
      </w:r>
    </w:p>
    <w:p>
      <w:pPr>
        <w:spacing w:after="80" w:before="200"/>
        <w:jc w:val="center"/>
      </w:pPr>
      <w:r>
        <w:rPr>
          <w:rFonts w:ascii="Calibri" w:cs="Calibri" w:eastAsia="Calibri" w:hAnsi="Calibri"/>
          <w:b/>
          <w:bCs/>
          <w:sz w:val="26"/>
          <w:szCs w:val="26"/>
        </w:rPr>
        <w:t xml:space="preserve">Rod Trent</w:t>
      </w:r>
    </w:p>
    <w:p>
      <w:pPr>
        <w:spacing w:after="400" w:before="0"/>
        <w:jc w:val="center"/>
      </w:pPr>
      <w:r>
        <w:rPr>
          <w:rFonts w:ascii="Calibri" w:cs="Calibri" w:eastAsia="Calibri" w:hAnsi="Calibri"/>
          <w:i/>
          <w:iCs/>
          <w:color w:val="666666"/>
          <w:sz w:val="22"/>
          <w:szCs w:val="22"/>
        </w:rPr>
        <w:t xml:space="preserve">2026</w:t>
      </w:r>
    </w:p>
    <w:p>
      <w:pPr>
        <w:spacing w:before="200"/>
        <w:jc w:val="center"/>
      </w:pPr>
      <w:hyperlink w:history="1" r:id="rId26jem_ropwfqaqamymkj0">
        <w:r>
          <w:rPr>
            <w:rStyle w:val="Hyperlink"/>
            <w:sz w:val="22"/>
            <w:szCs w:val="22"/>
          </w:rPr>
          <w:t xml:space="preserve">github.com/rod-trent/MustLearnCodeQL</w:t>
        </w:r>
      </w:hyperlink>
    </w:p>
    <w:p>
      <w:pPr>
        <w:pStyle w:val="Heading1"/>
        <w:pageBreakBefore/>
        <w:spacing w:after="200" w:before="0"/>
      </w:pPr>
      <w:bookmarkStart w:name="_Toc1" w:id="1"/>
      <w:r>
        <w:rPr>
          <w:rFonts w:ascii="Calibri" w:cs="Calibri" w:eastAsia="Calibri" w:hAnsi="Calibri"/>
          <w:b/>
          <w:bCs/>
          <w:color w:val="1F4E79"/>
          <w:sz w:val="36"/>
          <w:szCs w:val="36"/>
        </w:rP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Chapter 1: Why CodeQL and How It Works</w:t>
            </w:r>
            <w:r>
              <w:tab/>
            </w:r>
            <w:r>
              <w:fldChar w:fldCharType="begin" w:dirty="true"/>
              <w:instrText xml:space="preserve">PAGEREF _Toc3 \h</w:instrText>
              <w:fldChar w:fldCharType="separate"/>
              <w:fldChar w:fldCharType="end"/>
            </w:r>
          </w:hyperlink>
        </w:p>
        <w:p>
          <w:pPr>
            <w:pStyle w:val="TOC2"/>
            <w:tabs>
              <w:tab w:val="right" w:pos="9648" w:leader="dot"/>
            </w:tabs>
            <w:ind w:left="220"/>
          </w:pPr>
          <w:hyperlink w:history="1" w:anchor="_Toc4">
            <w:r>
              <w:t xml:space="preserve">The Limits of Traditional Analysis</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Code as Data</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Variant Analysis and the Pipeline</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Minimal Query</w:t>
            </w:r>
            <w:r>
              <w:tab/>
            </w:r>
            <w:r>
              <w:fldChar w:fldCharType="begin" w:dirty="true"/>
              <w:instrText xml:space="preserve">PAGEREF _Toc7 \h</w:instrText>
              <w:fldChar w:fldCharType="separate"/>
              <w:fldChar w:fldCharType="end"/>
            </w:r>
          </w:hyperlink>
        </w:p>
        <w:p>
          <w:pPr>
            <w:pStyle w:val="TOC1"/>
            <w:tabs>
              <w:tab w:val="right" w:pos="9648" w:leader="dot"/>
            </w:tabs>
          </w:pPr>
          <w:hyperlink w:history="1" w:anchor="_Toc8">
            <w:r>
              <w:t xml:space="preserve">Chapter 2: Tools, Setup, and Your First Database</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Environments and Installation</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Creating a Database</w:t>
            </w:r>
            <w:r>
              <w:tab/>
            </w:r>
            <w:r>
              <w:fldChar w:fldCharType="begin" w:dirty="true"/>
              <w:instrText xml:space="preserve">PAGEREF _Toc10 \h</w:instrText>
              <w:fldChar w:fldCharType="separate"/>
              <w:fldChar w:fldCharType="end"/>
            </w:r>
          </w:hyperlink>
        </w:p>
        <w:p>
          <w:pPr>
            <w:pStyle w:val="TOC1"/>
            <w:tabs>
              <w:tab w:val="right" w:pos="9648" w:leader="dot"/>
            </w:tabs>
          </w:pPr>
          <w:hyperlink w:history="1" w:anchor="_Toc11">
            <w:r>
              <w:t xml:space="preserve">Chapter 3: CodeQL Database Creation</w:t>
            </w:r>
            <w:r>
              <w:tab/>
            </w:r>
            <w:r>
              <w:fldChar w:fldCharType="begin" w:dirty="true"/>
              <w:instrText xml:space="preserve">PAGEREF _Toc11 \h</w:instrText>
              <w:fldChar w:fldCharType="separate"/>
              <w:fldChar w:fldCharType="end"/>
            </w:r>
          </w:hyperlink>
        </w:p>
        <w:p>
          <w:pPr>
            <w:pStyle w:val="TOC2"/>
            <w:tabs>
              <w:tab w:val="right" w:pos="9648" w:leader="dot"/>
            </w:tabs>
            <w:ind w:left="220"/>
          </w:pPr>
          <w:hyperlink w:history="1" w:anchor="_Toc12">
            <w:r>
              <w:t xml:space="preserve">Database Contents and Extraction</w:t>
            </w:r>
            <w:r>
              <w:tab/>
            </w:r>
            <w:r>
              <w:fldChar w:fldCharType="begin" w:dirty="true"/>
              <w:instrText xml:space="preserve">PAGEREF _Toc12 \h</w:instrText>
              <w:fldChar w:fldCharType="separate"/>
              <w:fldChar w:fldCharType="end"/>
            </w:r>
          </w:hyperlink>
        </w:p>
        <w:p>
          <w:pPr>
            <w:pStyle w:val="TOC2"/>
            <w:tabs>
              <w:tab w:val="right" w:pos="9648" w:leader="dot"/>
            </w:tabs>
            <w:ind w:left="220"/>
          </w:pPr>
          <w:hyperlink w:history="1" w:anchor="_Toc13">
            <w:r>
              <w:t xml:space="preserve">Commands</w:t>
            </w:r>
            <w:r>
              <w:tab/>
            </w:r>
            <w:r>
              <w:fldChar w:fldCharType="begin" w:dirty="true"/>
              <w:instrText xml:space="preserve">PAGEREF _Toc13 \h</w:instrText>
              <w:fldChar w:fldCharType="separate"/>
              <w:fldChar w:fldCharType="end"/>
            </w:r>
          </w:hyperlink>
        </w:p>
        <w:p>
          <w:pPr>
            <w:pStyle w:val="TOC1"/>
            <w:tabs>
              <w:tab w:val="right" w:pos="9648" w:leader="dot"/>
            </w:tabs>
          </w:pPr>
          <w:hyperlink w:history="1" w:anchor="_Toc14">
            <w:r>
              <w:t xml:space="preserve">Chapter 4: QL Language Fundamentals</w:t>
            </w:r>
            <w:r>
              <w:tab/>
            </w:r>
            <w:r>
              <w:fldChar w:fldCharType="begin" w:dirty="true"/>
              <w:instrText xml:space="preserve">PAGEREF _Toc14 \h</w:instrText>
              <w:fldChar w:fldCharType="separate"/>
              <w:fldChar w:fldCharType="end"/>
            </w:r>
          </w:hyperlink>
        </w:p>
        <w:p>
          <w:pPr>
            <w:pStyle w:val="TOC2"/>
            <w:tabs>
              <w:tab w:val="right" w:pos="9648" w:leader="dot"/>
            </w:tabs>
            <w:ind w:left="220"/>
          </w:pPr>
          <w:hyperlink w:history="1" w:anchor="_Toc15">
            <w:r>
              <w:t xml:space="preserve">Declarative Model</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Chapter 5: Writing Custom Predicates</w:t>
            </w:r>
            <w:r>
              <w:tab/>
            </w:r>
            <w:r>
              <w:fldChar w:fldCharType="begin" w:dirty="true"/>
              <w:instrText xml:space="preserve">PAGEREF _Toc16 \h</w:instrText>
              <w:fldChar w:fldCharType="separate"/>
              <w:fldChar w:fldCharType="end"/>
            </w:r>
          </w:hyperlink>
        </w:p>
        <w:p>
          <w:pPr>
            <w:pStyle w:val="TOC2"/>
            <w:tabs>
              <w:tab w:val="right" w:pos="9648" w:leader="dot"/>
            </w:tabs>
            <w:ind w:left="220"/>
          </w:pPr>
          <w:hyperlink w:history="1" w:anchor="_Toc17">
            <w:r>
              <w:t xml:space="preserve">Reusable Predicates</w:t>
            </w:r>
            <w:r>
              <w:tab/>
            </w:r>
            <w:r>
              <w:fldChar w:fldCharType="begin" w:dirty="true"/>
              <w:instrText xml:space="preserve">PAGEREF _Toc17 \h</w:instrText>
              <w:fldChar w:fldCharType="separate"/>
              <w:fldChar w:fldCharType="end"/>
            </w:r>
          </w:hyperlink>
        </w:p>
        <w:p>
          <w:pPr>
            <w:pStyle w:val="TOC1"/>
            <w:tabs>
              <w:tab w:val="right" w:pos="9648" w:leader="dot"/>
            </w:tabs>
          </w:pPr>
          <w:hyperlink w:history="1" w:anchor="_Toc18">
            <w:r>
              <w:t xml:space="preserve">Chapter 6: Writing Your First Queries</w:t>
            </w:r>
            <w:r>
              <w:tab/>
            </w:r>
            <w:r>
              <w:fldChar w:fldCharType="begin" w:dirty="true"/>
              <w:instrText xml:space="preserve">PAGEREF _Toc18 \h</w:instrText>
              <w:fldChar w:fldCharType="separate"/>
              <w:fldChar w:fldCharType="end"/>
            </w:r>
          </w:hyperlink>
        </w:p>
        <w:p>
          <w:pPr>
            <w:pStyle w:val="TOC2"/>
            <w:tabs>
              <w:tab w:val="right" w:pos="9648" w:leader="dot"/>
            </w:tabs>
            <w:ind w:left="220"/>
          </w:pPr>
          <w:hyperlink w:history="1" w:anchor="_Toc19">
            <w:r>
              <w:t xml:space="preserve">Metadata and Alert Queries</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Chapter 7: Exploring with Language Libraries</w:t>
            </w:r>
            <w:r>
              <w:tab/>
            </w:r>
            <w:r>
              <w:fldChar w:fldCharType="begin" w:dirty="true"/>
              <w:instrText xml:space="preserve">PAGEREF _Toc20 \h</w:instrText>
              <w:fldChar w:fldCharType="separate"/>
              <w:fldChar w:fldCharType="end"/>
            </w:r>
          </w:hyperlink>
        </w:p>
        <w:p>
          <w:pPr>
            <w:pStyle w:val="TOC1"/>
            <w:tabs>
              <w:tab w:val="right" w:pos="9648" w:leader="dot"/>
            </w:tabs>
          </w:pPr>
          <w:hyperlink w:history="1" w:anchor="_Toc21">
            <w:r>
              <w:t xml:space="preserve">Chapter 8: Data Flow Analysis</w:t>
            </w:r>
            <w:r>
              <w:tab/>
            </w:r>
            <w:r>
              <w:fldChar w:fldCharType="begin" w:dirty="true"/>
              <w:instrText xml:space="preserve">PAGEREF _Toc21 \h</w:instrText>
              <w:fldChar w:fldCharType="separate"/>
              <w:fldChar w:fldCharType="end"/>
            </w:r>
          </w:hyperlink>
        </w:p>
        <w:p>
          <w:pPr>
            <w:pStyle w:val="TOC2"/>
            <w:tabs>
              <w:tab w:val="right" w:pos="9648" w:leader="dot"/>
            </w:tabs>
            <w:ind w:left="220"/>
          </w:pPr>
          <w:hyperlink w:history="1" w:anchor="_Toc22">
            <w:r>
              <w:t xml:space="preserve">Local and Global Flow</w:t>
            </w:r>
            <w:r>
              <w:tab/>
            </w:r>
            <w:r>
              <w:fldChar w:fldCharType="begin" w:dirty="true"/>
              <w:instrText xml:space="preserve">PAGEREF _Toc22 \h</w:instrText>
              <w:fldChar w:fldCharType="separate"/>
              <w:fldChar w:fldCharType="end"/>
            </w:r>
          </w:hyperlink>
        </w:p>
        <w:p>
          <w:pPr>
            <w:pStyle w:val="TOC2"/>
            <w:tabs>
              <w:tab w:val="right" w:pos="9648" w:leader="dot"/>
            </w:tabs>
            <w:ind w:left="220"/>
          </w:pPr>
          <w:hyperlink w:history="1" w:anchor="_Toc23">
            <w:r>
              <w:t xml:space="preserve">Configuration</w:t>
            </w:r>
            <w:r>
              <w:tab/>
            </w:r>
            <w:r>
              <w:fldChar w:fldCharType="begin" w:dirty="true"/>
              <w:instrText xml:space="preserve">PAGEREF _Toc23 \h</w:instrText>
              <w:fldChar w:fldCharType="separate"/>
              <w:fldChar w:fldCharType="end"/>
            </w:r>
          </w:hyperlink>
        </w:p>
        <w:p>
          <w:pPr>
            <w:pStyle w:val="TOC2"/>
            <w:tabs>
              <w:tab w:val="right" w:pos="9648" w:leader="dot"/>
            </w:tabs>
            <w:ind w:left="220"/>
          </w:pPr>
          <w:hyperlink w:history="1" w:anchor="_Toc24">
            <w:r>
              <w:t xml:space="preserve">Exercises</w:t>
            </w:r>
            <w:r>
              <w:tab/>
            </w:r>
            <w:r>
              <w:fldChar w:fldCharType="begin" w:dirty="true"/>
              <w:instrText xml:space="preserve">PAGEREF _Toc24 \h</w:instrText>
              <w:fldChar w:fldCharType="separate"/>
              <w:fldChar w:fldCharType="end"/>
            </w:r>
          </w:hyperlink>
        </w:p>
        <w:p>
          <w:pPr>
            <w:pStyle w:val="TOC1"/>
            <w:tabs>
              <w:tab w:val="right" w:pos="9648" w:leader="dot"/>
            </w:tabs>
          </w:pPr>
          <w:hyperlink w:history="1" w:anchor="_Toc25">
            <w:r>
              <w:t xml:space="preserve">Chapter 9: Taint Tracking and Path Queries</w:t>
            </w:r>
            <w:r>
              <w:tab/>
            </w:r>
            <w:r>
              <w:fldChar w:fldCharType="begin" w:dirty="true"/>
              <w:instrText xml:space="preserve">PAGEREF _Toc25 \h</w:instrText>
              <w:fldChar w:fldCharType="separate"/>
              <w:fldChar w:fldCharType="end"/>
            </w:r>
          </w:hyperlink>
        </w:p>
        <w:p>
          <w:pPr>
            <w:pStyle w:val="TOC2"/>
            <w:tabs>
              <w:tab w:val="right" w:pos="9648" w:leader="dot"/>
            </w:tabs>
            <w:ind w:left="220"/>
          </w:pPr>
          <w:hyperlink w:history="1" w:anchor="_Toc26">
            <w:r>
              <w:t xml:space="preserve">Path Query Example</w:t>
            </w:r>
            <w:r>
              <w:tab/>
            </w:r>
            <w:r>
              <w:fldChar w:fldCharType="begin" w:dirty="true"/>
              <w:instrText xml:space="preserve">PAGEREF _Toc26 \h</w:instrText>
              <w:fldChar w:fldCharType="separate"/>
              <w:fldChar w:fldCharType="end"/>
            </w:r>
          </w:hyperlink>
        </w:p>
        <w:p>
          <w:pPr>
            <w:pStyle w:val="TOC2"/>
            <w:tabs>
              <w:tab w:val="right" w:pos="9648" w:leader="dot"/>
            </w:tabs>
            <w:ind w:left="220"/>
          </w:pPr>
          <w:hyperlink w:history="1" w:anchor="_Toc27">
            <w:r>
              <w:t xml:space="preserve">Exercises</w:t>
            </w:r>
            <w:r>
              <w:tab/>
            </w:r>
            <w:r>
              <w:fldChar w:fldCharType="begin" w:dirty="true"/>
              <w:instrText xml:space="preserve">PAGEREF _Toc27 \h</w:instrText>
              <w:fldChar w:fldCharType="separate"/>
              <w:fldChar w:fldCharType="end"/>
            </w:r>
          </w:hyperlink>
        </w:p>
        <w:p>
          <w:pPr>
            <w:pStyle w:val="TOC1"/>
            <w:tabs>
              <w:tab w:val="right" w:pos="9648" w:leader="dot"/>
            </w:tabs>
          </w:pPr>
          <w:hyperlink w:history="1" w:anchor="_Toc28">
            <w:r>
              <w:t xml:space="preserve">Chapter 10: Library Extension</w:t>
            </w:r>
            <w:r>
              <w:tab/>
            </w:r>
            <w:r>
              <w:fldChar w:fldCharType="begin" w:dirty="true"/>
              <w:instrText xml:space="preserve">PAGEREF _Toc28 \h</w:instrText>
              <w:fldChar w:fldCharType="separate"/>
              <w:fldChar w:fldCharType="end"/>
            </w:r>
          </w:hyperlink>
        </w:p>
        <w:p>
          <w:pPr>
            <w:pStyle w:val="TOC2"/>
            <w:tabs>
              <w:tab w:val="right" w:pos="9648" w:leader="dot"/>
            </w:tabs>
            <w:ind w:left="220"/>
          </w:pPr>
          <w:hyperlink w:history="1" w:anchor="_Toc29">
            <w:r>
              <w:t xml:space="preserve">Custom Source</w:t>
            </w:r>
            <w:r>
              <w:tab/>
            </w:r>
            <w:r>
              <w:fldChar w:fldCharType="begin" w:dirty="true"/>
              <w:instrText xml:space="preserve">PAGEREF _Toc29 \h</w:instrText>
              <w:fldChar w:fldCharType="separate"/>
              <w:fldChar w:fldCharType="end"/>
            </w:r>
          </w:hyperlink>
        </w:p>
        <w:p>
          <w:pPr>
            <w:pStyle w:val="TOC2"/>
            <w:tabs>
              <w:tab w:val="right" w:pos="9648" w:leader="dot"/>
            </w:tabs>
            <w:ind w:left="220"/>
          </w:pPr>
          <w:hyperlink w:history="1" w:anchor="_Toc30">
            <w:r>
              <w:t xml:space="preserve">Exercises</w:t>
            </w:r>
            <w:r>
              <w:tab/>
            </w:r>
            <w:r>
              <w:fldChar w:fldCharType="begin" w:dirty="true"/>
              <w:instrText xml:space="preserve">PAGEREF _Toc30 \h</w:instrText>
              <w:fldChar w:fldCharType="separate"/>
              <w:fldChar w:fldCharType="end"/>
            </w:r>
          </w:hyperlink>
        </w:p>
        <w:p>
          <w:pPr>
            <w:pStyle w:val="TOC1"/>
            <w:tabs>
              <w:tab w:val="right" w:pos="9648" w:leader="dot"/>
            </w:tabs>
          </w:pPr>
          <w:hyperlink w:history="1" w:anchor="_Toc31">
            <w:r>
              <w:t xml:space="preserve">Chapter 11: Packs, Suites, and Production Use</w:t>
            </w:r>
            <w:r>
              <w:tab/>
            </w:r>
            <w:r>
              <w:fldChar w:fldCharType="begin" w:dirty="true"/>
              <w:instrText xml:space="preserve">PAGEREF _Toc31 \h</w:instrText>
              <w:fldChar w:fldCharType="separate"/>
              <w:fldChar w:fldCharType="end"/>
            </w:r>
          </w:hyperlink>
        </w:p>
        <w:p>
          <w:pPr>
            <w:pStyle w:val="TOC1"/>
            <w:tabs>
              <w:tab w:val="right" w:pos="9648" w:leader="dot"/>
            </w:tabs>
          </w:pPr>
          <w:hyperlink w:history="1" w:anchor="_Toc32">
            <w:r>
              <w:t xml:space="preserve">Chapter 12: CI Integration</w:t>
            </w:r>
            <w:r>
              <w:tab/>
            </w:r>
            <w:r>
              <w:fldChar w:fldCharType="begin" w:dirty="true"/>
              <w:instrText xml:space="preserve">PAGEREF _Toc32 \h</w:instrText>
              <w:fldChar w:fldCharType="separate"/>
              <w:fldChar w:fldCharType="end"/>
            </w:r>
          </w:hyperlink>
        </w:p>
        <w:p>
          <w:pPr>
            <w:pStyle w:val="TOC1"/>
            <w:tabs>
              <w:tab w:val="right" w:pos="9648" w:leader="dot"/>
            </w:tabs>
          </w:pPr>
          <w:hyperlink w:history="1" w:anchor="_Toc33">
            <w:r>
              <w:t xml:space="preserve">Chapter 13: Performance and Debugging</w:t>
            </w:r>
            <w:r>
              <w:tab/>
            </w:r>
            <w:r>
              <w:fldChar w:fldCharType="begin" w:dirty="true"/>
              <w:instrText xml:space="preserve">PAGEREF _Toc33 \h</w:instrText>
              <w:fldChar w:fldCharType="separate"/>
              <w:fldChar w:fldCharType="end"/>
            </w:r>
          </w:hyperlink>
        </w:p>
        <w:p>
          <w:pPr>
            <w:pStyle w:val="TOC1"/>
            <w:tabs>
              <w:tab w:val="right" w:pos="9648" w:leader="dot"/>
            </w:tabs>
          </w:pPr>
          <w:hyperlink w:history="1" w:anchor="_Toc34">
            <w:r>
              <w:t xml:space="preserve">Chapter 14: Case Studies</w:t>
            </w:r>
            <w:r>
              <w:tab/>
            </w:r>
            <w:r>
              <w:fldChar w:fldCharType="begin" w:dirty="true"/>
              <w:instrText xml:space="preserve">PAGEREF _Toc34 \h</w:instrText>
              <w:fldChar w:fldCharType="separate"/>
              <w:fldChar w:fldCharType="end"/>
            </w:r>
          </w:hyperlink>
        </w:p>
        <w:p>
          <w:pPr>
            <w:pStyle w:val="TOC1"/>
            <w:tabs>
              <w:tab w:val="right" w:pos="9648" w:leader="dot"/>
            </w:tabs>
          </w:pPr>
          <w:hyperlink w:history="1" w:anchor="_Toc35">
            <w:r>
              <w:t xml:space="preserve">Chapter 15: Best Practices and Next Steps</w:t>
            </w:r>
            <w:r>
              <w:tab/>
            </w:r>
            <w:r>
              <w:fldChar w:fldCharType="begin" w:dirty="true"/>
              <w:instrText xml:space="preserve">PAGEREF _Toc35 \h</w:instrText>
              <w:fldChar w:fldCharType="separate"/>
              <w:fldChar w:fldCharType="end"/>
            </w:r>
          </w:hyperlink>
        </w:p>
        <w:p>
          <w:pPr>
            <w:pStyle w:val="TOC1"/>
            <w:tabs>
              <w:tab w:val="right" w:pos="9648" w:leader="dot"/>
            </w:tabs>
          </w:pPr>
          <w:hyperlink w:history="1" w:anchor="_Toc36">
            <w:r>
              <w:t xml:space="preserve">Appendix: Resources</w:t>
            </w:r>
            <w:r>
              <w:tab/>
            </w:r>
            <w:r>
              <w:fldChar w:fldCharType="begin" w:dirty="true"/>
              <w:instrText xml:space="preserve">PAGEREF _Toc36 \h</w:instrText>
              <w:fldChar w:fldCharType="separate"/>
              <w:fldChar w:fldCharType="end"/>
            </w:r>
          </w:hyperlink>
        </w:p>
        <w:p>
          <w:r>
            <w:fldChar w:fldCharType="end"/>
          </w:r>
        </w:p>
      </w:sdtContent>
    </w:sdt>
    <w:p>
      <w:pPr>
        <w:pStyle w:val="Heading1"/>
        <w:pageBreakBefore/>
        <w:spacing w:after="200" w:before="0"/>
      </w:pPr>
      <w:bookmarkStart w:name="_Toc2" w:id="2"/>
      <w:r>
        <w:rPr>
          <w:rFonts w:ascii="Calibri" w:cs="Calibri" w:eastAsia="Calibri" w:hAnsi="Calibri"/>
          <w:b/>
          <w:bCs/>
          <w:color w:val="1F4E79"/>
          <w:sz w:val="36"/>
          <w:szCs w:val="36"/>
        </w:rPr>
        <w:t xml:space="preserve">How to Use This Book</w:t>
      </w:r>
      <w:bookmarkEnd w:id="2"/>
    </w:p>
    <w:p>
      <w:pPr>
        <w:spacing w:after="140" w:line="276"/>
      </w:pPr>
      <w:r>
        <w:rPr>
          <w:rFonts w:ascii="Calibri" w:cs="Calibri" w:eastAsia="Calibri" w:hAnsi="Calibri"/>
          <w:sz w:val="22"/>
          <w:szCs w:val="22"/>
        </w:rPr>
        <w:t xml:space="preserve">This book is a progressive, hands-on guide to CodeQL. Each chapter builds on the last and includes explanations, complete examples, and exercises.</w:t>
      </w:r>
    </w:p>
    <w:p>
      <w:pPr>
        <w:spacing w:after="140" w:line="276"/>
      </w:pPr>
      <w:r>
        <w:rPr>
          <w:rFonts w:ascii="Calibri" w:cs="Calibri" w:eastAsia="Calibri" w:hAnsi="Calibri"/>
          <w:sz w:val="22"/>
          <w:szCs w:val="22"/>
        </w:rPr>
        <w:t xml:space="preserve">All runnable queries and exercise starters are in the companion repository under examples/chapterNN/. Create a database, open the referenced files, and follow along. JavaScript examples are used for clarity; the same patterns apply to every supported language.</w:t>
      </w:r>
    </w:p>
    <w:p>
      <w:pPr>
        <w:pStyle w:val="Heading1"/>
        <w:pageBreakBefore/>
        <w:spacing w:after="200" w:before="0"/>
      </w:pPr>
      <w:bookmarkStart w:name="_Toc3" w:id="3"/>
      <w:r>
        <w:rPr>
          <w:rFonts w:ascii="Calibri" w:cs="Calibri" w:eastAsia="Calibri" w:hAnsi="Calibri"/>
          <w:b/>
          <w:bCs/>
          <w:color w:val="1F4E79"/>
          <w:sz w:val="36"/>
          <w:szCs w:val="36"/>
        </w:rPr>
        <w:t xml:space="preserve">Chapter 1: Why CodeQL and How It Works</w:t>
      </w:r>
      <w:bookmarkEnd w:id="3"/>
    </w:p>
    <w:p>
      <w:pPr>
        <w:pStyle w:val="Heading2"/>
        <w:spacing w:after="120" w:before="280"/>
      </w:pPr>
      <w:bookmarkStart w:name="_Toc4" w:id="4"/>
      <w:r>
        <w:rPr>
          <w:rFonts w:ascii="Calibri" w:cs="Calibri" w:eastAsia="Calibri" w:hAnsi="Calibri"/>
          <w:b/>
          <w:bCs/>
          <w:color w:val="2E75B6"/>
          <w:sz w:val="28"/>
          <w:szCs w:val="28"/>
        </w:rPr>
        <w:t xml:space="preserve">The Limits of Traditional Analysis</w:t>
      </w:r>
      <w:bookmarkEnd w:id="4"/>
    </w:p>
    <w:p>
      <w:pPr>
        <w:spacing w:after="140" w:line="276"/>
      </w:pPr>
      <w:r>
        <w:rPr>
          <w:rFonts w:ascii="Calibri" w:cs="Calibri" w:eastAsia="Calibri" w:hAnsi="Calibri"/>
          <w:sz w:val="22"/>
          <w:szCs w:val="22"/>
        </w:rPr>
        <w:t xml:space="preserve">Traditional static analysis tools rely on text patterns or shallow syntax matching. They miss vulnerabilities when data passes through variables, helpers, or transformations, and they often produce too many false positives to be useful.</w:t>
      </w:r>
    </w:p>
    <w:p>
      <w:pPr>
        <w:pStyle w:val="Heading2"/>
        <w:spacing w:after="120" w:before="280"/>
      </w:pPr>
      <w:bookmarkStart w:name="_Toc5" w:id="5"/>
      <w:r>
        <w:rPr>
          <w:rFonts w:ascii="Calibri" w:cs="Calibri" w:eastAsia="Calibri" w:hAnsi="Calibri"/>
          <w:b/>
          <w:bCs/>
          <w:color w:val="2E75B6"/>
          <w:sz w:val="28"/>
          <w:szCs w:val="28"/>
        </w:rPr>
        <w:t xml:space="preserve">Code as Data</w:t>
      </w:r>
      <w:bookmarkEnd w:id="5"/>
    </w:p>
    <w:p>
      <w:pPr>
        <w:spacing w:after="140" w:line="276"/>
      </w:pPr>
      <w:r>
        <w:rPr>
          <w:rFonts w:ascii="Calibri" w:cs="Calibri" w:eastAsia="Calibri" w:hAnsi="Calibri"/>
          <w:sz w:val="22"/>
          <w:szCs w:val="22"/>
        </w:rPr>
        <w:t xml:space="preserve">CodeQL extracts a relational model containing the abstract syntax tree, control-flow graph, and data-flow foundations. Declarative queries then find vulnerability patterns that span functions and files. The same query becomes a permanent CI check.</w:t>
      </w:r>
    </w:p>
    <w:p>
      <w:pPr>
        <w:pStyle w:val="Heading2"/>
        <w:spacing w:after="120" w:before="280"/>
      </w:pPr>
      <w:bookmarkStart w:name="_Toc6" w:id="6"/>
      <w:r>
        <w:rPr>
          <w:rFonts w:ascii="Calibri" w:cs="Calibri" w:eastAsia="Calibri" w:hAnsi="Calibri"/>
          <w:b/>
          <w:bCs/>
          <w:color w:val="2E75B6"/>
          <w:sz w:val="28"/>
          <w:szCs w:val="28"/>
        </w:rPr>
        <w:t xml:space="preserve">Variant Analysis and the Pipeline</w:t>
      </w:r>
      <w:bookmarkEnd w:id="6"/>
    </w:p>
    <w:p>
      <w:pPr>
        <w:spacing w:after="140" w:line="276"/>
      </w:pPr>
      <w:r>
        <w:rPr>
          <w:rFonts w:ascii="Calibri" w:cs="Calibri" w:eastAsia="Calibri" w:hAnsi="Calibri"/>
          <w:sz w:val="22"/>
          <w:szCs w:val="22"/>
        </w:rPr>
        <w:t xml:space="preserve">Variant analysis encodes a known bug and finds every similar instance. Analysis has three stages: extractor creates a database, queries run against it, and results are emitted as SARIF alerts. Supported languages include C/C++, C#, Go, Java/Kotlin, JavaScript/TypeScript, Python, Ruby, Rust, Swift, and GitHub Actions.</w:t>
      </w:r>
    </w:p>
    <w:p>
      <w:pPr>
        <w:pStyle w:val="Heading2"/>
        <w:spacing w:after="120" w:before="280"/>
      </w:pPr>
      <w:bookmarkStart w:name="_Toc7" w:id="7"/>
      <w:r>
        <w:rPr>
          <w:rFonts w:ascii="Calibri" w:cs="Calibri" w:eastAsia="Calibri" w:hAnsi="Calibri"/>
          <w:b/>
          <w:bCs/>
          <w:color w:val="2E75B6"/>
          <w:sz w:val="28"/>
          <w:szCs w:val="28"/>
        </w:rPr>
        <w:t xml:space="preserve">Minimal Query</w:t>
      </w:r>
      <w:bookmarkEnd w:id="7"/>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select "hello world"</w:t>
      </w:r>
    </w:p>
    <w:p>
      <w:pPr>
        <w:spacing w:after="160" w:before="60"/>
      </w:pPr>
    </w:p>
    <w:p>
      <w:pPr>
        <w:pStyle w:val="Heading1"/>
        <w:pageBreakBefore/>
        <w:spacing w:after="200" w:before="0"/>
      </w:pPr>
      <w:bookmarkStart w:name="_Toc8" w:id="8"/>
      <w:r>
        <w:rPr>
          <w:rFonts w:ascii="Calibri" w:cs="Calibri" w:eastAsia="Calibri" w:hAnsi="Calibri"/>
          <w:b/>
          <w:bCs/>
          <w:color w:val="1F4E79"/>
          <w:sz w:val="36"/>
          <w:szCs w:val="36"/>
        </w:rPr>
        <w:t xml:space="preserve">Chapter 2: Tools, Setup, and Your First Database</w:t>
      </w:r>
      <w:bookmarkEnd w:id="8"/>
    </w:p>
    <w:p>
      <w:pPr>
        <w:pStyle w:val="Heading2"/>
        <w:spacing w:after="120" w:before="280"/>
      </w:pPr>
      <w:bookmarkStart w:name="_Toc9" w:id="9"/>
      <w:r>
        <w:rPr>
          <w:rFonts w:ascii="Calibri" w:cs="Calibri" w:eastAsia="Calibri" w:hAnsi="Calibri"/>
          <w:b/>
          <w:bCs/>
          <w:color w:val="2E75B6"/>
          <w:sz w:val="28"/>
          <w:szCs w:val="28"/>
        </w:rPr>
        <w:t xml:space="preserve">Environments and Installation</w:t>
      </w:r>
      <w:bookmarkEnd w:id="9"/>
    </w:p>
    <w:p>
      <w:pPr>
        <w:spacing w:after="140" w:line="276"/>
      </w:pPr>
      <w:r>
        <w:rPr>
          <w:rFonts w:ascii="Calibri" w:cs="Calibri" w:eastAsia="Calibri" w:hAnsi="Calibri"/>
          <w:sz w:val="22"/>
          <w:szCs w:val="22"/>
        </w:rPr>
        <w:t xml:space="preserve">Use the CLI for automation, the VS Code extension for interactive learning, or Codespaces for zero setup. Verify the CLI with:</w:t>
      </w:r>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codeql version</w:t>
      </w:r>
    </w:p>
    <w:p>
      <w:pPr>
        <w:spacing w:after="160" w:before="60"/>
      </w:pPr>
    </w:p>
    <w:p>
      <w:pPr>
        <w:pStyle w:val="Heading2"/>
        <w:spacing w:after="120" w:before="280"/>
      </w:pPr>
      <w:bookmarkStart w:name="_Toc10" w:id="10"/>
      <w:r>
        <w:rPr>
          <w:rFonts w:ascii="Calibri" w:cs="Calibri" w:eastAsia="Calibri" w:hAnsi="Calibri"/>
          <w:b/>
          <w:bCs/>
          <w:color w:val="2E75B6"/>
          <w:sz w:val="28"/>
          <w:szCs w:val="28"/>
        </w:rPr>
        <w:t xml:space="preserve">Creating a Database</w:t>
      </w:r>
      <w:bookmarkEnd w:id="10"/>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codeql database create my-db --language=javascript --source-root=./my-project</w:t>
      </w:r>
    </w:p>
    <w:p>
      <w:pPr>
        <w:spacing w:after="160" w:before="60"/>
      </w:pPr>
    </w:p>
    <w:p>
      <w:pPr>
        <w:spacing w:after="140" w:line="276"/>
      </w:pPr>
      <w:r>
        <w:rPr>
          <w:rFonts w:ascii="Calibri" w:cs="Calibri" w:eastAsia="Calibri" w:hAnsi="Calibri"/>
          <w:sz w:val="22"/>
          <w:szCs w:val="22"/>
        </w:rPr>
        <w:t xml:space="preserve">Add a --command for compiled languages. Pre-built databases exist for many open-source projects.</w:t>
      </w:r>
    </w:p>
    <w:p>
      <w:pPr>
        <w:pStyle w:val="Heading1"/>
        <w:pageBreakBefore/>
        <w:spacing w:after="200" w:before="0"/>
      </w:pPr>
      <w:bookmarkStart w:name="_Toc11" w:id="11"/>
      <w:r>
        <w:rPr>
          <w:rFonts w:ascii="Calibri" w:cs="Calibri" w:eastAsia="Calibri" w:hAnsi="Calibri"/>
          <w:b/>
          <w:bCs/>
          <w:color w:val="1F4E79"/>
          <w:sz w:val="36"/>
          <w:szCs w:val="36"/>
        </w:rPr>
        <w:t xml:space="preserve">Chapter 3: CodeQL Database Creation</w:t>
      </w:r>
      <w:bookmarkEnd w:id="11"/>
    </w:p>
    <w:p>
      <w:pPr>
        <w:pStyle w:val="Heading2"/>
        <w:spacing w:after="120" w:before="280"/>
      </w:pPr>
      <w:bookmarkStart w:name="_Toc12" w:id="12"/>
      <w:r>
        <w:rPr>
          <w:rFonts w:ascii="Calibri" w:cs="Calibri" w:eastAsia="Calibri" w:hAnsi="Calibri"/>
          <w:b/>
          <w:bCs/>
          <w:color w:val="2E75B6"/>
          <w:sz w:val="28"/>
          <w:szCs w:val="28"/>
        </w:rPr>
        <w:t xml:space="preserve">Database Contents and Extraction</w:t>
      </w:r>
      <w:bookmarkEnd w:id="12"/>
    </w:p>
    <w:p>
      <w:pPr>
        <w:spacing w:after="140" w:line="276"/>
      </w:pPr>
      <w:r>
        <w:rPr>
          <w:rFonts w:ascii="Calibri" w:cs="Calibri" w:eastAsia="Calibri" w:hAnsi="Calibri"/>
          <w:sz w:val="22"/>
          <w:szCs w:val="22"/>
        </w:rPr>
        <w:t xml:space="preserve">A database is an immutable, language-specific snapshot containing extracted relations, source references, the schema, and logs. Interpreted languages extract directly from source; compiled languages require monitoring a build.</w:t>
      </w:r>
    </w:p>
    <w:p>
      <w:pPr>
        <w:pStyle w:val="Heading2"/>
        <w:spacing w:after="120" w:before="280"/>
      </w:pPr>
      <w:bookmarkStart w:name="_Toc13" w:id="13"/>
      <w:r>
        <w:rPr>
          <w:rFonts w:ascii="Calibri" w:cs="Calibri" w:eastAsia="Calibri" w:hAnsi="Calibri"/>
          <w:b/>
          <w:bCs/>
          <w:color w:val="2E75B6"/>
          <w:sz w:val="28"/>
          <w:szCs w:val="28"/>
        </w:rPr>
        <w:t xml:space="preserve">Commands</w:t>
      </w:r>
      <w:bookmarkEnd w:id="13"/>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codeql database create js-db --language=javascript --source-root=.</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codeql database create java-db --language=java --source-root=. --command="mvn clean compile -DskipTests"</w:t>
      </w:r>
    </w:p>
    <w:p>
      <w:pPr>
        <w:spacing w:after="160" w:before="60"/>
      </w:pPr>
    </w:p>
    <w:p>
      <w:pPr>
        <w:spacing w:after="140" w:line="276"/>
      </w:pPr>
      <w:r>
        <w:rPr>
          <w:rFonts w:ascii="Calibri" w:cs="Calibri" w:eastAsia="Calibri" w:hAnsi="Calibri"/>
          <w:sz w:val="22"/>
          <w:szCs w:val="22"/>
        </w:rPr>
        <w:t xml:space="preserve">Inspect with codeql database info. Incomplete builds are the most common source of missing results. See examples/chapter03/.</w:t>
      </w:r>
    </w:p>
    <w:p>
      <w:pPr>
        <w:pStyle w:val="Heading1"/>
        <w:pageBreakBefore/>
        <w:spacing w:after="200" w:before="0"/>
      </w:pPr>
      <w:bookmarkStart w:name="_Toc14" w:id="14"/>
      <w:r>
        <w:rPr>
          <w:rFonts w:ascii="Calibri" w:cs="Calibri" w:eastAsia="Calibri" w:hAnsi="Calibri"/>
          <w:b/>
          <w:bCs/>
          <w:color w:val="1F4E79"/>
          <w:sz w:val="36"/>
          <w:szCs w:val="36"/>
        </w:rPr>
        <w:t xml:space="preserve">Chapter 4: QL Language Fundamentals</w:t>
      </w:r>
      <w:bookmarkEnd w:id="14"/>
    </w:p>
    <w:p>
      <w:pPr>
        <w:pStyle w:val="Heading2"/>
        <w:spacing w:after="120" w:before="280"/>
      </w:pPr>
      <w:bookmarkStart w:name="_Toc15" w:id="15"/>
      <w:r>
        <w:rPr>
          <w:rFonts w:ascii="Calibri" w:cs="Calibri" w:eastAsia="Calibri" w:hAnsi="Calibri"/>
          <w:b/>
          <w:bCs/>
          <w:color w:val="2E75B6"/>
          <w:sz w:val="28"/>
          <w:szCs w:val="28"/>
        </w:rPr>
        <w:t xml:space="preserve">Declarative Model</w:t>
      </w:r>
      <w:bookmarkEnd w:id="15"/>
    </w:p>
    <w:p>
      <w:pPr>
        <w:spacing w:after="140" w:line="276"/>
      </w:pPr>
      <w:r>
        <w:rPr>
          <w:rFonts w:ascii="Calibri" w:cs="Calibri" w:eastAsia="Calibri" w:hAnsi="Calibri"/>
          <w:sz w:val="22"/>
          <w:szCs w:val="22"/>
        </w:rPr>
        <w:t xml:space="preserve">QL is declarative. Queries use from/where/select. Predicates, formulas (and/or/not/exists/forall), classes, modules, recursion, and aggregates are the core tools.</w:t>
      </w:r>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import javascript</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from Function f</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where f.getName() = "main"</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select f, "Entry point found"</w:t>
      </w:r>
    </w:p>
    <w:p>
      <w:pPr>
        <w:spacing w:after="160" w:before="60"/>
      </w:pPr>
    </w:p>
    <w:p>
      <w:pPr>
        <w:pStyle w:val="Heading1"/>
        <w:pageBreakBefore/>
        <w:spacing w:after="200" w:before="0"/>
      </w:pPr>
      <w:bookmarkStart w:name="_Toc16" w:id="16"/>
      <w:r>
        <w:rPr>
          <w:rFonts w:ascii="Calibri" w:cs="Calibri" w:eastAsia="Calibri" w:hAnsi="Calibri"/>
          <w:b/>
          <w:bCs/>
          <w:color w:val="1F4E79"/>
          <w:sz w:val="36"/>
          <w:szCs w:val="36"/>
        </w:rPr>
        <w:t xml:space="preserve">Chapter 5: Writing Custom Predicates</w:t>
      </w:r>
      <w:bookmarkEnd w:id="16"/>
    </w:p>
    <w:p>
      <w:pPr>
        <w:pStyle w:val="Heading2"/>
        <w:spacing w:after="120" w:before="280"/>
      </w:pPr>
      <w:bookmarkStart w:name="_Toc17" w:id="17"/>
      <w:r>
        <w:rPr>
          <w:rFonts w:ascii="Calibri" w:cs="Calibri" w:eastAsia="Calibri" w:hAnsi="Calibri"/>
          <w:b/>
          <w:bCs/>
          <w:color w:val="2E75B6"/>
          <w:sz w:val="28"/>
          <w:szCs w:val="28"/>
        </w:rPr>
        <w:t xml:space="preserve">Reusable Predicates</w:t>
      </w:r>
      <w:bookmarkEnd w:id="17"/>
    </w:p>
    <w:p>
      <w:pPr>
        <w:spacing w:after="140" w:line="276"/>
      </w:pPr>
      <w:r>
        <w:rPr>
          <w:rFonts w:ascii="Calibri" w:cs="Calibri" w:eastAsia="Calibri" w:hAnsi="Calibri"/>
          <w:sz w:val="22"/>
          <w:szCs w:val="22"/>
        </w:rPr>
        <w:t xml:space="preserve">Predicates encapsulate logic for reuse and testing. They may be recursive.</w:t>
      </w:r>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predicate isEvalCall(CallExpr call)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call.getCalleeName() = "eval"</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t>
      </w:r>
    </w:p>
    <w:p>
      <w:pPr>
        <w:spacing w:after="160" w:before="60"/>
      </w:pPr>
    </w:p>
    <w:p>
      <w:pPr>
        <w:spacing w:after="140" w:line="276"/>
      </w:pPr>
      <w:r>
        <w:rPr>
          <w:rFonts w:ascii="Calibri" w:cs="Calibri" w:eastAsia="Calibri" w:hAnsi="Calibri"/>
          <w:sz w:val="22"/>
          <w:szCs w:val="22"/>
        </w:rPr>
        <w:t xml:space="preserve">Full example: examples/chapter05/eval-call.ql. Place shared predicates in modules.</w:t>
      </w:r>
    </w:p>
    <w:p>
      <w:pPr>
        <w:pStyle w:val="Heading1"/>
        <w:pageBreakBefore/>
        <w:spacing w:after="200" w:before="0"/>
      </w:pPr>
      <w:bookmarkStart w:name="_Toc18" w:id="18"/>
      <w:r>
        <w:rPr>
          <w:rFonts w:ascii="Calibri" w:cs="Calibri" w:eastAsia="Calibri" w:hAnsi="Calibri"/>
          <w:b/>
          <w:bCs/>
          <w:color w:val="1F4E79"/>
          <w:sz w:val="36"/>
          <w:szCs w:val="36"/>
        </w:rPr>
        <w:t xml:space="preserve">Chapter 6: Writing Your First Queries</w:t>
      </w:r>
      <w:bookmarkEnd w:id="18"/>
    </w:p>
    <w:p>
      <w:pPr>
        <w:pStyle w:val="Heading2"/>
        <w:spacing w:after="120" w:before="280"/>
      </w:pPr>
      <w:bookmarkStart w:name="_Toc19" w:id="19"/>
      <w:r>
        <w:rPr>
          <w:rFonts w:ascii="Calibri" w:cs="Calibri" w:eastAsia="Calibri" w:hAnsi="Calibri"/>
          <w:b/>
          <w:bCs/>
          <w:color w:val="2E75B6"/>
          <w:sz w:val="28"/>
          <w:szCs w:val="28"/>
        </w:rPr>
        <w:t xml:space="preserve">Metadata and Alert Queries</w:t>
      </w:r>
      <w:bookmarkEnd w:id="19"/>
    </w:p>
    <w:p>
      <w:pPr>
        <w:spacing w:after="140" w:line="276"/>
      </w:pPr>
      <w:r>
        <w:rPr>
          <w:rFonts w:ascii="Calibri" w:cs="Calibri" w:eastAsia="Calibri" w:hAnsi="Calibri"/>
          <w:sz w:val="22"/>
          <w:szCs w:val="22"/>
        </w:rPr>
        <w:t xml:space="preserve">Queries begin with metadata (@kind, @id, @name, @description, severity).</w:t>
      </w:r>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 @kind problem</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 @id mustlearn/interesting-calls</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 @name Interesting calls</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import javascript</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from CallExpr c</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where c.getCalleeName() = "eval"</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select c, "Interesting call."</w:t>
      </w:r>
    </w:p>
    <w:p>
      <w:pPr>
        <w:spacing w:after="160" w:before="60"/>
      </w:pPr>
    </w:p>
    <w:p>
      <w:pPr>
        <w:spacing w:after="140" w:line="276"/>
      </w:pPr>
      <w:r>
        <w:rPr>
          <w:rFonts w:ascii="Calibri" w:cs="Calibri" w:eastAsia="Calibri" w:hAnsi="Calibri"/>
          <w:sz w:val="22"/>
          <w:szCs w:val="22"/>
        </w:rPr>
        <w:t xml:space="preserve">See examples/chapter06/interesting-calls.ql. Path queries are covered later.</w:t>
      </w:r>
    </w:p>
    <w:p>
      <w:pPr>
        <w:pStyle w:val="Heading1"/>
        <w:pageBreakBefore/>
        <w:spacing w:after="200" w:before="0"/>
      </w:pPr>
      <w:bookmarkStart w:name="_Toc20" w:id="20"/>
      <w:r>
        <w:rPr>
          <w:rFonts w:ascii="Calibri" w:cs="Calibri" w:eastAsia="Calibri" w:hAnsi="Calibri"/>
          <w:b/>
          <w:bCs/>
          <w:color w:val="1F4E79"/>
          <w:sz w:val="36"/>
          <w:szCs w:val="36"/>
        </w:rPr>
        <w:t xml:space="preserve">Chapter 7: Exploring with Language Libraries</w:t>
      </w:r>
      <w:bookmarkEnd w:id="20"/>
    </w:p>
    <w:p>
      <w:pPr>
        <w:spacing w:after="140" w:line="276"/>
      </w:pPr>
      <w:r>
        <w:rPr>
          <w:rFonts w:ascii="Calibri" w:cs="Calibri" w:eastAsia="Calibri" w:hAnsi="Calibri"/>
          <w:sz w:val="22"/>
          <w:szCs w:val="22"/>
        </w:rPr>
        <w:t xml:space="preserve">Standard libraries provide classes such as Function and CallExpr. Start broad, inspect results, then refine. Navigation patterns are consistent across languages.</w:t>
      </w:r>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import javascript</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from CallExpr c</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where c.getCalleeName() = "console.log"</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select c, "Logging call"</w:t>
      </w:r>
    </w:p>
    <w:p>
      <w:pPr>
        <w:spacing w:after="160" w:before="60"/>
      </w:pPr>
    </w:p>
    <w:p>
      <w:pPr>
        <w:pStyle w:val="Heading1"/>
        <w:pageBreakBefore/>
        <w:spacing w:after="200" w:before="0"/>
      </w:pPr>
      <w:bookmarkStart w:name="_Toc21" w:id="21"/>
      <w:r>
        <w:rPr>
          <w:rFonts w:ascii="Calibri" w:cs="Calibri" w:eastAsia="Calibri" w:hAnsi="Calibri"/>
          <w:b/>
          <w:bCs/>
          <w:color w:val="1F4E79"/>
          <w:sz w:val="36"/>
          <w:szCs w:val="36"/>
        </w:rPr>
        <w:t xml:space="preserve">Chapter 8: Data Flow Analysis</w:t>
      </w:r>
      <w:bookmarkEnd w:id="21"/>
    </w:p>
    <w:p>
      <w:pPr>
        <w:pStyle w:val="Heading2"/>
        <w:spacing w:after="120" w:before="280"/>
      </w:pPr>
      <w:bookmarkStart w:name="_Toc22" w:id="22"/>
      <w:r>
        <w:rPr>
          <w:rFonts w:ascii="Calibri" w:cs="Calibri" w:eastAsia="Calibri" w:hAnsi="Calibri"/>
          <w:b/>
          <w:bCs/>
          <w:color w:val="2E75B6"/>
          <w:sz w:val="28"/>
          <w:szCs w:val="28"/>
        </w:rPr>
        <w:t xml:space="preserve">Local and Global Flow</w:t>
      </w:r>
      <w:bookmarkEnd w:id="22"/>
    </w:p>
    <w:p>
      <w:pPr>
        <w:spacing w:after="140" w:line="276"/>
      </w:pPr>
      <w:r>
        <w:rPr>
          <w:rFonts w:ascii="Calibri" w:cs="Calibri" w:eastAsia="Calibri" w:hAnsi="Calibri"/>
          <w:sz w:val="22"/>
          <w:szCs w:val="22"/>
        </w:rPr>
        <w:t xml:space="preserve">Local flow stays inside one function. Global flow crosses calls and powers security queries. Both use DataFlow nodes.</w:t>
      </w:r>
    </w:p>
    <w:p>
      <w:pPr>
        <w:pStyle w:val="Heading2"/>
        <w:spacing w:after="120" w:before="280"/>
      </w:pPr>
      <w:bookmarkStart w:name="_Toc23" w:id="23"/>
      <w:r>
        <w:rPr>
          <w:rFonts w:ascii="Calibri" w:cs="Calibri" w:eastAsia="Calibri" w:hAnsi="Calibri"/>
          <w:b/>
          <w:bCs/>
          <w:color w:val="2E75B6"/>
          <w:sz w:val="28"/>
          <w:szCs w:val="28"/>
        </w:rPr>
        <w:t xml:space="preserve">Configuration</w:t>
      </w:r>
      <w:bookmarkEnd w:id="23"/>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module MyConfig implements DataFlow::ConfigSig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predicate isSource(DataFlow::Node n) { n instanceof RemoteFlowSource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predicate isSink(DataFlow::Node n) { n instanceof DomBasedXssSink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module MyFlow = DataFlow::Global&lt;MyConfig&gt;;</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from MyFlow::PathNode source, MyFlow::PathNode sink</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where MyFlow::flowPath(source, sink)</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select sink.getNode(), source, sink, "Flow detected."</w:t>
      </w:r>
    </w:p>
    <w:p>
      <w:pPr>
        <w:spacing w:after="160" w:before="60"/>
      </w:pPr>
    </w:p>
    <w:p>
      <w:pPr>
        <w:spacing w:after="140" w:line="276"/>
      </w:pPr>
      <w:r>
        <w:rPr>
          <w:rFonts w:ascii="Calibri" w:cs="Calibri" w:eastAsia="Calibri" w:hAnsi="Calibri"/>
          <w:sz w:val="22"/>
          <w:szCs w:val="22"/>
        </w:rPr>
        <w:t xml:space="preserve">Skeleton: examples/chapter08/global-flow-skeleton.ql. Prefer TaintTracking::Global for security.</w:t>
      </w:r>
    </w:p>
    <w:p>
      <w:pPr>
        <w:pStyle w:val="Heading2"/>
        <w:spacing w:after="120" w:before="280"/>
      </w:pPr>
      <w:bookmarkStart w:name="_Toc24" w:id="24"/>
      <w:r>
        <w:rPr>
          <w:rFonts w:ascii="Calibri" w:cs="Calibri" w:eastAsia="Calibri" w:hAnsi="Calibri"/>
          <w:b/>
          <w:bCs/>
          <w:color w:val="2E75B6"/>
          <w:sz w:val="28"/>
          <w:szCs w:val="28"/>
        </w:rPr>
        <w:t xml:space="preserve">Exercises</w:t>
      </w:r>
      <w:bookmarkEnd w:id="24"/>
    </w:p>
    <w:p>
      <w:pPr>
        <w:spacing w:after="140" w:line="276"/>
      </w:pPr>
      <w:r>
        <w:rPr>
          <w:rFonts w:ascii="Calibri" w:cs="Calibri" w:eastAsia="Calibri" w:hAnsi="Calibri"/>
          <w:sz w:val="22"/>
          <w:szCs w:val="22"/>
        </w:rPr>
        <w:t xml:space="preserve">8.1 Compare local vs global by moving a sink into a helper.</w:t>
      </w:r>
    </w:p>
    <w:p>
      <w:pPr>
        <w:spacing w:after="140" w:line="276"/>
      </w:pPr>
      <w:r>
        <w:rPr>
          <w:rFonts w:ascii="Calibri" w:cs="Calibri" w:eastAsia="Calibri" w:hAnsi="Calibri"/>
          <w:sz w:val="22"/>
          <w:szCs w:val="22"/>
        </w:rPr>
        <w:t xml:space="preserve">8.2 Add an isAdditionalFlowStep for a pass-through function.</w:t>
      </w:r>
    </w:p>
    <w:p>
      <w:pPr>
        <w:pStyle w:val="Heading1"/>
        <w:pageBreakBefore/>
        <w:spacing w:after="200" w:before="0"/>
      </w:pPr>
      <w:bookmarkStart w:name="_Toc25" w:id="25"/>
      <w:r>
        <w:rPr>
          <w:rFonts w:ascii="Calibri" w:cs="Calibri" w:eastAsia="Calibri" w:hAnsi="Calibri"/>
          <w:b/>
          <w:bCs/>
          <w:color w:val="1F4E79"/>
          <w:sz w:val="36"/>
          <w:szCs w:val="36"/>
        </w:rPr>
        <w:t xml:space="preserve">Chapter 9: Taint Tracking and Path Queries</w:t>
      </w:r>
      <w:bookmarkEnd w:id="25"/>
    </w:p>
    <w:p>
      <w:pPr>
        <w:pStyle w:val="Heading2"/>
        <w:spacing w:after="120" w:before="280"/>
      </w:pPr>
      <w:bookmarkStart w:name="_Toc26" w:id="26"/>
      <w:r>
        <w:rPr>
          <w:rFonts w:ascii="Calibri" w:cs="Calibri" w:eastAsia="Calibri" w:hAnsi="Calibri"/>
          <w:b/>
          <w:bCs/>
          <w:color w:val="2E75B6"/>
          <w:sz w:val="28"/>
          <w:szCs w:val="28"/>
        </w:rPr>
        <w:t xml:space="preserve">Path Query Example</w:t>
      </w:r>
      <w:bookmarkEnd w:id="26"/>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 @kind path-problem</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 @problem.severity error</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import javascript</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module Config implements DataFlow::ConfigSig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predicate isSource(DataFlow::Node n) { n instanceof RemoteFlowSource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predicate isSink(DataFlow::Node n) { n instanceof DomBasedXssSink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module Flow = TaintTracking::Global&lt;Config&gt;;</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import Flow::PathGraph</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from Flow::PathNode source, Flow::PathNode sink</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where Flow::flowPath(source, sink)</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select sink.getNode(), source, sink, "XSS via $@.", source.getNode(), "user input"</w:t>
      </w:r>
    </w:p>
    <w:p>
      <w:pPr>
        <w:spacing w:after="160" w:before="60"/>
      </w:pPr>
    </w:p>
    <w:p>
      <w:pPr>
        <w:spacing w:after="140" w:line="276"/>
      </w:pPr>
      <w:r>
        <w:rPr>
          <w:rFonts w:ascii="Calibri" w:cs="Calibri" w:eastAsia="Calibri" w:hAnsi="Calibri"/>
          <w:sz w:val="22"/>
          <w:szCs w:val="22"/>
        </w:rPr>
        <w:t xml:space="preserve">Full query: examples/chapter09/xss-path.ql.</w:t>
      </w:r>
    </w:p>
    <w:p>
      <w:pPr>
        <w:pStyle w:val="Heading2"/>
        <w:spacing w:after="120" w:before="280"/>
      </w:pPr>
      <w:bookmarkStart w:name="_Toc27" w:id="27"/>
      <w:r>
        <w:rPr>
          <w:rFonts w:ascii="Calibri" w:cs="Calibri" w:eastAsia="Calibri" w:hAnsi="Calibri"/>
          <w:b/>
          <w:bCs/>
          <w:color w:val="2E75B6"/>
          <w:sz w:val="28"/>
          <w:szCs w:val="28"/>
        </w:rPr>
        <w:t xml:space="preserve">Exercises</w:t>
      </w:r>
      <w:bookmarkEnd w:id="27"/>
    </w:p>
    <w:p>
      <w:pPr>
        <w:spacing w:after="140" w:line="276"/>
      </w:pPr>
      <w:r>
        <w:rPr>
          <w:rFonts w:ascii="Calibri" w:cs="Calibri" w:eastAsia="Calibri" w:hAnsi="Calibri"/>
          <w:sz w:val="22"/>
          <w:szCs w:val="22"/>
        </w:rPr>
        <w:t xml:space="preserve">9.1 Complete examples/chapter09/exercise-sql-injection.ql.</w:t>
      </w:r>
    </w:p>
    <w:p>
      <w:pPr>
        <w:spacing w:after="140" w:line="276"/>
      </w:pPr>
      <w:r>
        <w:rPr>
          <w:rFonts w:ascii="Calibri" w:cs="Calibri" w:eastAsia="Calibri" w:hAnsi="Calibri"/>
          <w:sz w:val="22"/>
          <w:szCs w:val="22"/>
        </w:rPr>
        <w:t xml:space="preserve">9.2 Add a barrier in examples/chapter09/exercise-add-barrier.ql.</w:t>
      </w:r>
    </w:p>
    <w:p>
      <w:pPr>
        <w:spacing w:after="140" w:line="276"/>
      </w:pPr>
      <w:r>
        <w:rPr>
          <w:rFonts w:ascii="Calibri" w:cs="Calibri" w:eastAsia="Calibri" w:hAnsi="Calibri"/>
          <w:sz w:val="22"/>
          <w:szCs w:val="22"/>
        </w:rPr>
        <w:t xml:space="preserve">9.3 Practice partial-flow debugging.</w:t>
      </w:r>
    </w:p>
    <w:p>
      <w:pPr>
        <w:pStyle w:val="Heading1"/>
        <w:pageBreakBefore/>
        <w:spacing w:after="200" w:before="0"/>
      </w:pPr>
      <w:bookmarkStart w:name="_Toc28" w:id="28"/>
      <w:r>
        <w:rPr>
          <w:rFonts w:ascii="Calibri" w:cs="Calibri" w:eastAsia="Calibri" w:hAnsi="Calibri"/>
          <w:b/>
          <w:bCs/>
          <w:color w:val="1F4E79"/>
          <w:sz w:val="36"/>
          <w:szCs w:val="36"/>
        </w:rPr>
        <w:t xml:space="preserve">Chapter 10: Library Extension</w:t>
      </w:r>
      <w:bookmarkEnd w:id="28"/>
    </w:p>
    <w:p>
      <w:pPr>
        <w:pStyle w:val="Heading2"/>
        <w:spacing w:after="120" w:before="280"/>
      </w:pPr>
      <w:bookmarkStart w:name="_Toc29" w:id="29"/>
      <w:r>
        <w:rPr>
          <w:rFonts w:ascii="Calibri" w:cs="Calibri" w:eastAsia="Calibri" w:hAnsi="Calibri"/>
          <w:b/>
          <w:bCs/>
          <w:color w:val="2E75B6"/>
          <w:sz w:val="28"/>
          <w:szCs w:val="28"/>
        </w:rPr>
        <w:t xml:space="preserve">Custom Source</w:t>
      </w:r>
      <w:bookmarkEnd w:id="29"/>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class CustomRemoteSource extends RemoteFlowSource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CustomRemoteSource()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this = any(CallExpr c | c.getCalleeName() = "getUserInput").flow()</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w:t>
      </w:r>
    </w:p>
    <w:p>
      <w:pPr>
        <w:spacing w:after="160" w:before="60"/>
      </w:pPr>
    </w:p>
    <w:p>
      <w:pPr>
        <w:spacing w:after="140" w:line="276"/>
      </w:pPr>
      <w:r>
        <w:rPr>
          <w:rFonts w:ascii="Calibri" w:cs="Calibri" w:eastAsia="Calibri" w:hAnsi="Calibri"/>
          <w:sz w:val="22"/>
          <w:szCs w:val="22"/>
        </w:rPr>
        <w:t xml:space="preserve">Example: examples/chapter10/custom-source.ql.</w:t>
      </w:r>
    </w:p>
    <w:p>
      <w:pPr>
        <w:pStyle w:val="Heading2"/>
        <w:spacing w:after="120" w:before="280"/>
      </w:pPr>
      <w:bookmarkStart w:name="_Toc30" w:id="30"/>
      <w:r>
        <w:rPr>
          <w:rFonts w:ascii="Calibri" w:cs="Calibri" w:eastAsia="Calibri" w:hAnsi="Calibri"/>
          <w:b/>
          <w:bCs/>
          <w:color w:val="2E75B6"/>
          <w:sz w:val="28"/>
          <w:szCs w:val="28"/>
        </w:rPr>
        <w:t xml:space="preserve">Exercises</w:t>
      </w:r>
      <w:bookmarkEnd w:id="30"/>
    </w:p>
    <w:p>
      <w:pPr>
        <w:spacing w:after="140" w:line="276"/>
      </w:pPr>
      <w:r>
        <w:rPr>
          <w:rFonts w:ascii="Calibri" w:cs="Calibri" w:eastAsia="Calibri" w:hAnsi="Calibri"/>
          <w:sz w:val="22"/>
          <w:szCs w:val="22"/>
        </w:rPr>
        <w:t xml:space="preserve">10.1 Add a second custom source.</w:t>
      </w:r>
    </w:p>
    <w:p>
      <w:pPr>
        <w:spacing w:after="140" w:line="276"/>
      </w:pPr>
      <w:r>
        <w:rPr>
          <w:rFonts w:ascii="Calibri" w:cs="Calibri" w:eastAsia="Calibri" w:hAnsi="Calibri"/>
          <w:sz w:val="22"/>
          <w:szCs w:val="22"/>
        </w:rPr>
        <w:t xml:space="preserve">10.2 Complete examples/chapter10/exercise-custom-sink.ql.</w:t>
      </w:r>
    </w:p>
    <w:p>
      <w:pPr>
        <w:spacing w:after="140" w:line="276"/>
      </w:pPr>
      <w:r>
        <w:rPr>
          <w:rFonts w:ascii="Calibri" w:cs="Calibri" w:eastAsia="Calibri" w:hAnsi="Calibri"/>
          <w:sz w:val="22"/>
          <w:szCs w:val="22"/>
        </w:rPr>
        <w:t xml:space="preserve">10.3 Sketch a model pack. Test every extension with positive and negative cases.</w:t>
      </w:r>
    </w:p>
    <w:p>
      <w:pPr>
        <w:pStyle w:val="Heading1"/>
        <w:pageBreakBefore/>
        <w:spacing w:after="200" w:before="0"/>
      </w:pPr>
      <w:bookmarkStart w:name="_Toc31" w:id="31"/>
      <w:r>
        <w:rPr>
          <w:rFonts w:ascii="Calibri" w:cs="Calibri" w:eastAsia="Calibri" w:hAnsi="Calibri"/>
          <w:b/>
          <w:bCs/>
          <w:color w:val="1F4E79"/>
          <w:sz w:val="36"/>
          <w:szCs w:val="36"/>
        </w:rPr>
        <w:t xml:space="preserve">Chapter 11: Packs, Suites, and Production Use</w:t>
      </w:r>
      <w:bookmarkEnd w:id="31"/>
    </w:p>
    <w:p>
      <w:pPr>
        <w:spacing w:after="140" w:line="276"/>
      </w:pPr>
      <w:r>
        <w:rPr>
          <w:rFonts w:ascii="Calibri" w:cs="Calibri" w:eastAsia="Calibri" w:hAnsi="Calibri"/>
          <w:sz w:val="22"/>
          <w:szCs w:val="22"/>
        </w:rPr>
        <w:t xml:space="preserve">Packs use qlpack.yml. Suites (.qls) select queries. Complete metadata and expected-result tests are required. See examples/chapter11/.</w:t>
      </w:r>
    </w:p>
    <w:p>
      <w:pPr>
        <w:spacing w:after="60" w:before="120"/>
      </w:pP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name: mustlearn/example-queries</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version: 1.0.0</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dependencies:</w:t>
      </w:r>
    </w:p>
    <w:p>
      <w:pPr>
        <w:pBdr>
          <w:left w:val="single" w:color="2E75B6" w:sz="18" w:space="10"/>
        </w:pBdr>
        <w:shd w:fill="F8F9FA" w:val="clear"/>
        <w:spacing w:after="0" w:line="240"/>
        <w:ind w:left="400" w:right="200"/>
      </w:pPr>
      <w:r>
        <w:rPr>
          <w:rFonts w:ascii="Consolas" w:cs="Consolas" w:eastAsia="Consolas" w:hAnsi="Consolas"/>
          <w:color w:val="1F2937"/>
          <w:sz w:val="18"/>
          <w:szCs w:val="18"/>
        </w:rPr>
        <w:t xml:space="preserve">  codeql/javascript-all: "*"</w:t>
      </w:r>
    </w:p>
    <w:p>
      <w:pPr>
        <w:spacing w:after="160" w:before="60"/>
      </w:pPr>
    </w:p>
    <w:p>
      <w:pPr>
        <w:pStyle w:val="Heading1"/>
        <w:pageBreakBefore/>
        <w:spacing w:after="200" w:before="0"/>
      </w:pPr>
      <w:bookmarkStart w:name="_Toc32" w:id="32"/>
      <w:r>
        <w:rPr>
          <w:rFonts w:ascii="Calibri" w:cs="Calibri" w:eastAsia="Calibri" w:hAnsi="Calibri"/>
          <w:b/>
          <w:bCs/>
          <w:color w:val="1F4E79"/>
          <w:sz w:val="36"/>
          <w:szCs w:val="36"/>
        </w:rPr>
        <w:t xml:space="preserve">Chapter 12: CI Integration</w:t>
      </w:r>
      <w:bookmarkEnd w:id="32"/>
    </w:p>
    <w:p>
      <w:pPr>
        <w:spacing w:after="140" w:line="276"/>
      </w:pPr>
      <w:r>
        <w:rPr>
          <w:rFonts w:ascii="Calibri" w:cs="Calibri" w:eastAsia="Calibri" w:hAnsi="Calibri"/>
          <w:sz w:val="22"/>
          <w:szCs w:val="22"/>
        </w:rPr>
        <w:t xml:space="preserve">The CodeQL GitHub Action (examples/chapter12/codeql-analysis.yml) creates databases, runs queries, and uploads SARIF. Other CI systems use the CLI bundle. MRVA supports large-scale analysis.</w:t>
      </w:r>
    </w:p>
    <w:p>
      <w:pPr>
        <w:pStyle w:val="Heading1"/>
        <w:pageBreakBefore/>
        <w:spacing w:after="200" w:before="0"/>
      </w:pPr>
      <w:bookmarkStart w:name="_Toc33" w:id="33"/>
      <w:r>
        <w:rPr>
          <w:rFonts w:ascii="Calibri" w:cs="Calibri" w:eastAsia="Calibri" w:hAnsi="Calibri"/>
          <w:b/>
          <w:bCs/>
          <w:color w:val="1F4E79"/>
          <w:sz w:val="36"/>
          <w:szCs w:val="36"/>
        </w:rPr>
        <w:t xml:space="preserve">Chapter 13: Performance and Debugging</w:t>
      </w:r>
      <w:bookmarkEnd w:id="33"/>
    </w:p>
    <w:p>
      <w:pPr>
        <w:spacing w:after="140" w:line="276"/>
      </w:pPr>
      <w:r>
        <w:rPr>
          <w:rFonts w:ascii="Calibri" w:cs="Calibri" w:eastAsia="Calibri" w:hAnsi="Calibri"/>
          <w:sz w:val="22"/>
          <w:szCs w:val="22"/>
        </w:rPr>
        <w:t xml:space="preserve">Keep predicates small. Use partial-flow debugging for missing paths. See examples/chapter13/performance-predicate.ql.</w:t>
      </w:r>
    </w:p>
    <w:p>
      <w:pPr>
        <w:pStyle w:val="Heading1"/>
        <w:pageBreakBefore/>
        <w:spacing w:after="200" w:before="0"/>
      </w:pPr>
      <w:bookmarkStart w:name="_Toc34" w:id="34"/>
      <w:r>
        <w:rPr>
          <w:rFonts w:ascii="Calibri" w:cs="Calibri" w:eastAsia="Calibri" w:hAnsi="Calibri"/>
          <w:b/>
          <w:bCs/>
          <w:color w:val="1F4E79"/>
          <w:sz w:val="36"/>
          <w:szCs w:val="36"/>
        </w:rPr>
        <w:t xml:space="preserve">Chapter 14: Case Studies</w:t>
      </w:r>
      <w:bookmarkEnd w:id="34"/>
    </w:p>
    <w:p>
      <w:pPr>
        <w:spacing w:after="140" w:line="276"/>
      </w:pPr>
      <w:r>
        <w:rPr>
          <w:rFonts w:ascii="Calibri" w:cs="Calibri" w:eastAsia="Calibri" w:hAnsi="Calibri"/>
          <w:sz w:val="22"/>
          <w:szCs w:val="22"/>
        </w:rPr>
        <w:t xml:space="preserve">Study Security Lab Zero-to-Hero write-ups. SQL injection skeleton: examples/chapter14/sql-injection-example.ql. Combine with your extensions.</w:t>
      </w:r>
    </w:p>
    <w:p>
      <w:pPr>
        <w:pStyle w:val="Heading1"/>
        <w:pageBreakBefore/>
        <w:spacing w:after="200" w:before="0"/>
      </w:pPr>
      <w:bookmarkStart w:name="_Toc35" w:id="35"/>
      <w:r>
        <w:rPr>
          <w:rFonts w:ascii="Calibri" w:cs="Calibri" w:eastAsia="Calibri" w:hAnsi="Calibri"/>
          <w:b/>
          <w:bCs/>
          <w:color w:val="1F4E79"/>
          <w:sz w:val="36"/>
          <w:szCs w:val="36"/>
        </w:rPr>
        <w:t xml:space="preserve">Chapter 15: Best Practices and Next Steps</w:t>
      </w:r>
      <w:bookmarkEnd w:id="35"/>
    </w:p>
    <w:p>
      <w:pPr>
        <w:spacing w:after="140" w:line="276"/>
      </w:pPr>
      <w:r>
        <w:rPr>
          <w:rFonts w:ascii="Calibri" w:cs="Calibri" w:eastAsia="Calibri" w:hAnsi="Calibri"/>
          <w:sz w:val="22"/>
          <w:szCs w:val="22"/>
        </w:rPr>
        <w:t xml:space="preserve">Write small tested predicates. Extend libraries rather than duplicating logic. Use precise barriers. Maintain positive and negative tests. Contribute good models upstream.</w:t>
      </w:r>
    </w:p>
    <w:p>
      <w:pPr>
        <w:pStyle w:val="Heading1"/>
        <w:pageBreakBefore/>
        <w:spacing w:after="200" w:before="0"/>
      </w:pPr>
      <w:bookmarkStart w:name="_Toc36" w:id="36"/>
      <w:r>
        <w:rPr>
          <w:rFonts w:ascii="Calibri" w:cs="Calibri" w:eastAsia="Calibri" w:hAnsi="Calibri"/>
          <w:b/>
          <w:bCs/>
          <w:color w:val="1F4E79"/>
          <w:sz w:val="36"/>
          <w:szCs w:val="36"/>
        </w:rPr>
        <w:t xml:space="preserve">Appendix: Resources</w:t>
      </w:r>
      <w:bookmarkEnd w:id="36"/>
    </w:p>
    <w:p>
      <w:pPr>
        <w:spacing w:after="140" w:line="276"/>
      </w:pPr>
      <w:r>
        <w:rPr>
          <w:rFonts w:ascii="Calibri" w:cs="Calibri" w:eastAsia="Calibri" w:hAnsi="Calibri"/>
          <w:sz w:val="22"/>
          <w:szCs w:val="22"/>
        </w:rPr>
        <w:t xml:space="preserve">Official documentation: https://codeql.github.com/docs/</w:t>
      </w:r>
    </w:p>
    <w:p>
      <w:pPr>
        <w:spacing w:after="140" w:line="276"/>
      </w:pPr>
      <w:r>
        <w:rPr>
          <w:rFonts w:ascii="Calibri" w:cs="Calibri" w:eastAsia="Calibri" w:hAnsi="Calibri"/>
          <w:sz w:val="22"/>
          <w:szCs w:val="22"/>
        </w:rPr>
        <w:t xml:space="preserve">Companion repository: https://github.com/rod-trent/MustLearnCodeQL</w:t>
      </w:r>
    </w:p>
    <w:p>
      <w:pPr>
        <w:spacing w:after="140" w:line="276"/>
      </w:pPr>
      <w:r>
        <w:rPr>
          <w:rFonts w:ascii="Calibri" w:cs="Calibri" w:eastAsia="Calibri" w:hAnsi="Calibri"/>
          <w:sz w:val="22"/>
          <w:szCs w:val="22"/>
        </w:rPr>
        <w:t xml:space="preserve">Exercise starters are under examples/chapter08/, chapter09/, and chapter10/.</w:t>
      </w:r>
    </w:p>
    <w:p>
      <w:pPr>
        <w:spacing w:before="400"/>
        <w:jc w:val="center"/>
      </w:pPr>
      <w:r>
        <w:rPr>
          <w:i/>
          <w:iCs/>
          <w:color w:val="666666"/>
          <w:sz w:val="22"/>
          <w:szCs w:val="22"/>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4"/>
      </w:pBdr>
      <w:spacing w:before="120"/>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4"/>
      </w:pBdr>
      <w:spacing w:after="120"/>
      <w:jc w:val="right"/>
    </w:pPr>
    <w:r>
      <w:rPr>
        <w:rFonts w:ascii="Calibri" w:cs="Calibri" w:eastAsia="Calibri" w:hAnsi="Calibri"/>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26jem_ropwfqaqamymkj0"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2026-10-15T17:00:00.598Z</dcterms:created>
  <dcterms:modified xsi:type="dcterms:W3CDTF">2026-10-15T17:00:00.598Z</dcterms:modified>
</cp:coreProperties>
</file>

<file path=docProps/custom.xml><?xml version="1.0" encoding="utf-8"?>
<Properties xmlns="http://schemas.openxmlformats.org/officeDocument/2006/custom-properties" xmlns:vt="http://schemas.openxmlformats.org/officeDocument/2006/docPropsVTypes"/>
</file>