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Must Learn CodeQL</w:t>
      </w:r>
    </w:p>
    <w:p>
      <w:pPr>
        <w:pStyle w:val="Subtitle"/>
      </w:pPr>
      <w:r>
        <w:t xml:space="preserve">A Practical Guide to Semantic Code Analysis with Examples and Exercises</w:t>
      </w:r>
    </w:p>
    <w:p>
      <w:pPr>
        <w:spacing w:before="300"/>
        <w:jc w:val="center"/>
      </w:pPr>
      <w:r>
        <w:rPr>
          <w:b/>
          <w:bCs/>
          <w:sz w:val="28"/>
          <w:szCs w:val="28"/>
        </w:rPr>
        <w:t xml:space="preserve">Rod Trent</w:t>
      </w:r>
    </w:p>
    <w:p>
      <w:pPr>
        <w:spacing w:before="80"/>
        <w:jc w:val="center"/>
      </w:pPr>
      <w:r>
        <w:rPr>
          <w:i/>
          <w:iCs/>
          <w:sz w:val="22"/>
          <w:szCs w:val="22"/>
        </w:rPr>
        <w:t xml:space="preserve">2026</w:t>
      </w:r>
    </w:p>
    <w:p>
      <w:pPr>
        <w:spacing w:before="300"/>
        <w:jc w:val="center"/>
      </w:pPr>
      <w:hyperlink w:history="1" r:id="rIdze9lf6jzvcttt48pl77wt">
        <w:r>
          <w:rPr>
            <w:rStyle w:val="Hyperlink"/>
          </w:rPr>
          <w:t xml:space="preserve">github.com/rod-trent/MustLearnCodeQL</w:t>
        </w:r>
      </w:hyperlink>
    </w:p>
    <w:p>
      <w:pPr>
        <w:pStyle w:val="Heading1"/>
        <w:pageBreakBefore/>
      </w:pPr>
      <w:r>
        <w:t xml:space="preserve">How to Use This Book</w:t>
      </w:r>
    </w:p>
    <w:p>
      <w:pPr>
        <w:spacing w:after="130"/>
      </w:pPr>
      <w:r>
        <w:rPr>
          <w:sz w:val="22"/>
          <w:szCs w:val="22"/>
        </w:rPr>
        <w:t xml:space="preserve">This book teaches CodeQL from first principles through production use, with special depth on data-flow analysis, taint tracking, and library extension. Every major topic includes explanations, complete code examples, and hands-on exercises. All starter files and solutions guidance live in the companion repository under examples/chapterNN/.</w:t>
      </w:r>
    </w:p>
    <w:p>
      <w:pPr>
        <w:spacing w:after="130"/>
      </w:pPr>
      <w:r>
        <w:rPr>
          <w:sz w:val="22"/>
          <w:szCs w:val="22"/>
        </w:rPr>
        <w:t xml:space="preserve">Create a small database, open the referenced .ql files, complete the exercises, and compare your results with the expected outcomes. JavaScript is used for most examples; the patterns transfer directly to other languages.</w:t>
      </w:r>
    </w:p>
    <w:p>
      <w:pPr>
        <w:pStyle w:val="Heading1"/>
        <w:pageBreakBefore/>
      </w:pPr>
      <w:r>
        <w:t xml:space="preserve">Chapters 1–7: Foundations</w:t>
      </w:r>
    </w:p>
    <w:p>
      <w:pPr>
        <w:pStyle w:val="Heading2"/>
      </w:pPr>
      <w:r>
        <w:t xml:space="preserve">Why CodeQL</w:t>
      </w:r>
    </w:p>
    <w:p>
      <w:pPr>
        <w:spacing w:after="130"/>
      </w:pPr>
      <w:r>
        <w:rPr>
          <w:sz w:val="22"/>
          <w:szCs w:val="22"/>
        </w:rPr>
        <w:t xml:space="preserve">CodeQL turns source code into a queryable relational database containing the AST, control flow, and data-flow foundations. This enables precise variant analysis: encode a vulnerability pattern once and find every instance, then enforce it in CI. Traditional pattern matchers miss multi-function flows; CodeQL does not.</w:t>
      </w:r>
    </w:p>
    <w:p>
      <w:pPr>
        <w:pStyle w:val="Heading2"/>
      </w:pPr>
      <w:r>
        <w:t xml:space="preserve">Setup and Databases</w:t>
      </w:r>
    </w:p>
    <w:p>
      <w:pPr>
        <w:spacing w:after="130"/>
      </w:pPr>
      <w:r>
        <w:rPr>
          <w:sz w:val="22"/>
          <w:szCs w:val="22"/>
        </w:rPr>
        <w:t xml:space="preserve">Use the CLI (codeql database create ...), the VS Code extension, or Codespaces. Databases are language-specific snapshots. Interpreted languages extract directly; compiled languages require monitoring a build. Inspect with codeql database info. Examples and commands are in examples/chapter03/.</w:t>
      </w:r>
    </w:p>
    <w:p>
      <w:pPr>
        <w:pStyle w:val="Heading2"/>
      </w:pPr>
      <w:r>
        <w:t xml:space="preserve">QL Basics and Predicates</w:t>
      </w:r>
    </w:p>
    <w:p>
      <w:pPr>
        <w:spacing w:after="130"/>
      </w:pPr>
      <w:r>
        <w:rPr>
          <w:sz w:val="22"/>
          <w:szCs w:val="22"/>
        </w:rPr>
        <w:t xml:space="preserve">QL is declarative. Queries use from/where/select. Predicates are reusable named relations and may be recursive. Custom predicates improve clarity and performance. See examples/chapter05/eval-call.ql and examples/chapter06/interesting-calls.ql.</w:t>
      </w:r>
    </w:p>
    <w:p>
      <w:pPr>
        <w:pStyle w:val="Heading2"/>
      </w:pPr>
      <w:r>
        <w:t xml:space="preserve">Language Libraries</w:t>
      </w:r>
    </w:p>
    <w:p>
      <w:pPr>
        <w:spacing w:after="130"/>
      </w:pPr>
      <w:r>
        <w:rPr>
          <w:sz w:val="22"/>
          <w:szCs w:val="22"/>
        </w:rPr>
        <w:t xml:space="preserve">Standard libraries provide classes such as Function, CallExpr, and RemoteFlowSource. Start broad, inspect results, then refine. Navigation style is consistent across languages once you learn the class names.</w:t>
      </w:r>
    </w:p>
    <w:p>
      <w:pPr>
        <w:pStyle w:val="Heading1"/>
        <w:pageBreakBefore/>
      </w:pPr>
      <w:r>
        <w:t xml:space="preserve">Chapter 8: Data Flow Analysis</w:t>
      </w:r>
    </w:p>
    <w:p>
      <w:pPr>
        <w:pStyle w:val="Heading2"/>
      </w:pPr>
      <w:r>
        <w:t xml:space="preserve">Local and Global Flow</w:t>
      </w:r>
    </w:p>
    <w:p>
      <w:pPr>
        <w:spacing w:after="130"/>
      </w:pPr>
      <w:r>
        <w:rPr>
          <w:sz w:val="22"/>
          <w:szCs w:val="22"/>
        </w:rPr>
        <w:t xml:space="preserve">Local data flow stays inside one function and is fast. Global data flow crosses calls and is required for most security queries. Both use DataFlow nodes that abstract over syntax so queries survive refactoring.</w:t>
      </w:r>
    </w:p>
    <w:p>
      <w:pPr>
        <w:pStyle w:val="Heading2"/>
      </w:pPr>
      <w:r>
        <w:t xml:space="preserve">Configuration Example</w:t>
      </w:r>
    </w:p>
    <w:p>
      <w:pPr>
        <w:spacing w:after="10" w:before="10"/>
      </w:pPr>
      <w:r>
        <w:rPr>
          <w:rFonts w:ascii="Consolas" w:cs="Consolas" w:eastAsia="Consolas" w:hAnsi="Consolas"/>
          <w:sz w:val="18"/>
          <w:szCs w:val="18"/>
        </w:rPr>
        <w:t xml:space="preserve">module MyConfig implements DataFlow::ConfigSig {</w:t>
      </w:r>
    </w:p>
    <w:p>
      <w:pPr>
        <w:spacing w:after="10" w:before="10"/>
      </w:pPr>
      <w:r>
        <w:rPr>
          <w:rFonts w:ascii="Consolas" w:cs="Consolas" w:eastAsia="Consolas" w:hAnsi="Consolas"/>
          <w:sz w:val="18"/>
          <w:szCs w:val="18"/>
        </w:rPr>
        <w:t xml:space="preserve">  predicate isSource(DataFlow::Node n) { n instanceof RemoteFlowSource }</w:t>
      </w:r>
    </w:p>
    <w:p>
      <w:pPr>
        <w:spacing w:after="10" w:before="10"/>
      </w:pPr>
      <w:r>
        <w:rPr>
          <w:rFonts w:ascii="Consolas" w:cs="Consolas" w:eastAsia="Consolas" w:hAnsi="Consolas"/>
          <w:sz w:val="18"/>
          <w:szCs w:val="18"/>
        </w:rPr>
        <w:t xml:space="preserve">  predicate isSink(DataFlow::Node n) { n instanceof DomBasedXssSink }</w:t>
      </w:r>
    </w:p>
    <w:p>
      <w:pPr>
        <w:spacing w:after="10" w:before="10"/>
      </w:pPr>
      <w:r>
        <w:rPr>
          <w:rFonts w:ascii="Consolas" w:cs="Consolas" w:eastAsia="Consolas" w:hAnsi="Consolas"/>
          <w:sz w:val="18"/>
          <w:szCs w:val="18"/>
        </w:rPr>
        <w:t xml:space="preserve">}</w:t>
      </w:r>
    </w:p>
    <w:p>
      <w:pPr>
        <w:spacing w:after="10" w:before="10"/>
      </w:pPr>
      <w:r>
        <w:rPr>
          <w:rFonts w:ascii="Consolas" w:cs="Consolas" w:eastAsia="Consolas" w:hAnsi="Consolas"/>
          <w:sz w:val="18"/>
          <w:szCs w:val="18"/>
        </w:rPr>
        <w:t xml:space="preserve">module MyFlow = DataFlow::Global&lt;MyConfig&gt;;</w:t>
      </w:r>
    </w:p>
    <w:p>
      <w:pPr>
        <w:spacing w:after="10" w:before="10"/>
      </w:pPr>
      <w:r>
        <w:rPr>
          <w:rFonts w:ascii="Consolas" w:cs="Consolas" w:eastAsia="Consolas" w:hAnsi="Consolas"/>
          <w:sz w:val="18"/>
          <w:szCs w:val="18"/>
        </w:rPr>
        <w:t xml:space="preserve">from MyFlow::PathNode source, MyFlow::PathNode sink</w:t>
      </w:r>
    </w:p>
    <w:p>
      <w:pPr>
        <w:spacing w:after="10" w:before="10"/>
      </w:pPr>
      <w:r>
        <w:rPr>
          <w:rFonts w:ascii="Consolas" w:cs="Consolas" w:eastAsia="Consolas" w:hAnsi="Consolas"/>
          <w:sz w:val="18"/>
          <w:szCs w:val="18"/>
        </w:rPr>
        <w:t xml:space="preserve">where MyFlow::flowPath(source, sink)</w:t>
      </w:r>
    </w:p>
    <w:p>
      <w:pPr>
        <w:spacing w:after="10" w:before="10"/>
      </w:pPr>
      <w:r>
        <w:rPr>
          <w:rFonts w:ascii="Consolas" w:cs="Consolas" w:eastAsia="Consolas" w:hAnsi="Consolas"/>
          <w:sz w:val="18"/>
          <w:szCs w:val="18"/>
        </w:rPr>
        <w:t xml:space="preserve">select sink.getNode(), source, sink, "Flow detected."</w:t>
      </w:r>
    </w:p>
    <w:p>
      <w:pPr>
        <w:spacing w:after="130"/>
      </w:pPr>
      <w:r>
        <w:rPr>
          <w:sz w:val="22"/>
          <w:szCs w:val="22"/>
        </w:rPr>
        <w:t xml:space="preserve">Full skeleton: examples/chapter08/global-flow-skeleton.ql. Prefer TaintTracking::Global for security work.</w:t>
      </w:r>
    </w:p>
    <w:p>
      <w:pPr>
        <w:pStyle w:val="Heading2"/>
      </w:pPr>
      <w:r>
        <w:t xml:space="preserve">Additional Steps and Barriers</w:t>
      </w:r>
    </w:p>
    <w:p>
      <w:pPr>
        <w:spacing w:after="130"/>
      </w:pPr>
      <w:r>
        <w:rPr>
          <w:sz w:val="22"/>
          <w:szCs w:val="22"/>
        </w:rPr>
        <w:t xml:space="preserve">Implement isAdditionalFlowStep to model library transformations. Implement isBarrier to stop flow at sanitizers. Add one change at a time and re-test.</w:t>
      </w:r>
    </w:p>
    <w:p>
      <w:pPr>
        <w:pStyle w:val="Heading2"/>
      </w:pPr>
      <w:r>
        <w:t xml:space="preserve">Exercise 8.1 – Local versus Global</w:t>
      </w:r>
    </w:p>
    <w:p>
      <w:pPr>
        <w:spacing w:after="130"/>
      </w:pPr>
      <w:r>
        <w:rPr>
          <w:sz w:val="22"/>
          <w:szCs w:val="22"/>
        </w:rPr>
        <w:t xml:space="preserve">Write a function that passes remote input to a sink in the same function. Confirm both local and global queries report it. Move the sink to a helper. Only the global query should still report the issue.</w:t>
      </w:r>
    </w:p>
    <w:p>
      <w:pPr>
        <w:pStyle w:val="Heading2"/>
      </w:pPr>
      <w:r>
        <w:t xml:space="preserve">Exercise 8.2 – Additional Flow Step</w:t>
      </w:r>
    </w:p>
    <w:p>
      <w:pPr>
        <w:spacing w:after="130"/>
      </w:pPr>
      <w:r>
        <w:rPr>
          <w:sz w:val="22"/>
          <w:szCs w:val="22"/>
        </w:rPr>
        <w:t xml:space="preserve">Model a pass-through function transform(data). Verify paths that previously stopped now continue. Expected: new paths appear only after the step is added.</w:t>
      </w:r>
    </w:p>
    <w:p>
      <w:pPr>
        <w:pStyle w:val="Heading2"/>
      </w:pPr>
      <w:r>
        <w:t xml:space="preserve">Debugging and Performance</w:t>
      </w:r>
    </w:p>
    <w:p>
      <w:pPr>
        <w:spacing w:after="130"/>
      </w:pPr>
      <w:r>
        <w:rPr>
          <w:sz w:val="22"/>
          <w:szCs w:val="22"/>
        </w:rPr>
        <w:t xml:space="preserve">When paths are missing, select sources and sinks independently, then use partial flow. Keep configurations precise. Local flow is always cheaper when it suffices.</w:t>
      </w:r>
    </w:p>
    <w:p>
      <w:pPr>
        <w:pStyle w:val="Heading1"/>
        <w:pageBreakBefore/>
      </w:pPr>
      <w:r>
        <w:t xml:space="preserve">Chapter 9: Taint Tracking and Path Queries</w:t>
      </w:r>
    </w:p>
    <w:p>
      <w:pPr>
        <w:pStyle w:val="Heading2"/>
      </w:pPr>
      <w:r>
        <w:t xml:space="preserve">Taint versus Pure Data Flow</w:t>
      </w:r>
    </w:p>
    <w:p>
      <w:pPr>
        <w:spacing w:after="130"/>
      </w:pPr>
      <w:r>
        <w:rPr>
          <w:sz w:val="22"/>
          <w:szCs w:val="22"/>
        </w:rPr>
        <w:t xml:space="preserve">Taint tracking propagates through derived values. It matches the security model that anything computed from untrusted input remains untrusted until sanitized. Path queries (@kind path-problem) display the full path.</w:t>
      </w:r>
    </w:p>
    <w:p>
      <w:pPr>
        <w:pStyle w:val="Heading2"/>
      </w:pPr>
      <w:r>
        <w:t xml:space="preserve">Complete XSS Path Query</w:t>
      </w:r>
    </w:p>
    <w:p>
      <w:pPr>
        <w:spacing w:after="130"/>
      </w:pPr>
      <w:r>
        <w:rPr>
          <w:sz w:val="22"/>
          <w:szCs w:val="22"/>
        </w:rPr>
        <w:t xml:space="preserve">Study examples/chapter09/xss-path.ql for metadata, configuration, PathGraph import, and the required select form.</w:t>
      </w:r>
    </w:p>
    <w:p>
      <w:pPr>
        <w:pStyle w:val="Heading2"/>
      </w:pPr>
      <w:r>
        <w:t xml:space="preserve">Exercise 9.1 – SQL Injection</w:t>
      </w:r>
    </w:p>
    <w:p>
      <w:pPr>
        <w:spacing w:after="130"/>
      </w:pPr>
      <w:r>
        <w:rPr>
          <w:sz w:val="22"/>
          <w:szCs w:val="22"/>
        </w:rPr>
        <w:t xml:space="preserve">Open examples/chapter09/exercise-sql-injection.ql. Refine the sink predicate. Create sample code with and without sanitization. Expected: paths reported only for unsanitized flows.</w:t>
      </w:r>
    </w:p>
    <w:p>
      <w:pPr>
        <w:pStyle w:val="Heading2"/>
      </w:pPr>
      <w:r>
        <w:t xml:space="preserve">Exercise 9.2 – Add a Barrier</w:t>
      </w:r>
    </w:p>
    <w:p>
      <w:pPr>
        <w:spacing w:after="130"/>
      </w:pPr>
      <w:r>
        <w:rPr>
          <w:sz w:val="22"/>
          <w:szCs w:val="22"/>
        </w:rPr>
        <w:t xml:space="preserve">Open examples/chapter09/exercise-add-barrier.ql. Implement isBarrier for sanitize or escapeHtml. Expected: paths through the sanitizer disappear; bypassing paths remain.</w:t>
      </w:r>
    </w:p>
    <w:p>
      <w:pPr>
        <w:pStyle w:val="Heading2"/>
      </w:pPr>
      <w:r>
        <w:t xml:space="preserve">Exercise 9.3 – Partial-Flow Debugging</w:t>
      </w:r>
    </w:p>
    <w:p>
      <w:pPr>
        <w:spacing w:after="130"/>
      </w:pPr>
      <w:r>
        <w:rPr>
          <w:sz w:val="22"/>
          <w:szCs w:val="22"/>
        </w:rPr>
        <w:t xml:space="preserve">Break the source predicate so no complete path exists. Use partial flow or intermediate selects to find the last reached node. Restore the source and confirm the path returns.</w:t>
      </w:r>
    </w:p>
    <w:p>
      <w:pPr>
        <w:pStyle w:val="Heading2"/>
      </w:pPr>
      <w:r>
        <w:t xml:space="preserve">Flow State and Pitfalls</w:t>
      </w:r>
    </w:p>
    <w:p>
      <w:pPr>
        <w:spacing w:after="130"/>
      </w:pPr>
      <w:r>
        <w:rPr>
          <w:sz w:val="22"/>
          <w:szCs w:val="22"/>
        </w:rPr>
        <w:t xml:space="preserve">Flow state tracks extra properties (e.g., “has been encoded”). Common pitfalls: overly broad sources, missing wrapper models, barriers that are too strong, and incomplete databases. Always maintain positive and negative tests.</w:t>
      </w:r>
    </w:p>
    <w:p>
      <w:pPr>
        <w:pStyle w:val="Heading1"/>
        <w:pageBreakBefore/>
      </w:pPr>
      <w:r>
        <w:t xml:space="preserve">Chapter 10: CodeQL Library Extension</w:t>
      </w:r>
    </w:p>
    <w:p>
      <w:pPr>
        <w:pStyle w:val="Heading2"/>
      </w:pPr>
      <w:r>
        <w:t xml:space="preserve">Custom Sources</w:t>
      </w:r>
    </w:p>
    <w:p>
      <w:pPr>
        <w:spacing w:after="130"/>
      </w:pPr>
      <w:r>
        <w:rPr>
          <w:sz w:val="22"/>
          <w:szCs w:val="22"/>
        </w:rPr>
        <w:t xml:space="preserve">Subclass RemoteFlowSource (example: examples/chapter10/custom-source.ql). Existing queries automatically pick up the new source.</w:t>
      </w:r>
    </w:p>
    <w:p>
      <w:pPr>
        <w:pStyle w:val="Heading2"/>
      </w:pPr>
      <w:r>
        <w:t xml:space="preserve">Exercise 10.1 – Second Source</w:t>
      </w:r>
    </w:p>
    <w:p>
      <w:pPr>
        <w:spacing w:after="130"/>
      </w:pPr>
      <w:r>
        <w:rPr>
          <w:sz w:val="22"/>
          <w:szCs w:val="22"/>
        </w:rPr>
        <w:t xml:space="preserve">Add another origin such as readUntrustedFile(). Confirm a standard taint query now reports both.</w:t>
      </w:r>
    </w:p>
    <w:p>
      <w:pPr>
        <w:pStyle w:val="Heading2"/>
      </w:pPr>
      <w:r>
        <w:t xml:space="preserve">Custom Sinks and Summaries</w:t>
      </w:r>
    </w:p>
    <w:p>
      <w:pPr>
        <w:spacing w:after="130"/>
      </w:pPr>
      <w:r>
        <w:rPr>
          <w:sz w:val="22"/>
          <w:szCs w:val="22"/>
        </w:rPr>
        <w:t xml:space="preserve">Model internal APIs as sinks so standard queries understand them. Flow summaries describe simple argument-to-result relationships and are preferred when applicable.</w:t>
      </w:r>
    </w:p>
    <w:p>
      <w:pPr>
        <w:pStyle w:val="Heading2"/>
      </w:pPr>
      <w:r>
        <w:t xml:space="preserve">Exercise 10.2 – Custom Sink</w:t>
      </w:r>
    </w:p>
    <w:p>
      <w:pPr>
        <w:spacing w:after="130"/>
      </w:pPr>
      <w:r>
        <w:rPr>
          <w:sz w:val="22"/>
          <w:szCs w:val="22"/>
        </w:rPr>
        <w:t xml:space="preserve">Complete examples/chapter10/exercise-custom-sink.ql. Turn dangerousExecute into a modeled sink and reference it from a configuration. Expected: previously invisible flows are now reported; unrelated calls are ignored.</w:t>
      </w:r>
    </w:p>
    <w:p>
      <w:pPr>
        <w:pStyle w:val="Heading2"/>
      </w:pPr>
      <w:r>
        <w:t xml:space="preserve">Model Packs and Testing</w:t>
      </w:r>
    </w:p>
    <w:p>
      <w:pPr>
        <w:spacing w:after="130"/>
      </w:pPr>
      <w:r>
        <w:rPr>
          <w:sz w:val="22"/>
          <w:szCs w:val="22"/>
        </w:rPr>
        <w:t xml:space="preserve">Package extensions as model packs. Test with true-positive and true-negative cases. An incorrect model affects every dependent query, so tests are mandatory. Exercise 10.3: sketch a qlpack.yml for your models.</w:t>
      </w:r>
    </w:p>
    <w:p>
      <w:pPr>
        <w:pStyle w:val="Heading2"/>
      </w:pPr>
      <w:r>
        <w:t xml:space="preserve">Language Notes</w:t>
      </w:r>
    </w:p>
    <w:p>
      <w:pPr>
        <w:spacing w:after="130"/>
      </w:pPr>
      <w:r>
        <w:rPr>
          <w:sz w:val="22"/>
          <w:szCs w:val="22"/>
        </w:rPr>
        <w:t xml:space="preserve">JavaScript/Python often use API graphs; Java/C# subclass existing classes; C/C++ uses summaries. Copy a similar standard-library model and adapt it.</w:t>
      </w:r>
    </w:p>
    <w:p>
      <w:pPr>
        <w:pStyle w:val="Heading1"/>
        <w:pageBreakBefore/>
      </w:pPr>
      <w:r>
        <w:t xml:space="preserve">Chapter 11: Packs, Suites, Metadata, and Production</w:t>
      </w:r>
    </w:p>
    <w:p>
      <w:pPr>
        <w:spacing w:after="130"/>
      </w:pPr>
      <w:r>
        <w:rPr>
          <w:sz w:val="22"/>
          <w:szCs w:val="22"/>
        </w:rPr>
        <w:t xml:space="preserve">qlpack.yml defines packs and dependencies. .qls files select queries. Complete metadata and expected-result tests are required. Examples in examples/chapter11/.</w:t>
      </w:r>
    </w:p>
    <w:p>
      <w:pPr>
        <w:pStyle w:val="Heading1"/>
        <w:pageBreakBefore/>
      </w:pPr>
      <w:r>
        <w:t xml:space="preserve">Chapter 12: CI Integration</w:t>
      </w:r>
    </w:p>
    <w:p>
      <w:pPr>
        <w:spacing w:after="130"/>
      </w:pPr>
      <w:r>
        <w:rPr>
          <w:sz w:val="22"/>
          <w:szCs w:val="22"/>
        </w:rPr>
        <w:t xml:space="preserve">Use the CodeQL GitHub Action (examples/chapter12/codeql-analysis.yml) or the CLI bundle in other systems. Upload SARIF. MRVA supports large-scale variant analysis.</w:t>
      </w:r>
    </w:p>
    <w:p>
      <w:pPr>
        <w:pStyle w:val="Heading1"/>
        <w:pageBreakBefore/>
      </w:pPr>
      <w:r>
        <w:t xml:space="preserve">Chapter 13: Performance and Advanced Debugging</w:t>
      </w:r>
    </w:p>
    <w:p>
      <w:pPr>
        <w:spacing w:after="130"/>
      </w:pPr>
      <w:r>
        <w:rPr>
          <w:sz w:val="22"/>
          <w:szCs w:val="22"/>
        </w:rPr>
        <w:t xml:space="preserve">Small predicates, library helpers, and partial-flow debugging solve most issues. See examples/chapter13/performance-predicate.ql.</w:t>
      </w:r>
    </w:p>
    <w:p>
      <w:pPr>
        <w:pStyle w:val="Heading1"/>
        <w:pageBreakBefore/>
      </w:pPr>
      <w:r>
        <w:t xml:space="preserve">Chapter 14: Case Studies</w:t>
      </w:r>
    </w:p>
    <w:p>
      <w:pPr>
        <w:spacing w:after="130"/>
      </w:pPr>
      <w:r>
        <w:rPr>
          <w:sz w:val="22"/>
          <w:szCs w:val="22"/>
        </w:rPr>
        <w:t xml:space="preserve">Study Security Lab Zero-to-Hero write-ups. examples/chapter14/sql-injection-example.ql shows the skeleton. Combine with your extensions for real coverage.</w:t>
      </w:r>
    </w:p>
    <w:p>
      <w:pPr>
        <w:pStyle w:val="Heading1"/>
        <w:pageBreakBefore/>
      </w:pPr>
      <w:r>
        <w:t xml:space="preserve">Chapter 15: Best Practices and Next Steps</w:t>
      </w:r>
    </w:p>
    <w:p>
      <w:pPr>
        <w:spacing w:after="130"/>
      </w:pPr>
      <w:r>
        <w:rPr>
          <w:sz w:val="22"/>
          <w:szCs w:val="22"/>
        </w:rPr>
        <w:t xml:space="preserve">Small tested predicates, library extension over duplication, precise barriers, and upstream contribution are the habits that scale. You now have the tools and exercises to build production queries.</w:t>
      </w:r>
    </w:p>
    <w:p>
      <w:pPr>
        <w:pStyle w:val="Heading1"/>
        <w:pageBreakBefore/>
      </w:pPr>
      <w:r>
        <w:t xml:space="preserve">Appendix: Exercise Index</w:t>
      </w:r>
    </w:p>
    <w:p>
      <w:pPr>
        <w:spacing w:after="130"/>
      </w:pPr>
      <w:r>
        <w:rPr>
          <w:sz w:val="22"/>
          <w:szCs w:val="22"/>
        </w:rPr>
        <w:t xml:space="preserve">Chapter 8: local vs global; additional flow step.</w:t>
      </w:r>
    </w:p>
    <w:p>
      <w:pPr>
        <w:spacing w:after="130"/>
      </w:pPr>
      <w:r>
        <w:rPr>
          <w:sz w:val="22"/>
          <w:szCs w:val="22"/>
        </w:rPr>
        <w:t xml:space="preserve">Chapter 9: SQL injection starter; add barrier; partial-flow debugging.</w:t>
      </w:r>
    </w:p>
    <w:p>
      <w:pPr>
        <w:spacing w:after="130"/>
      </w:pPr>
      <w:r>
        <w:rPr>
          <w:sz w:val="22"/>
          <w:szCs w:val="22"/>
        </w:rPr>
        <w:t xml:space="preserve">Chapter 10: second source; custom sink; model-pack sketch.</w:t>
      </w:r>
    </w:p>
    <w:p>
      <w:pPr>
        <w:spacing w:after="130"/>
      </w:pPr>
      <w:r>
        <w:rPr>
          <w:sz w:val="22"/>
          <w:szCs w:val="22"/>
        </w:rPr>
        <w:t xml:space="preserve">All starter files and EXERCISES.md prompts are in the repository.</w:t>
      </w:r>
    </w:p>
    <w:p>
      <w:pPr>
        <w:spacing w:before="400"/>
      </w:pPr>
      <w:r>
        <w:rPr>
          <w:i/>
          <w:iCs/>
        </w:rPr>
        <w:t xml:space="preserve">End of Must Learn CodeQL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color w:val="666666"/>
        <w:sz w:val="18"/>
        <w:szCs w:val="18"/>
      </w:rPr>
      <w:t xml:space="preserve"> | github.com/rod-trent/MustLearnCodeQL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6"/>
      <w:szCs w:val="26"/>
    </w:rPr>
  </w:style>
  <w:style w:type="paragraph" w:styleId="Title">
    <w:name w:val="Title"/>
    <w:basedOn w:val="Normal"/>
    <w:pPr>
      <w:spacing w:after="120" w:before="0"/>
      <w:jc w:val="center"/>
    </w:pPr>
    <w:rPr>
      <w:rFonts w:ascii="Calibri" w:cs="Calibri" w:eastAsia="Calibri" w:hAnsi="Calibri"/>
      <w:b/>
      <w:bCs/>
      <w:color w:val="1F4E79"/>
      <w:sz w:val="48"/>
      <w:szCs w:val="48"/>
    </w:rPr>
  </w:style>
  <w:style w:type="paragraph" w:styleId="Subtitle">
    <w:name w:val="Subtitle"/>
    <w:basedOn w:val="Normal"/>
    <w:pPr>
      <w:spacing w:after="240" w:before="0"/>
      <w:jc w:val="center"/>
    </w:pPr>
    <w:rPr>
      <w:rFonts w:ascii="Calibri" w:cs="Calibri" w:eastAsia="Calibri" w:hAnsi="Calibri"/>
      <w:i/>
      <w:iCs/>
      <w:color w:val="5B9BD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ze9lf6jzvcttt48pl77wt"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2026-10-15T16:38:15.288Z</dcterms:created>
  <dcterms:modified xsi:type="dcterms:W3CDTF">2026-10-15T16:38:15.289Z</dcterms:modified>
</cp:coreProperties>
</file>

<file path=docProps/custom.xml><?xml version="1.0" encoding="utf-8"?>
<Properties xmlns="http://schemas.openxmlformats.org/officeDocument/2006/custom-properties" xmlns:vt="http://schemas.openxmlformats.org/officeDocument/2006/docPropsVTypes"/>
</file>