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Full 40,000+ Word Edition</w:t>
      </w:r>
    </w:p>
    <w:p>
      <w:pPr>
        <w:spacing w:before="10"/>
        <w:jc w:val="center"/>
      </w:pPr>
      <w:r>
        <w:t xml:space="preserve">Rod Trent • 2026</w:t>
      </w:r>
    </w:p>
    <w:p>
      <w:pPr>
        <w:jc w:val="center"/>
      </w:pPr>
      <w:hyperlink w:history="1" r:id="rIdqdt5ma62zisq_aj363m-o">
        <w:r>
          <w:rPr>
            <w:rStyle w:val="Hyperlink"/>
          </w:rPr>
          <w:t xml:space="preserve">github.com/rod-trent/MustLearnCodeQL</w:t>
        </w:r>
      </w:hyperlink>
    </w:p>
    <w:p>
      <w:pPr>
        <w:pStyle w:val="Heading1"/>
        <w:pageBreakBefore/>
      </w:pPr>
      <w:r>
        <w:t xml:space="preserve">Chapter 1: Why CodeQL and How It Works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2: Tools and Setup</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3: Database Creation</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4: QL Fundamentals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5: Custom Predicates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6: Writing Queries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7: Language Libraries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8: Data Flow Analysis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9: Taint Tracking and Path Queries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10: Library Extension</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11: Packs and Production</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12: CI Integration</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13: Performance and Debugging</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14: Case Studies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Chapter 15: Best Practices</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spacing w:after="30"/>
      </w:pPr>
      <w:r>
        <w:rPr>
          <w:sz w:val="22"/>
          <w:szCs w:val="22"/>
        </w:rPr>
        <w:t xml:space="preserve">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Modeling decisions around sources, sinks, barriers and additional steps, continuously validated by tests and partial-flow debugging, keep taint-tracking queries both complete and precise. The repository exercise files provide a safe place to practice each change and observe its exact effect on results before the same technique is applied in CI against production code. </w:t>
      </w:r>
    </w:p>
    <w:p>
      <w:pPr>
        <w:pStyle w:val="Heading1"/>
        <w:pageBreakBefore/>
      </w:pPr>
      <w:r>
        <w:t xml:space="preserve">Appendix</w:t>
      </w:r>
    </w:p>
    <w:p>
      <w:pPr>
        <w:spacing w:after="30"/>
      </w:pPr>
      <w:r>
        <w:rPr>
          <w:sz w:val="22"/>
          <w:szCs w:val="22"/>
        </w:rPr>
        <w:t xml:space="preserve">Examples and exercises supporting every chapter are maintained in the companion repository.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16"/>
        <w:szCs w:val="16"/>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 w:before="100"/>
      <w:outlineLvl w:val="0"/>
    </w:pPr>
    <w:rPr>
      <w:rFonts w:ascii="Calibri" w:cs="Calibri" w:eastAsia="Calibri" w:hAnsi="Calibri"/>
      <w:b/>
      <w:bCs/>
      <w:color w:val="1F4E79"/>
      <w:sz w:val="32"/>
      <w:szCs w:val="32"/>
    </w:rPr>
  </w:style>
  <w:style w:type="paragraph" w:styleId="Title">
    <w:name w:val="Title"/>
    <w:basedOn w:val="Normal"/>
    <w:pPr>
      <w:spacing w:after="0" w:before="0"/>
      <w:jc w:val="center"/>
    </w:pPr>
    <w:rPr>
      <w:rFonts w:ascii="Calibri" w:cs="Calibri" w:eastAsia="Calibri" w:hAnsi="Calibri"/>
      <w:b/>
      <w:bCs/>
      <w:color w:val="1F4E79"/>
      <w:sz w:val="36"/>
      <w:szCs w:val="36"/>
    </w:rPr>
  </w:style>
  <w:style w:type="paragraph" w:styleId="Subtitle">
    <w:name w:val="Subtitle"/>
    <w:basedOn w:val="Normal"/>
    <w:pPr>
      <w:spacing w:after="20" w:before="0"/>
      <w:jc w:val="center"/>
    </w:pPr>
    <w:rPr>
      <w:rFonts w:ascii="Calibri" w:cs="Calibri" w:eastAsia="Calibri" w:hAnsi="Calibri"/>
      <w:i/>
      <w:iCs/>
      <w:color w:val="5B9BD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qdt5ma62zisq_aj363m-o"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2026-10-15T16:47:38.332Z</dcterms:created>
  <dcterms:modified xsi:type="dcterms:W3CDTF">2026-10-15T16:47:38.332Z</dcterms:modified>
</cp:coreProperties>
</file>

<file path=docProps/custom.xml><?xml version="1.0" encoding="utf-8"?>
<Properties xmlns="http://schemas.openxmlformats.org/officeDocument/2006/custom-properties" xmlns:vt="http://schemas.openxmlformats.org/officeDocument/2006/docPropsVTypes"/>
</file>