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Expanded to 40k Target</w:t>
      </w:r>
    </w:p>
    <w:p>
      <w:pPr>
        <w:spacing w:before="30"/>
        <w:jc w:val="center"/>
      </w:pPr>
      <w:r>
        <w:t xml:space="preserve">Rod Trent • 2026</w:t>
      </w:r>
    </w:p>
    <w:p>
      <w:pPr>
        <w:jc w:val="center"/>
      </w:pPr>
      <w:hyperlink w:history="1" r:id="rId-wwrizjcqfymtxeh85qkr">
        <w:r>
          <w:rPr>
            <w:rStyle w:val="Hyperlink"/>
          </w:rPr>
          <w:t xml:space="preserve">github.com/rod-trent/MustLearnCodeQL</w:t>
        </w:r>
      </w:hyperlink>
    </w:p>
    <w:p>
      <w:pPr>
        <w:pStyle w:val="Heading1"/>
        <w:pageBreakBefore/>
      </w:pPr>
      <w:r>
        <w:t xml:space="preserve">Chapter 1: Why CodeQL and How It Works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2: Tools and Setup</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3: Database Creation</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4: QL Fundamentals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5: Custom Predicates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6: Writing Queries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7: Language Libraries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8: Data Flow Analysis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9: Taint Tracking and Path Queries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10: Library Extension</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11: Packs and Production</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12: CI Integration</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13: Performance and Debugging</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14: Case Studies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Chapter 15: Best Practices</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spacing w:after="50"/>
      </w:pPr>
      <w:r>
        <w:rPr>
          <w:sz w:val="22"/>
          <w:szCs w:val="22"/>
        </w:rPr>
        <w:t xml:space="preserve">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Continued refinement of sources, sinks, barriers, and flow steps, validated by positive and negative tests and guided by partial-flow debugging, produces queries that remain precise as both application code and CodeQL libraries change. Practice each change on the exercise starters in the repository before promoting it. </w:t>
      </w:r>
    </w:p>
    <w:p>
      <w:pPr>
        <w:pStyle w:val="Heading1"/>
        <w:pageBreakBefore/>
      </w:pPr>
      <w:r>
        <w:t xml:space="preserve">Appendix</w:t>
      </w:r>
    </w:p>
    <w:p>
      <w:pPr>
        <w:spacing w:after="50"/>
      </w:pPr>
      <w:r>
        <w:rPr>
          <w:sz w:val="22"/>
          <w:szCs w:val="22"/>
        </w:rPr>
        <w:t xml:space="preserve">Repository examples and exercises support all chapters.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140"/>
      <w:outlineLvl w:val="0"/>
    </w:pPr>
    <w:rPr>
      <w:rFonts w:ascii="Calibri" w:cs="Calibri" w:eastAsia="Calibri" w:hAnsi="Calibri"/>
      <w:b/>
      <w:bCs/>
      <w:color w:val="1F4E79"/>
      <w:sz w:val="32"/>
      <w:szCs w:val="32"/>
    </w:rPr>
  </w:style>
  <w:style w:type="paragraph" w:styleId="Title">
    <w:name w:val="Title"/>
    <w:basedOn w:val="Normal"/>
    <w:pPr>
      <w:spacing w:after="10" w:before="0"/>
      <w:jc w:val="center"/>
    </w:pPr>
    <w:rPr>
      <w:rFonts w:ascii="Calibri" w:cs="Calibri" w:eastAsia="Calibri" w:hAnsi="Calibri"/>
      <w:b/>
      <w:bCs/>
      <w:color w:val="1F4E79"/>
      <w:sz w:val="36"/>
      <w:szCs w:val="36"/>
    </w:rPr>
  </w:style>
  <w:style w:type="paragraph" w:styleId="Subtitle">
    <w:name w:val="Subtitle"/>
    <w:basedOn w:val="Normal"/>
    <w:pPr>
      <w:spacing w:after="40" w:before="0"/>
      <w:jc w:val="center"/>
    </w:pPr>
    <w:rPr>
      <w:rFonts w:ascii="Calibri" w:cs="Calibri" w:eastAsia="Calibri" w:hAnsi="Calibri"/>
      <w:i/>
      <w:iCs/>
      <w:color w:val="5B9BD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wrizjcqfymtxeh85qkr"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2026-10-15T16:46:33.826Z</dcterms:created>
  <dcterms:modified xsi:type="dcterms:W3CDTF">2026-10-15T16:46:33.826Z</dcterms:modified>
</cp:coreProperties>
</file>

<file path=docProps/custom.xml><?xml version="1.0" encoding="utf-8"?>
<Properties xmlns="http://schemas.openxmlformats.org/officeDocument/2006/custom-properties" xmlns:vt="http://schemas.openxmlformats.org/officeDocument/2006/docPropsVTypes"/>
</file>