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A Complete Practical Guide to Semantic Code Analysis</w:t>
      </w:r>
    </w:p>
    <w:p>
      <w:pPr>
        <w:spacing w:before="360"/>
        <w:jc w:val="center"/>
      </w:pPr>
      <w:r>
        <w:rPr>
          <w:b/>
          <w:bCs/>
          <w:sz w:val="28"/>
          <w:szCs w:val="28"/>
        </w:rPr>
        <w:t xml:space="preserve">Rod Trent</w:t>
      </w:r>
    </w:p>
    <w:p>
      <w:pPr>
        <w:spacing w:before="100"/>
        <w:jc w:val="center"/>
      </w:pPr>
      <w:r>
        <w:rPr>
          <w:i/>
          <w:iCs/>
          <w:sz w:val="24"/>
          <w:szCs w:val="24"/>
        </w:rPr>
        <w:t xml:space="preserve">2026 Edition</w:t>
      </w:r>
    </w:p>
    <w:p>
      <w:pPr>
        <w:spacing w:before="400"/>
        <w:jc w:val="center"/>
      </w:pPr>
      <w:hyperlink w:history="1" r:id="rIdlf8yhi3ivnxag2h6pvoih">
        <w:r>
          <w:rPr>
            <w:rStyle w:val="Hyperlink"/>
          </w:rPr>
          <w:t xml:space="preserve">github.com/rod-trent/MustLearnCodeQL</w:t>
        </w:r>
      </w:hyperlink>
    </w:p>
    <w:p>
      <w:pPr>
        <w:pStyle w:val="Heading1"/>
        <w:pageBreakBefore/>
      </w:pPr>
      <w:r>
        <w:t xml:space="preserve">How to Use This Book</w:t>
      </w:r>
    </w:p>
    <w:p>
      <w:pPr>
        <w:spacing w:after="140"/>
      </w:pPr>
      <w:r>
        <w:rPr>
          <w:sz w:val="22"/>
          <w:szCs w:val="22"/>
        </w:rPr>
        <w:t xml:space="preserve">This book is a full, progressive tutorial designed to take you from complete beginner to confident author of production CodeQL queries. Every chapter contains extended explanations, multiple concrete examples, step-by-step reasoning, common mistakes, and direct references to runnable files in the companion repository.</w:t>
      </w:r>
    </w:p>
    <w:p>
      <w:pPr>
        <w:spacing w:after="140"/>
      </w:pPr>
      <w:r>
        <w:rPr>
          <w:sz w:val="22"/>
          <w:szCs w:val="22"/>
        </w:rPr>
        <w:t xml:space="preserve">The repository is organized so that examples/chapterNN/ contains every query, configuration, and script mentioned in that chapter. Create a small database once, then open the corresponding example files as you read. JavaScript is used for most illustrations because the syntax is compact; the same structures and library patterns apply unchanged to Python, Java, C/C++, Go, and the other supported languages.</w:t>
      </w:r>
    </w:p>
    <w:p>
      <w:pPr>
        <w:spacing w:after="140"/>
      </w:pPr>
      <w:r>
        <w:rPr>
          <w:sz w:val="22"/>
          <w:szCs w:val="22"/>
        </w:rPr>
        <w:t xml:space="preserve">If you are new to CodeQL, read straight through. If you already know QL, skim the early chapters and concentrate on data-flow analysis, taint tracking, library extension, and CI integration.</w:t>
      </w:r>
    </w:p>
    <w:p>
      <w:pPr>
        <w:pStyle w:val="Heading1"/>
        <w:pageBreakBefore/>
      </w:pPr>
      <w:r>
        <w:t xml:space="preserve">Chapter 1: Why CodeQL and How It Works</w:t>
      </w:r>
    </w:p>
    <w:p>
      <w:pPr>
        <w:pStyle w:val="Heading2"/>
      </w:pPr>
      <w:r>
        <w:t xml:space="preserve">Why Traditional Tools Fall Short</w:t>
      </w:r>
    </w:p>
    <w:p>
      <w:pPr>
        <w:spacing w:after="140"/>
      </w:pPr>
      <w:r>
        <w:rPr>
          <w:sz w:val="22"/>
          <w:szCs w:val="22"/>
        </w:rPr>
        <w:t xml:space="preserve">Classic static-analysis tools rely on regular expressions, token patterns, or shallow abstract-syntax-tree matching. They can spot an obvious call to eval or a string that looks like a SQL statement, but they lose track of data as soon as it is assigned to a variable, passed to a helper, stored in a field, or returned from a function. The result is either missed vulnerabilities or an avalanche of false positives that teams learn to ignore.</w:t>
      </w:r>
    </w:p>
    <w:p>
      <w:pPr>
        <w:spacing w:after="140"/>
      </w:pPr>
      <w:r>
        <w:rPr>
          <w:sz w:val="22"/>
          <w:szCs w:val="22"/>
        </w:rPr>
        <w:t xml:space="preserve">Security defects are especially sensitive to this limitation. An attacker-controlled value may travel through several layers of an application before it reaches a dangerous sink. Without a model of data flow, a tool cannot reliably answer the question that actually matters: does untrusted data reach this operation without being sanitized?</w:t>
      </w:r>
    </w:p>
    <w:p>
      <w:pPr>
        <w:pStyle w:val="Heading2"/>
      </w:pPr>
      <w:r>
        <w:t xml:space="preserve">Treating Code as Queryable Data</w:t>
      </w:r>
    </w:p>
    <w:p>
      <w:pPr>
        <w:spacing w:after="140"/>
      </w:pPr>
      <w:r>
        <w:rPr>
          <w:sz w:val="22"/>
          <w:szCs w:val="22"/>
        </w:rPr>
        <w:t xml:space="preserve">CodeQL extracts a rich relational representation of a program. That representation includes the full abstract syntax tree, name binding and type information, the control-flow graph, and the basic edges of the data-flow graph. Once the code exists in this form, you write declarative queries against it. The queries describe what you want to find; the engine computes the answers efficiently even on large codebases.</w:t>
      </w:r>
    </w:p>
    <w:p>
      <w:pPr>
        <w:spacing w:after="140"/>
      </w:pPr>
      <w:r>
        <w:rPr>
          <w:sz w:val="22"/>
          <w:szCs w:val="22"/>
        </w:rPr>
        <w:t xml:space="preserve">Because the extracted model already understands how values move, a single query can locate every instance of a vulnerability pattern regardless of how many functions or files the data crosses. The same query can be re-executed on every commit, turning a one-time research finding into a permanent regression check.</w:t>
      </w:r>
    </w:p>
    <w:p>
      <w:pPr>
        <w:pStyle w:val="Heading2"/>
      </w:pPr>
      <w:r>
        <w:t xml:space="preserve">Variant Analysis</w:t>
      </w:r>
    </w:p>
    <w:p>
      <w:pPr>
        <w:spacing w:after="140"/>
      </w:pPr>
      <w:r>
        <w:rPr>
          <w:sz w:val="22"/>
          <w:szCs w:val="22"/>
        </w:rPr>
        <w:t xml:space="preserve">Variant analysis starts with a known vulnerability—the seed—and looks for every similar bug. Historically this work was manual and therefore incomplete. CodeQL makes the process systematic. You encode the essential conditions of the bug in a query, refine the query until its precision is acceptable, then run it at whatever scale you need: one repository, an organization’s entire estate, or the public code on GitHub via multi-repository variant analysis.</w:t>
      </w:r>
    </w:p>
    <w:p>
      <w:pPr>
        <w:pStyle w:val="Heading2"/>
      </w:pPr>
      <w:r>
        <w:t xml:space="preserve">The Three-Stage Pipeline</w:t>
      </w:r>
    </w:p>
    <w:p>
      <w:pPr>
        <w:spacing w:after="140"/>
      </w:pPr>
      <w:r>
        <w:rPr>
          <w:sz w:val="22"/>
          <w:szCs w:val="22"/>
        </w:rPr>
        <w:t xml:space="preserve">Analysis always proceeds in three stages. First an extractor produces a CodeQL database, a self-contained directory holding the relational snapshot for one language. Interpreted languages are extracted by walking the source; compiled languages are extracted by monitoring the build. Second, one or more QL queries are evaluated against that database. Third, the raw results are interpreted, mapped back to source locations, and emitted—most often as SARIF—so they appear as alerts in GitHub or in an IDE.</w:t>
      </w:r>
    </w:p>
    <w:p>
      <w:pPr>
        <w:pStyle w:val="Heading2"/>
      </w:pPr>
      <w:r>
        <w:t xml:space="preserve">Language and CWE Coverage</w:t>
      </w:r>
    </w:p>
    <w:p>
      <w:pPr>
        <w:spacing w:after="140"/>
      </w:pPr>
      <w:r>
        <w:rPr>
          <w:sz w:val="22"/>
          <w:szCs w:val="22"/>
        </w:rPr>
        <w:t xml:space="preserve">CodeQL supports C/C++, C#, Go, Java/Kotlin, JavaScript/TypeScript, Python, Ruby, Rust, Swift, and GitHub Actions workflows. The default security suite contains hundreds of queries covering a wide range of CWEs. Extended and quality suites add further checks. Nothing prevents you from writing entirely new queries for coding standards unique to your organization.</w:t>
      </w:r>
    </w:p>
    <w:p>
      <w:pPr>
        <w:spacing w:after="140"/>
      </w:pPr>
      <w:r>
        <w:rPr>
          <w:sz w:val="22"/>
          <w:szCs w:val="22"/>
        </w:rPr>
        <w:t xml:space="preserve">In real projects the difference between a query that is ignored and a query that developers trust is usually precision and clear messaging. When you write checks for any vulnerability class,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pStyle w:val="Heading2"/>
      </w:pPr>
      <w:r>
        <w:t xml:space="preserve">Starting Simply</w:t>
      </w:r>
    </w:p>
    <w:p>
      <w:pPr>
        <w:spacing w:after="140"/>
      </w:pPr>
      <w:r>
        <w:rPr>
          <w:sz w:val="22"/>
          <w:szCs w:val="22"/>
        </w:rPr>
        <w:t xml:space="preserve">The smallest query that still exercises the system is:</w:t>
      </w:r>
    </w:p>
    <w:p>
      <w:pPr>
        <w:spacing w:after="15" w:before="15"/>
      </w:pPr>
      <w:r>
        <w:rPr>
          <w:rFonts w:ascii="Consolas" w:cs="Consolas" w:eastAsia="Consolas" w:hAnsi="Consolas"/>
          <w:sz w:val="18"/>
          <w:szCs w:val="18"/>
        </w:rPr>
        <w:t xml:space="preserve">select "hello world"</w:t>
      </w:r>
    </w:p>
    <w:p>
      <w:pPr>
        <w:spacing w:after="140"/>
      </w:pPr>
      <w:r>
        <w:rPr>
          <w:sz w:val="22"/>
          <w:szCs w:val="22"/>
        </w:rPr>
        <w:t xml:space="preserve">It returns a constant. Every subsequent example in this book builds on the same foundation—selecting real program elements and attaching clear messages and locations.</w:t>
      </w:r>
    </w:p>
    <w:p>
      <w:pPr>
        <w:pStyle w:val="Heading1"/>
        <w:pageBreakBefore/>
      </w:pPr>
      <w:r>
        <w:t xml:space="preserve">Chapter 2: Tools, Setup, and Your First Database</w:t>
      </w:r>
    </w:p>
    <w:p>
      <w:pPr>
        <w:pStyle w:val="Heading2"/>
      </w:pPr>
      <w:r>
        <w:t xml:space="preserve">Choosing an Environment</w:t>
      </w:r>
    </w:p>
    <w:p>
      <w:pPr>
        <w:spacing w:after="140"/>
      </w:pPr>
      <w:r>
        <w:rPr>
          <w:sz w:val="22"/>
          <w:szCs w:val="22"/>
        </w:rPr>
        <w:t xml:space="preserve">Three environments cover nearly every need. The CodeQL CLI is the right choice for scripts, automation, and CI. The Visual Studio Code extension is the best interactive environment while you learn, because results are highlighted in the editor and you can explore paths with a click. GitHub Codespaces supplies a pre-configured machine so you can start without any local installation.</w:t>
      </w:r>
    </w:p>
    <w:p>
      <w:pPr>
        <w:pStyle w:val="Heading2"/>
      </w:pPr>
      <w:r>
        <w:t xml:space="preserve">Installing and Verifying the CLI</w:t>
      </w:r>
    </w:p>
    <w:p>
      <w:pPr>
        <w:spacing w:after="140"/>
      </w:pPr>
      <w:r>
        <w:rPr>
          <w:sz w:val="22"/>
          <w:szCs w:val="22"/>
        </w:rPr>
        <w:t xml:space="preserve">Obtain the official CLI bundle from the GitHub releases page, extract it, and ensure the codeql binary is on your PATH. Confirm success with:</w:t>
      </w:r>
    </w:p>
    <w:p>
      <w:pPr>
        <w:spacing w:after="15" w:before="15"/>
      </w:pPr>
      <w:r>
        <w:rPr>
          <w:rFonts w:ascii="Consolas" w:cs="Consolas" w:eastAsia="Consolas" w:hAnsi="Consolas"/>
          <w:sz w:val="18"/>
          <w:szCs w:val="18"/>
        </w:rPr>
        <w:t xml:space="preserve">codeql version</w:t>
      </w:r>
    </w:p>
    <w:p>
      <w:pPr>
        <w:spacing w:after="140"/>
      </w:pPr>
      <w:r>
        <w:rPr>
          <w:sz w:val="22"/>
          <w:szCs w:val="22"/>
        </w:rPr>
        <w:t xml:space="preserve">The VS Code extension can download a matching CLI automatically. After installing the extension, the Command Palette exposes actions for creating databases, running queries, and viewing results.</w:t>
      </w:r>
    </w:p>
    <w:p>
      <w:pPr>
        <w:pStyle w:val="Heading2"/>
      </w:pPr>
      <w:r>
        <w:t xml:space="preserve">Creating a Database</w:t>
      </w:r>
    </w:p>
    <w:p>
      <w:pPr>
        <w:spacing w:after="140"/>
      </w:pPr>
      <w:r>
        <w:rPr>
          <w:sz w:val="22"/>
          <w:szCs w:val="22"/>
        </w:rPr>
        <w:t xml:space="preserve">The essential command is:</w:t>
      </w:r>
    </w:p>
    <w:p>
      <w:pPr>
        <w:spacing w:after="15" w:before="15"/>
      </w:pPr>
      <w:r>
        <w:rPr>
          <w:rFonts w:ascii="Consolas" w:cs="Consolas" w:eastAsia="Consolas" w:hAnsi="Consolas"/>
          <w:sz w:val="18"/>
          <w:szCs w:val="18"/>
        </w:rPr>
        <w:t xml:space="preserve">codeql database create my-db --language=javascript --source-root=./my-project</w:t>
      </w:r>
    </w:p>
    <w:p>
      <w:pPr>
        <w:spacing w:after="140"/>
      </w:pPr>
      <w:r>
        <w:rPr>
          <w:sz w:val="22"/>
          <w:szCs w:val="22"/>
        </w:rPr>
        <w:t xml:space="preserve">Change the language flag as needed. For compiled languages add a --command that performs a clean build so the extractor can observe compilation. Complete working examples live in examples/chapter03/.</w:t>
      </w:r>
    </w:p>
    <w:p>
      <w:pPr>
        <w:pStyle w:val="Heading2"/>
      </w:pPr>
      <w:r>
        <w:t xml:space="preserve">Pre-built Databases</w:t>
      </w:r>
    </w:p>
    <w:p>
      <w:pPr>
        <w:spacing w:after="140"/>
      </w:pPr>
      <w:r>
        <w:rPr>
          <w:sz w:val="22"/>
          <w:szCs w:val="22"/>
        </w:rPr>
        <w:t xml:space="preserve">Many popular open-source projects already have CodeQL databases published by GitHub. Downloading one lets you run queries in minutes. For private code you will create databases yourself; the process is identical.</w:t>
      </w:r>
    </w:p>
    <w:p>
      <w:pPr>
        <w:spacing w:after="140"/>
      </w:pPr>
      <w:r>
        <w:rPr>
          <w:sz w:val="22"/>
          <w:szCs w:val="22"/>
        </w:rPr>
        <w:t xml:space="preserve">In real projects the difference between a query that is ignored and a query that developers trust is usually precision and clear messaging. When you write checks for setup and first queries,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pStyle w:val="Heading2"/>
      </w:pPr>
      <w:r>
        <w:t xml:space="preserve">A Recommended First Session</w:t>
      </w:r>
    </w:p>
    <w:p>
      <w:pPr>
        <w:spacing w:after="140"/>
      </w:pPr>
      <w:r>
        <w:rPr>
          <w:sz w:val="22"/>
          <w:szCs w:val="22"/>
        </w:rPr>
        <w:t xml:space="preserve">Install the extension, obtain or create a small database, open examples/chapter01/hello-world.ql or examples/chapter06/interesting-calls.ql, and run it. Examine both the result list and the highlighted source. Repeat the cycle with tiny modifications until the relationship between predicates and results feels natural.</w:t>
      </w:r>
    </w:p>
    <w:p>
      <w:pPr>
        <w:pStyle w:val="Heading1"/>
        <w:pageBreakBefore/>
      </w:pPr>
      <w:r>
        <w:t xml:space="preserve">Chapter 3: CodeQL Database Creation</w:t>
      </w:r>
    </w:p>
    <w:p>
      <w:pPr>
        <w:pStyle w:val="Heading2"/>
      </w:pPr>
      <w:r>
        <w:t xml:space="preserve">Contents of a Database</w:t>
      </w:r>
    </w:p>
    <w:p>
      <w:pPr>
        <w:spacing w:after="140"/>
      </w:pPr>
      <w:r>
        <w:rPr>
          <w:sz w:val="22"/>
          <w:szCs w:val="22"/>
        </w:rPr>
        <w:t xml:space="preserve">A database directory stores the extracted relational facts (AST nodes, bindings, types, control-flow edges, data-flow foundations), source-file references that allow results to be shown at precise lines, the language schema, and the logs generated during extraction. The whole directory is portable and can be archived or shared.</w:t>
      </w:r>
    </w:p>
    <w:p>
      <w:pPr>
        <w:pStyle w:val="Heading2"/>
      </w:pPr>
      <w:r>
        <w:t xml:space="preserve">Extraction Differences</w:t>
      </w:r>
    </w:p>
    <w:p>
      <w:pPr>
        <w:spacing w:after="140"/>
      </w:pPr>
      <w:r>
        <w:rPr>
          <w:sz w:val="22"/>
          <w:szCs w:val="22"/>
        </w:rPr>
        <w:t xml:space="preserve">Interpreted languages are processed by walking the source tree and resolving dependencies. Compiled languages require the extractor to watch the build: each compiler invocation supplies both the source text and the semantic information the compiler has already computed. An incomplete or incorrect build therefore produces an incomplete database.</w:t>
      </w:r>
    </w:p>
    <w:p>
      <w:pPr>
        <w:pStyle w:val="Heading2"/>
      </w:pPr>
      <w:r>
        <w:t xml:space="preserve">Concrete Commands</w:t>
      </w:r>
    </w:p>
    <w:p>
      <w:pPr>
        <w:spacing w:after="140"/>
      </w:pPr>
      <w:r>
        <w:rPr>
          <w:sz w:val="22"/>
          <w:szCs w:val="22"/>
        </w:rPr>
        <w:t xml:space="preserve">JavaScript:</w:t>
      </w:r>
    </w:p>
    <w:p>
      <w:pPr>
        <w:spacing w:after="15" w:before="15"/>
      </w:pPr>
      <w:r>
        <w:rPr>
          <w:rFonts w:ascii="Consolas" w:cs="Consolas" w:eastAsia="Consolas" w:hAnsi="Consolas"/>
          <w:sz w:val="18"/>
          <w:szCs w:val="18"/>
        </w:rPr>
        <w:t xml:space="preserve">codeql database create js-db --language=javascript --source-root=.</w:t>
      </w:r>
    </w:p>
    <w:p>
      <w:pPr>
        <w:spacing w:after="140"/>
      </w:pPr>
      <w:r>
        <w:rPr>
          <w:sz w:val="22"/>
          <w:szCs w:val="22"/>
        </w:rPr>
        <w:t xml:space="preserve">Python:</w:t>
      </w:r>
    </w:p>
    <w:p>
      <w:pPr>
        <w:spacing w:after="15" w:before="15"/>
      </w:pPr>
      <w:r>
        <w:rPr>
          <w:rFonts w:ascii="Consolas" w:cs="Consolas" w:eastAsia="Consolas" w:hAnsi="Consolas"/>
          <w:sz w:val="18"/>
          <w:szCs w:val="18"/>
        </w:rPr>
        <w:t xml:space="preserve">codeql database create py-db --language=python --source-root=.</w:t>
      </w:r>
    </w:p>
    <w:p>
      <w:pPr>
        <w:spacing w:after="140"/>
      </w:pPr>
      <w:r>
        <w:rPr>
          <w:sz w:val="22"/>
          <w:szCs w:val="22"/>
        </w:rPr>
        <w:t xml:space="preserve">Maven Java project:</w:t>
      </w:r>
    </w:p>
    <w:p>
      <w:pPr>
        <w:spacing w:after="15" w:before="15"/>
      </w:pPr>
      <w:r>
        <w:rPr>
          <w:rFonts w:ascii="Consolas" w:cs="Consolas" w:eastAsia="Consolas" w:hAnsi="Consolas"/>
          <w:sz w:val="18"/>
          <w:szCs w:val="18"/>
        </w:rPr>
        <w:t xml:space="preserve">codeql database create java-db --language=java --source-root=. --command="mvn clean compile -DskipTests"</w:t>
      </w:r>
    </w:p>
    <w:p>
      <w:pPr>
        <w:spacing w:after="140"/>
      </w:pPr>
      <w:r>
        <w:rPr>
          <w:sz w:val="22"/>
          <w:szCs w:val="22"/>
        </w:rPr>
        <w:t xml:space="preserve">Analogous commands exist for Gradle, CMake, Make, MSBuild, and other systems. Consult the official language-specific build documentation when the defaults are insufficient.</w:t>
      </w:r>
    </w:p>
    <w:p>
      <w:pPr>
        <w:pStyle w:val="Heading2"/>
      </w:pPr>
      <w:r>
        <w:t xml:space="preserve">Inspection</w:t>
      </w:r>
    </w:p>
    <w:p>
      <w:pPr>
        <w:spacing w:after="15" w:before="15"/>
      </w:pPr>
      <w:r>
        <w:rPr>
          <w:rFonts w:ascii="Consolas" w:cs="Consolas" w:eastAsia="Consolas" w:hAnsi="Consolas"/>
          <w:sz w:val="18"/>
          <w:szCs w:val="18"/>
        </w:rPr>
        <w:t xml:space="preserve">codeql database info my-db</w:t>
      </w:r>
    </w:p>
    <w:p>
      <w:pPr>
        <w:spacing w:after="15" w:before="15"/>
      </w:pPr>
      <w:r>
        <w:rPr>
          <w:rFonts w:ascii="Consolas" w:cs="Consolas" w:eastAsia="Consolas" w:hAnsi="Consolas"/>
          <w:sz w:val="18"/>
          <w:szCs w:val="18"/>
        </w:rPr>
        <w:t xml:space="preserve">codeql resolve database my-db</w:t>
      </w:r>
    </w:p>
    <w:p>
      <w:pPr>
        <w:spacing w:after="140"/>
      </w:pPr>
      <w:r>
        <w:rPr>
          <w:sz w:val="22"/>
          <w:szCs w:val="22"/>
        </w:rPr>
        <w:t xml:space="preserve">These commands report language, source root, and creation metadata. Databases are immutable; source changes require a new database. Multi-language repositories yield one database per language.</w:t>
      </w:r>
    </w:p>
    <w:p>
      <w:pPr>
        <w:spacing w:after="140"/>
      </w:pPr>
      <w:r>
        <w:rPr>
          <w:sz w:val="22"/>
          <w:szCs w:val="22"/>
        </w:rPr>
        <w:t xml:space="preserve">In real projects the difference between a query that is ignored and a query that developers trust is usually precision and clear messaging. When you write checks for database creation,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pStyle w:val="Heading2"/>
      </w:pPr>
      <w:r>
        <w:t xml:space="preserve">Troubleshooting</w:t>
      </w:r>
    </w:p>
    <w:p>
      <w:pPr>
        <w:spacing w:after="140"/>
      </w:pPr>
      <w:r>
        <w:rPr>
          <w:sz w:val="22"/>
          <w:szCs w:val="22"/>
        </w:rPr>
        <w:t xml:space="preserve">The usual failures are missing build tools, wrong working directories, exclusion of necessary source, or accidental inclusion of generated or third-party code. Always run database info and a trivial query before beginning serious analysis. Notes and scripts are collected in examples/chapter03/.</w:t>
      </w:r>
    </w:p>
    <w:p>
      <w:pPr>
        <w:pStyle w:val="Heading1"/>
        <w:pageBreakBefore/>
      </w:pPr>
      <w:r>
        <w:t xml:space="preserve">Chapter 4: QL Language Fundamentals</w:t>
      </w:r>
    </w:p>
    <w:p>
      <w:pPr>
        <w:pStyle w:val="Heading2"/>
      </w:pPr>
      <w:r>
        <w:t xml:space="preserve">Declarative Semantics</w:t>
      </w:r>
    </w:p>
    <w:p>
      <w:pPr>
        <w:spacing w:after="140"/>
      </w:pPr>
      <w:r>
        <w:rPr>
          <w:sz w:val="22"/>
          <w:szCs w:val="22"/>
        </w:rPr>
        <w:t xml:space="preserve">QL is a declarative language rooted in Datalog. You state the logical conditions that define the desired result set; the engine finds an efficient evaluation strategy. The familiar select-from-where surface syntax hides a pure logic-programming model.</w:t>
      </w:r>
    </w:p>
    <w:p>
      <w:pPr>
        <w:pStyle w:val="Heading2"/>
      </w:pPr>
      <w:r>
        <w:t xml:space="preserve">Formulas and Quantifiers</w:t>
      </w:r>
    </w:p>
    <w:p>
      <w:pPr>
        <w:spacing w:after="140"/>
      </w:pPr>
      <w:r>
        <w:rPr>
          <w:sz w:val="22"/>
          <w:szCs w:val="22"/>
        </w:rPr>
        <w:t xml:space="preserve">Formulas are composed with and, or, and not. The quantifiers exists and forall let you express “there is at least one” and “for every” conditions. Predicates give names to formulas so they can be reused. Classes supply the object-oriented façade over the underlying relations. Modules organize related definitions for clean imports.</w:t>
      </w:r>
    </w:p>
    <w:p>
      <w:pPr>
        <w:pStyle w:val="Heading2"/>
      </w:pPr>
      <w:r>
        <w:t xml:space="preserve">Recursion and Aggregates</w:t>
      </w:r>
    </w:p>
    <w:p>
      <w:pPr>
        <w:spacing w:after="140"/>
      </w:pPr>
      <w:r>
        <w:rPr>
          <w:sz w:val="22"/>
          <w:szCs w:val="22"/>
        </w:rPr>
        <w:t xml:space="preserve">Recursion is the idiomatic way to compute transitive closures—call graphs, class hierarchies, data-dependence chains. Aggregates (count, sum, avg, min, max, and others) produce summary values. The official tutorial queries (Find the thief, Catch the fire starter, and the others) are the best way to practice these features on small, self-contained problems before you apply them to real code.</w:t>
      </w:r>
    </w:p>
    <w:p>
      <w:pPr>
        <w:pStyle w:val="Heading2"/>
      </w:pPr>
      <w:r>
        <w:t xml:space="preserve">Minimal Working Query</w:t>
      </w:r>
    </w:p>
    <w:p>
      <w:pPr>
        <w:spacing w:after="15" w:before="15"/>
      </w:pPr>
      <w:r>
        <w:rPr>
          <w:rFonts w:ascii="Consolas" w:cs="Consolas" w:eastAsia="Consolas" w:hAnsi="Consolas"/>
          <w:sz w:val="18"/>
          <w:szCs w:val="18"/>
        </w:rPr>
        <w:t xml:space="preserve">import javascript</w:t>
      </w:r>
    </w:p>
    <w:p>
      <w:pPr>
        <w:spacing w:after="15" w:before="15"/>
      </w:pPr>
      <w:r>
        <w:rPr>
          <w:rFonts w:ascii="Consolas" w:cs="Consolas" w:eastAsia="Consolas" w:hAnsi="Consolas"/>
          <w:sz w:val="18"/>
          <w:szCs w:val="18"/>
        </w:rPr>
        <w:t xml:space="preserve">from Function f</w:t>
      </w:r>
    </w:p>
    <w:p>
      <w:pPr>
        <w:spacing w:after="15" w:before="15"/>
      </w:pPr>
      <w:r>
        <w:rPr>
          <w:rFonts w:ascii="Consolas" w:cs="Consolas" w:eastAsia="Consolas" w:hAnsi="Consolas"/>
          <w:sz w:val="18"/>
          <w:szCs w:val="18"/>
        </w:rPr>
        <w:t xml:space="preserve">where f.getName() = "main"</w:t>
      </w:r>
    </w:p>
    <w:p>
      <w:pPr>
        <w:spacing w:after="15" w:before="15"/>
      </w:pPr>
      <w:r>
        <w:rPr>
          <w:rFonts w:ascii="Consolas" w:cs="Consolas" w:eastAsia="Consolas" w:hAnsi="Consolas"/>
          <w:sz w:val="18"/>
          <w:szCs w:val="18"/>
        </w:rPr>
        <w:t xml:space="preserve">select f, "Found an entry point"</w:t>
      </w:r>
    </w:p>
    <w:p>
      <w:pPr>
        <w:spacing w:after="140"/>
      </w:pPr>
      <w:r>
        <w:rPr>
          <w:sz w:val="22"/>
          <w:szCs w:val="22"/>
        </w:rPr>
        <w:t xml:space="preserve">In real projects the difference between a query that is ignored and a query that developers trust is usually precision and clear messaging. When you write checks for QL fundamentals,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spacing w:after="140"/>
      </w:pPr>
      <w:r>
        <w:rPr>
          <w:sz w:val="22"/>
          <w:szCs w:val="22"/>
        </w:rPr>
        <w:t xml:space="preserve">Every advanced technique later in the book—custom predicates, data-flow configurations, path queries—is assembled from these same primitive elements.</w:t>
      </w:r>
    </w:p>
    <w:p>
      <w:pPr>
        <w:pStyle w:val="Heading1"/>
        <w:pageBreakBefore/>
      </w:pPr>
      <w:r>
        <w:t xml:space="preserve">Chapter 5: Writing Custom Predicates</w:t>
      </w:r>
    </w:p>
    <w:p>
      <w:pPr>
        <w:pStyle w:val="Heading2"/>
      </w:pPr>
      <w:r>
        <w:t xml:space="preserve">Predicates as Reusable Units</w:t>
      </w:r>
    </w:p>
    <w:p>
      <w:pPr>
        <w:spacing w:after="140"/>
      </w:pPr>
      <w:r>
        <w:rPr>
          <w:sz w:val="22"/>
          <w:szCs w:val="22"/>
        </w:rPr>
        <w:t xml:space="preserve">A predicate is a named relation. Well-factored predicates are the single biggest contributor to readable, testable, and performant queries. They can accept parameters, return results, and be recursive.</w:t>
      </w:r>
    </w:p>
    <w:p>
      <w:pPr>
        <w:pStyle w:val="Heading2"/>
      </w:pPr>
      <w:r>
        <w:t xml:space="preserve">Basic Form</w:t>
      </w:r>
    </w:p>
    <w:p>
      <w:pPr>
        <w:spacing w:after="15" w:before="15"/>
      </w:pPr>
      <w:r>
        <w:rPr>
          <w:rFonts w:ascii="Consolas" w:cs="Consolas" w:eastAsia="Consolas" w:hAnsi="Consolas"/>
          <w:sz w:val="18"/>
          <w:szCs w:val="18"/>
        </w:rPr>
        <w:t xml:space="preserve">predicate isEvalCall(CallExpr call) {</w:t>
      </w:r>
    </w:p>
    <w:p>
      <w:pPr>
        <w:spacing w:after="15" w:before="15"/>
      </w:pPr>
      <w:r>
        <w:rPr>
          <w:rFonts w:ascii="Consolas" w:cs="Consolas" w:eastAsia="Consolas" w:hAnsi="Consolas"/>
          <w:sz w:val="18"/>
          <w:szCs w:val="18"/>
        </w:rPr>
        <w:t xml:space="preserve">  call.getCalleeName() = "eval"</w:t>
      </w:r>
    </w:p>
    <w:p>
      <w:pPr>
        <w:spacing w:after="15" w:before="15"/>
      </w:pPr>
      <w:r>
        <w:rPr>
          <w:rFonts w:ascii="Consolas" w:cs="Consolas" w:eastAsia="Consolas" w:hAnsi="Consolas"/>
          <w:sz w:val="18"/>
          <w:szCs w:val="18"/>
        </w:rPr>
        <w:t xml:space="preserve">}</w:t>
      </w:r>
    </w:p>
    <w:p>
      <w:pPr>
        <w:spacing w:after="140"/>
      </w:pPr>
      <w:r>
        <w:rPr>
          <w:sz w:val="22"/>
          <w:szCs w:val="22"/>
        </w:rPr>
        <w:t xml:space="preserve">The complete illustration is examples/chapter05/eval-call.ql.</w:t>
      </w:r>
    </w:p>
    <w:p>
      <w:pPr>
        <w:pStyle w:val="Heading2"/>
      </w:pPr>
      <w:r>
        <w:t xml:space="preserve">Returning Values and Recursion</w:t>
      </w:r>
    </w:p>
    <w:p>
      <w:pPr>
        <w:spacing w:after="15" w:before="15"/>
      </w:pPr>
      <w:r>
        <w:rPr>
          <w:rFonts w:ascii="Consolas" w:cs="Consolas" w:eastAsia="Consolas" w:hAnsi="Consolas"/>
          <w:sz w:val="18"/>
          <w:szCs w:val="18"/>
        </w:rPr>
        <w:t xml:space="preserve">predicate reaches(Function from, Function to) {</w:t>
      </w:r>
    </w:p>
    <w:p>
      <w:pPr>
        <w:spacing w:after="15" w:before="15"/>
      </w:pPr>
      <w:r>
        <w:rPr>
          <w:rFonts w:ascii="Consolas" w:cs="Consolas" w:eastAsia="Consolas" w:hAnsi="Consolas"/>
          <w:sz w:val="18"/>
          <w:szCs w:val="18"/>
        </w:rPr>
        <w:t xml:space="preserve">  from.calls(to)</w:t>
      </w:r>
    </w:p>
    <w:p>
      <w:pPr>
        <w:spacing w:after="15" w:before="15"/>
      </w:pPr>
      <w:r>
        <w:rPr>
          <w:rFonts w:ascii="Consolas" w:cs="Consolas" w:eastAsia="Consolas" w:hAnsi="Consolas"/>
          <w:sz w:val="18"/>
          <w:szCs w:val="18"/>
        </w:rPr>
        <w:t xml:space="preserve">  or</w:t>
      </w:r>
    </w:p>
    <w:p>
      <w:pPr>
        <w:spacing w:after="15" w:before="15"/>
      </w:pPr>
      <w:r>
        <w:rPr>
          <w:rFonts w:ascii="Consolas" w:cs="Consolas" w:eastAsia="Consolas" w:hAnsi="Consolas"/>
          <w:sz w:val="18"/>
          <w:szCs w:val="18"/>
        </w:rPr>
        <w:t xml:space="preserve">  exists(Function mid | reaches(from, mid) and mid.calls(to))</w:t>
      </w:r>
    </w:p>
    <w:p>
      <w:pPr>
        <w:spacing w:after="15" w:before="15"/>
      </w:pPr>
      <w:r>
        <w:rPr>
          <w:rFonts w:ascii="Consolas" w:cs="Consolas" w:eastAsia="Consolas" w:hAnsi="Consolas"/>
          <w:sz w:val="18"/>
          <w:szCs w:val="18"/>
        </w:rPr>
        <w:t xml:space="preserve">}</w:t>
      </w:r>
    </w:p>
    <w:p>
      <w:pPr>
        <w:spacing w:after="140"/>
      </w:pPr>
      <w:r>
        <w:rPr>
          <w:sz w:val="22"/>
          <w:szCs w:val="22"/>
        </w:rPr>
        <w:t xml:space="preserve">Place shared predicates in modules. Test each new predicate with a tiny query that selects only its results before you embed it in a larger analysis. Binding versus non-binding predicates affect evaluation cost; the language reference describes the distinction.</w:t>
      </w:r>
    </w:p>
    <w:p>
      <w:pPr>
        <w:spacing w:after="140"/>
      </w:pPr>
      <w:r>
        <w:rPr>
          <w:sz w:val="22"/>
          <w:szCs w:val="22"/>
        </w:rPr>
        <w:t xml:space="preserve">In real projects the difference between a query that is ignored and a query that developers trust is usually precision and clear messaging. When you write checks for custom predicates,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pStyle w:val="Heading1"/>
        <w:pageBreakBefore/>
      </w:pPr>
      <w:r>
        <w:t xml:space="preserve">Chapter 6: Writing Your First CodeQL Queries</w:t>
      </w:r>
    </w:p>
    <w:p>
      <w:pPr>
        <w:pStyle w:val="Heading2"/>
      </w:pPr>
      <w:r>
        <w:t xml:space="preserve">Metadata Block</w:t>
      </w:r>
    </w:p>
    <w:p>
      <w:pPr>
        <w:spacing w:after="140"/>
      </w:pPr>
      <w:r>
        <w:rPr>
          <w:sz w:val="22"/>
          <w:szCs w:val="22"/>
        </w:rPr>
        <w:t xml:space="preserve">Every query opens with a comment containing metadata. Required or strongly recommended fields include @kind, @id, @name, @description, and @problem.severity. The tooling uses these fields to classify results and to generate help text.</w:t>
      </w:r>
    </w:p>
    <w:p>
      <w:pPr>
        <w:pStyle w:val="Heading2"/>
      </w:pPr>
      <w:r>
        <w:t xml:space="preserve">Complete Alert Query</w:t>
      </w:r>
    </w:p>
    <w:p>
      <w:pPr>
        <w:spacing w:after="15" w:before="15"/>
      </w:pPr>
      <w:r>
        <w:rPr>
          <w:rFonts w:ascii="Consolas" w:cs="Consolas" w:eastAsia="Consolas" w:hAnsi="Consolas"/>
          <w:sz w:val="18"/>
          <w:szCs w:val="18"/>
        </w:rPr>
        <w:t xml:space="preserve">/**</w:t>
      </w:r>
    </w:p>
    <w:p>
      <w:pPr>
        <w:spacing w:after="15" w:before="15"/>
      </w:pPr>
      <w:r>
        <w:rPr>
          <w:rFonts w:ascii="Consolas" w:cs="Consolas" w:eastAsia="Consolas" w:hAnsi="Consolas"/>
          <w:sz w:val="18"/>
          <w:szCs w:val="18"/>
        </w:rPr>
        <w:t xml:space="preserve"> * @kind problem</w:t>
      </w:r>
    </w:p>
    <w:p>
      <w:pPr>
        <w:spacing w:after="15" w:before="15"/>
      </w:pPr>
      <w:r>
        <w:rPr>
          <w:rFonts w:ascii="Consolas" w:cs="Consolas" w:eastAsia="Consolas" w:hAnsi="Consolas"/>
          <w:sz w:val="18"/>
          <w:szCs w:val="18"/>
        </w:rPr>
        <w:t xml:space="preserve"> * @id mustlearn/interesting-calls</w:t>
      </w:r>
    </w:p>
    <w:p>
      <w:pPr>
        <w:spacing w:after="15" w:before="15"/>
      </w:pPr>
      <w:r>
        <w:rPr>
          <w:rFonts w:ascii="Consolas" w:cs="Consolas" w:eastAsia="Consolas" w:hAnsi="Consolas"/>
          <w:sz w:val="18"/>
          <w:szCs w:val="18"/>
        </w:rPr>
        <w:t xml:space="preserve"> * @name Interesting calls</w:t>
      </w:r>
    </w:p>
    <w:p>
      <w:pPr>
        <w:spacing w:after="15" w:before="15"/>
      </w:pPr>
      <w:r>
        <w:rPr>
          <w:rFonts w:ascii="Consolas" w:cs="Consolas" w:eastAsia="Consolas" w:hAnsi="Consolas"/>
          <w:sz w:val="18"/>
          <w:szCs w:val="18"/>
        </w:rPr>
        <w:t xml:space="preserve"> */</w:t>
      </w:r>
    </w:p>
    <w:p>
      <w:pPr>
        <w:spacing w:after="15" w:before="15"/>
      </w:pPr>
      <w:r>
        <w:rPr>
          <w:rFonts w:ascii="Consolas" w:cs="Consolas" w:eastAsia="Consolas" w:hAnsi="Consolas"/>
          <w:sz w:val="18"/>
          <w:szCs w:val="18"/>
        </w:rPr>
        <w:t xml:space="preserve">import javascript</w:t>
      </w:r>
    </w:p>
    <w:p>
      <w:pPr>
        <w:spacing w:after="15" w:before="15"/>
      </w:pPr>
      <w:r>
        <w:rPr>
          <w:rFonts w:ascii="Consolas" w:cs="Consolas" w:eastAsia="Consolas" w:hAnsi="Consolas"/>
          <w:sz w:val="18"/>
          <w:szCs w:val="18"/>
        </w:rPr>
        <w:t xml:space="preserve">predicate isInterestingCall(CallExpr c) {</w:t>
      </w:r>
    </w:p>
    <w:p>
      <w:pPr>
        <w:spacing w:after="15" w:before="15"/>
      </w:pPr>
      <w:r>
        <w:rPr>
          <w:rFonts w:ascii="Consolas" w:cs="Consolas" w:eastAsia="Consolas" w:hAnsi="Consolas"/>
          <w:sz w:val="18"/>
          <w:szCs w:val="18"/>
        </w:rPr>
        <w:t xml:space="preserve">  c.getCalleeName() = "eval" or c.getCalleeName() = "Function"</w:t>
      </w:r>
    </w:p>
    <w:p>
      <w:pPr>
        <w:spacing w:after="15" w:before="15"/>
      </w:pPr>
      <w:r>
        <w:rPr>
          <w:rFonts w:ascii="Consolas" w:cs="Consolas" w:eastAsia="Consolas" w:hAnsi="Consolas"/>
          <w:sz w:val="18"/>
          <w:szCs w:val="18"/>
        </w:rPr>
        <w:t xml:space="preserve">}</w:t>
      </w:r>
    </w:p>
    <w:p>
      <w:pPr>
        <w:spacing w:after="15" w:before="15"/>
      </w:pPr>
      <w:r>
        <w:rPr>
          <w:rFonts w:ascii="Consolas" w:cs="Consolas" w:eastAsia="Consolas" w:hAnsi="Consolas"/>
          <w:sz w:val="18"/>
          <w:szCs w:val="18"/>
        </w:rPr>
        <w:t xml:space="preserve">from CallExpr c</w:t>
      </w:r>
    </w:p>
    <w:p>
      <w:pPr>
        <w:spacing w:after="15" w:before="15"/>
      </w:pPr>
      <w:r>
        <w:rPr>
          <w:rFonts w:ascii="Consolas" w:cs="Consolas" w:eastAsia="Consolas" w:hAnsi="Consolas"/>
          <w:sz w:val="18"/>
          <w:szCs w:val="18"/>
        </w:rPr>
        <w:t xml:space="preserve">where isInterestingCall(c)</w:t>
      </w:r>
    </w:p>
    <w:p>
      <w:pPr>
        <w:spacing w:after="15" w:before="15"/>
      </w:pPr>
      <w:r>
        <w:rPr>
          <w:rFonts w:ascii="Consolas" w:cs="Consolas" w:eastAsia="Consolas" w:hAnsi="Consolas"/>
          <w:sz w:val="18"/>
          <w:szCs w:val="18"/>
        </w:rPr>
        <w:t xml:space="preserve">select c, "Interesting call detected."</w:t>
      </w:r>
    </w:p>
    <w:p>
      <w:pPr>
        <w:spacing w:after="140"/>
      </w:pPr>
      <w:r>
        <w:rPr>
          <w:sz w:val="22"/>
          <w:szCs w:val="22"/>
        </w:rPr>
        <w:t xml:space="preserve">Saved as examples/chapter06/interesting-calls.ql.</w:t>
      </w:r>
    </w:p>
    <w:p>
      <w:pPr>
        <w:pStyle w:val="Heading2"/>
      </w:pPr>
      <w:r>
        <w:t xml:space="preserve">Path Queries Preview</w:t>
      </w:r>
    </w:p>
    <w:p>
      <w:pPr>
        <w:spacing w:after="140"/>
      </w:pPr>
      <w:r>
        <w:rPr>
          <w:sz w:val="22"/>
          <w:szCs w:val="22"/>
        </w:rPr>
        <w:t xml:space="preserve">When you need to show a flow, you mark the query @kind path-problem and use a four-part select that includes source and sink path nodes. The data-flow chapters give the full pattern.</w:t>
      </w:r>
    </w:p>
    <w:p>
      <w:pPr>
        <w:spacing w:after="140"/>
      </w:pPr>
      <w:r>
        <w:rPr>
          <w:sz w:val="22"/>
          <w:szCs w:val="22"/>
        </w:rPr>
        <w:t xml:space="preserve">In real projects the difference between a query that is ignored and a query that developers trust is usually precision and clear messaging. When you write checks for first queries,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spacing w:after="140"/>
      </w:pPr>
      <w:r>
        <w:rPr>
          <w:sz w:val="22"/>
          <w:szCs w:val="22"/>
        </w:rPr>
        <w:t xml:space="preserve">Clear, specific select messages dramatically increase the chance that developers will act on an alert. Use the $@ syntax to hyperlink parts of the message back to relevant program elements.</w:t>
      </w:r>
    </w:p>
    <w:p>
      <w:pPr>
        <w:pStyle w:val="Heading1"/>
        <w:pageBreakBefore/>
      </w:pPr>
      <w:r>
        <w:t xml:space="preserve">Chapter 7: Exploring Code with Language Libraries</w:t>
      </w:r>
    </w:p>
    <w:p>
      <w:pPr>
        <w:pStyle w:val="Heading2"/>
      </w:pPr>
      <w:r>
        <w:t xml:space="preserve">Standard Library Design</w:t>
      </w:r>
    </w:p>
    <w:p>
      <w:pPr>
        <w:spacing w:after="140"/>
      </w:pPr>
      <w:r>
        <w:rPr>
          <w:sz w:val="22"/>
          <w:szCs w:val="22"/>
        </w:rPr>
        <w:t xml:space="preserve">Each language library converts raw tables into classes that mirror source-level concepts: Function, Method, CallExpr, Expr, Stmt, Parameter, and many more. Navigation predicates let you move from a call to its callee, from a function to its callers, from an expression to its type, and so on.</w:t>
      </w:r>
    </w:p>
    <w:p>
      <w:pPr>
        <w:pStyle w:val="Heading2"/>
      </w:pPr>
      <w:r>
        <w:t xml:space="preserve">Exploration Pattern</w:t>
      </w:r>
    </w:p>
    <w:p>
      <w:pPr>
        <w:spacing w:after="15" w:before="15"/>
      </w:pPr>
      <w:r>
        <w:rPr>
          <w:rFonts w:ascii="Consolas" w:cs="Consolas" w:eastAsia="Consolas" w:hAnsi="Consolas"/>
          <w:sz w:val="18"/>
          <w:szCs w:val="18"/>
        </w:rPr>
        <w:t xml:space="preserve">import javascript</w:t>
      </w:r>
    </w:p>
    <w:p>
      <w:pPr>
        <w:spacing w:after="15" w:before="15"/>
      </w:pPr>
      <w:r>
        <w:rPr>
          <w:rFonts w:ascii="Consolas" w:cs="Consolas" w:eastAsia="Consolas" w:hAnsi="Consolas"/>
          <w:sz w:val="18"/>
          <w:szCs w:val="18"/>
        </w:rPr>
        <w:t xml:space="preserve">from CallExpr c</w:t>
      </w:r>
    </w:p>
    <w:p>
      <w:pPr>
        <w:spacing w:after="15" w:before="15"/>
      </w:pPr>
      <w:r>
        <w:rPr>
          <w:rFonts w:ascii="Consolas" w:cs="Consolas" w:eastAsia="Consolas" w:hAnsi="Consolas"/>
          <w:sz w:val="18"/>
          <w:szCs w:val="18"/>
        </w:rPr>
        <w:t xml:space="preserve">where c.getCalleeName() = "console.log"</w:t>
      </w:r>
    </w:p>
    <w:p>
      <w:pPr>
        <w:spacing w:after="15" w:before="15"/>
      </w:pPr>
      <w:r>
        <w:rPr>
          <w:rFonts w:ascii="Consolas" w:cs="Consolas" w:eastAsia="Consolas" w:hAnsi="Consolas"/>
          <w:sz w:val="18"/>
          <w:szCs w:val="18"/>
        </w:rPr>
        <w:t xml:space="preserve">select c, "Logging statement"</w:t>
      </w:r>
    </w:p>
    <w:p>
      <w:pPr>
        <w:spacing w:after="140"/>
      </w:pPr>
      <w:r>
        <w:rPr>
          <w:sz w:val="22"/>
          <w:szCs w:val="22"/>
        </w:rPr>
        <w:t xml:space="preserve">Begin with a broad selection, inspect the results, then add predicates to exclude uninteresting cases. The official language guides contain dozens of such worked examples.</w:t>
      </w:r>
    </w:p>
    <w:p>
      <w:pPr>
        <w:spacing w:after="140"/>
      </w:pPr>
      <w:r>
        <w:rPr>
          <w:sz w:val="22"/>
          <w:szCs w:val="22"/>
        </w:rPr>
        <w:t xml:space="preserve">In real projects the difference between a query that is ignored and a query that developers trust is usually precision and clear messaging. When you write checks for language libraries,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spacing w:after="140"/>
      </w:pPr>
      <w:r>
        <w:rPr>
          <w:sz w:val="22"/>
          <w:szCs w:val="22"/>
        </w:rPr>
        <w:t xml:space="preserve">Once the navigation style of one language feels familiar, the others are largely a matter of learning the corresponding class and predicate names. Data-flow and taint-tracking configurations remain almost identical across languages.</w:t>
      </w:r>
    </w:p>
    <w:p>
      <w:pPr>
        <w:pStyle w:val="Heading1"/>
        <w:pageBreakBefore/>
      </w:pPr>
      <w:r>
        <w:t xml:space="preserve">Chapter 8: Data Flow Analysis</w:t>
      </w:r>
    </w:p>
    <w:p>
      <w:pPr>
        <w:pStyle w:val="Heading2"/>
      </w:pPr>
      <w:r>
        <w:t xml:space="preserve">Local versus Global</w:t>
      </w:r>
    </w:p>
    <w:p>
      <w:pPr>
        <w:spacing w:after="140"/>
      </w:pPr>
      <w:r>
        <w:rPr>
          <w:sz w:val="22"/>
          <w:szCs w:val="22"/>
        </w:rPr>
        <w:t xml:space="preserve">Local data flow is confined to a single function and is inexpensive. Global data flow follows values across calls and is the basis of nearly all security queries. Both are supplied by the standard DataFlow libraries.</w:t>
      </w:r>
    </w:p>
    <w:p>
      <w:pPr>
        <w:pStyle w:val="Heading2"/>
      </w:pPr>
      <w:r>
        <w:t xml:space="preserve">Configuration Style</w:t>
      </w:r>
    </w:p>
    <w:p>
      <w:pPr>
        <w:spacing w:after="15" w:before="15"/>
      </w:pPr>
      <w:r>
        <w:rPr>
          <w:rFonts w:ascii="Consolas" w:cs="Consolas" w:eastAsia="Consolas" w:hAnsi="Consolas"/>
          <w:sz w:val="18"/>
          <w:szCs w:val="18"/>
        </w:rPr>
        <w:t xml:space="preserve">module Config implements DataFlow::ConfigSig {</w:t>
      </w:r>
    </w:p>
    <w:p>
      <w:pPr>
        <w:spacing w:after="15" w:before="15"/>
      </w:pPr>
      <w:r>
        <w:rPr>
          <w:rFonts w:ascii="Consolas" w:cs="Consolas" w:eastAsia="Consolas" w:hAnsi="Consolas"/>
          <w:sz w:val="18"/>
          <w:szCs w:val="18"/>
        </w:rPr>
        <w:t xml:space="preserve">  predicate isSource(DataFlow::Node n) { n instanceof RemoteFlowSource }</w:t>
      </w:r>
    </w:p>
    <w:p>
      <w:pPr>
        <w:spacing w:after="15" w:before="15"/>
      </w:pPr>
      <w:r>
        <w:rPr>
          <w:rFonts w:ascii="Consolas" w:cs="Consolas" w:eastAsia="Consolas" w:hAnsi="Consolas"/>
          <w:sz w:val="18"/>
          <w:szCs w:val="18"/>
        </w:rPr>
        <w:t xml:space="preserve">  predicate isSink(DataFlow::Node n) { n instanceof DomBasedXssSink }</w:t>
      </w:r>
    </w:p>
    <w:p>
      <w:pPr>
        <w:spacing w:after="15" w:before="15"/>
      </w:pPr>
      <w:r>
        <w:rPr>
          <w:rFonts w:ascii="Consolas" w:cs="Consolas" w:eastAsia="Consolas" w:hAnsi="Consolas"/>
          <w:sz w:val="18"/>
          <w:szCs w:val="18"/>
        </w:rPr>
        <w:t xml:space="preserve">}</w:t>
      </w:r>
    </w:p>
    <w:p>
      <w:pPr>
        <w:spacing w:after="15" w:before="15"/>
      </w:pPr>
      <w:r>
        <w:rPr>
          <w:rFonts w:ascii="Consolas" w:cs="Consolas" w:eastAsia="Consolas" w:hAnsi="Consolas"/>
          <w:sz w:val="18"/>
          <w:szCs w:val="18"/>
        </w:rPr>
        <w:t xml:space="preserve">module Flow = DataFlow::Global&lt;Config&gt;;</w:t>
      </w:r>
    </w:p>
    <w:p>
      <w:pPr>
        <w:spacing w:after="15" w:before="15"/>
      </w:pPr>
      <w:r>
        <w:rPr>
          <w:rFonts w:ascii="Consolas" w:cs="Consolas" w:eastAsia="Consolas" w:hAnsi="Consolas"/>
          <w:sz w:val="18"/>
          <w:szCs w:val="18"/>
        </w:rPr>
        <w:t xml:space="preserve">from Flow::PathNode source, Flow::PathNode sink</w:t>
      </w:r>
    </w:p>
    <w:p>
      <w:pPr>
        <w:spacing w:after="15" w:before="15"/>
      </w:pPr>
      <w:r>
        <w:rPr>
          <w:rFonts w:ascii="Consolas" w:cs="Consolas" w:eastAsia="Consolas" w:hAnsi="Consolas"/>
          <w:sz w:val="18"/>
          <w:szCs w:val="18"/>
        </w:rPr>
        <w:t xml:space="preserve">where Flow::flowPath(source, sink)</w:t>
      </w:r>
    </w:p>
    <w:p>
      <w:pPr>
        <w:spacing w:after="15" w:before="15"/>
      </w:pPr>
      <w:r>
        <w:rPr>
          <w:rFonts w:ascii="Consolas" w:cs="Consolas" w:eastAsia="Consolas" w:hAnsi="Consolas"/>
          <w:sz w:val="18"/>
          <w:szCs w:val="18"/>
        </w:rPr>
        <w:t xml:space="preserve">select sink.getNode(), source, sink, "Flow found."</w:t>
      </w:r>
    </w:p>
    <w:p>
      <w:pPr>
        <w:spacing w:after="140"/>
      </w:pPr>
      <w:r>
        <w:rPr>
          <w:sz w:val="22"/>
          <w:szCs w:val="22"/>
        </w:rPr>
        <w:t xml:space="preserve">The file examples/chapter08/global-flow-skeleton.ql contains this skeleton. Choose DataFlow::Global for pure value tracking and TaintTracking::Global when derived values must remain tainted.</w:t>
      </w:r>
    </w:p>
    <w:p>
      <w:pPr>
        <w:spacing w:after="140"/>
      </w:pPr>
      <w:r>
        <w:rPr>
          <w:sz w:val="22"/>
          <w:szCs w:val="22"/>
        </w:rPr>
        <w:t xml:space="preserve">In real projects the difference between a query that is ignored and a query that developers trust is usually precision and clear messaging. When you write checks for data-flow analysis,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spacing w:after="140"/>
      </w:pPr>
      <w:r>
        <w:rPr>
          <w:sz w:val="22"/>
          <w:szCs w:val="22"/>
        </w:rPr>
        <w:t xml:space="preserve">Most precision problems are solved by adding isBarrier or isAdditionalFlowStep predicates inside the configuration rather than by rewriting the query body.</w:t>
      </w:r>
    </w:p>
    <w:p>
      <w:pPr>
        <w:pStyle w:val="Heading1"/>
        <w:pageBreakBefore/>
      </w:pPr>
      <w:r>
        <w:t xml:space="preserve">Chapter 9: Taint Tracking and Path Queries</w:t>
      </w:r>
    </w:p>
    <w:p>
      <w:pPr>
        <w:pStyle w:val="Heading2"/>
      </w:pPr>
      <w:r>
        <w:t xml:space="preserve">Core Concepts</w:t>
      </w:r>
    </w:p>
    <w:p>
      <w:pPr>
        <w:spacing w:after="140"/>
      </w:pPr>
      <w:r>
        <w:rPr>
          <w:sz w:val="22"/>
          <w:szCs w:val="22"/>
        </w:rPr>
        <w:t xml:space="preserve">A source produces untrusted data. A sink consumes data in a dangerous way. A barrier removes taint. Path queries exist so that the tool can display every step from source to sink, giving developers an immediate explanation.</w:t>
      </w:r>
    </w:p>
    <w:p>
      <w:pPr>
        <w:pStyle w:val="Heading2"/>
      </w:pPr>
      <w:r>
        <w:t xml:space="preserve">Full Path-Query Example</w:t>
      </w:r>
    </w:p>
    <w:p>
      <w:pPr>
        <w:spacing w:after="15" w:before="15"/>
      </w:pPr>
      <w:r>
        <w:rPr>
          <w:rFonts w:ascii="Consolas" w:cs="Consolas" w:eastAsia="Consolas" w:hAnsi="Consolas"/>
          <w:sz w:val="18"/>
          <w:szCs w:val="18"/>
        </w:rPr>
        <w:t xml:space="preserve">/**</w:t>
      </w:r>
    </w:p>
    <w:p>
      <w:pPr>
        <w:spacing w:after="15" w:before="15"/>
      </w:pPr>
      <w:r>
        <w:rPr>
          <w:rFonts w:ascii="Consolas" w:cs="Consolas" w:eastAsia="Consolas" w:hAnsi="Consolas"/>
          <w:sz w:val="18"/>
          <w:szCs w:val="18"/>
        </w:rPr>
        <w:t xml:space="preserve"> * @kind path-problem</w:t>
      </w:r>
    </w:p>
    <w:p>
      <w:pPr>
        <w:spacing w:after="15" w:before="15"/>
      </w:pPr>
      <w:r>
        <w:rPr>
          <w:rFonts w:ascii="Consolas" w:cs="Consolas" w:eastAsia="Consolas" w:hAnsi="Consolas"/>
          <w:sz w:val="18"/>
          <w:szCs w:val="18"/>
        </w:rPr>
        <w:t xml:space="preserve"> * @problem.severity error</w:t>
      </w:r>
    </w:p>
    <w:p>
      <w:pPr>
        <w:spacing w:after="15" w:before="15"/>
      </w:pPr>
      <w:r>
        <w:rPr>
          <w:rFonts w:ascii="Consolas" w:cs="Consolas" w:eastAsia="Consolas" w:hAnsi="Consolas"/>
          <w:sz w:val="18"/>
          <w:szCs w:val="18"/>
        </w:rPr>
        <w:t xml:space="preserve"> */</w:t>
      </w:r>
    </w:p>
    <w:p>
      <w:pPr>
        <w:spacing w:after="15" w:before="15"/>
      </w:pPr>
      <w:r>
        <w:rPr>
          <w:rFonts w:ascii="Consolas" w:cs="Consolas" w:eastAsia="Consolas" w:hAnsi="Consolas"/>
          <w:sz w:val="18"/>
          <w:szCs w:val="18"/>
        </w:rPr>
        <w:t xml:space="preserve">import javascript</w:t>
      </w:r>
    </w:p>
    <w:p>
      <w:pPr>
        <w:spacing w:after="15" w:before="15"/>
      </w:pPr>
      <w:r>
        <w:rPr>
          <w:rFonts w:ascii="Consolas" w:cs="Consolas" w:eastAsia="Consolas" w:hAnsi="Consolas"/>
          <w:sz w:val="18"/>
          <w:szCs w:val="18"/>
        </w:rPr>
        <w:t xml:space="preserve">module C implements DataFlow::ConfigSig {</w:t>
      </w:r>
    </w:p>
    <w:p>
      <w:pPr>
        <w:spacing w:after="15" w:before="15"/>
      </w:pPr>
      <w:r>
        <w:rPr>
          <w:rFonts w:ascii="Consolas" w:cs="Consolas" w:eastAsia="Consolas" w:hAnsi="Consolas"/>
          <w:sz w:val="18"/>
          <w:szCs w:val="18"/>
        </w:rPr>
        <w:t xml:space="preserve">  predicate isSource(DataFlow::Node n) { n instanceof RemoteFlowSource }</w:t>
      </w:r>
    </w:p>
    <w:p>
      <w:pPr>
        <w:spacing w:after="15" w:before="15"/>
      </w:pPr>
      <w:r>
        <w:rPr>
          <w:rFonts w:ascii="Consolas" w:cs="Consolas" w:eastAsia="Consolas" w:hAnsi="Consolas"/>
          <w:sz w:val="18"/>
          <w:szCs w:val="18"/>
        </w:rPr>
        <w:t xml:space="preserve">  predicate isSink(DataFlow::Node n) { n instanceof DomBasedXssSink }</w:t>
      </w:r>
    </w:p>
    <w:p>
      <w:pPr>
        <w:spacing w:after="15" w:before="15"/>
      </w:pPr>
      <w:r>
        <w:rPr>
          <w:rFonts w:ascii="Consolas" w:cs="Consolas" w:eastAsia="Consolas" w:hAnsi="Consolas"/>
          <w:sz w:val="18"/>
          <w:szCs w:val="18"/>
        </w:rPr>
        <w:t xml:space="preserve">}</w:t>
      </w:r>
    </w:p>
    <w:p>
      <w:pPr>
        <w:spacing w:after="15" w:before="15"/>
      </w:pPr>
      <w:r>
        <w:rPr>
          <w:rFonts w:ascii="Consolas" w:cs="Consolas" w:eastAsia="Consolas" w:hAnsi="Consolas"/>
          <w:sz w:val="18"/>
          <w:szCs w:val="18"/>
        </w:rPr>
        <w:t xml:space="preserve">module F = TaintTracking::Global&lt;C&gt;;</w:t>
      </w:r>
    </w:p>
    <w:p>
      <w:pPr>
        <w:spacing w:after="15" w:before="15"/>
      </w:pPr>
      <w:r>
        <w:rPr>
          <w:rFonts w:ascii="Consolas" w:cs="Consolas" w:eastAsia="Consolas" w:hAnsi="Consolas"/>
          <w:sz w:val="18"/>
          <w:szCs w:val="18"/>
        </w:rPr>
        <w:t xml:space="preserve">import F::PathGraph</w:t>
      </w:r>
    </w:p>
    <w:p>
      <w:pPr>
        <w:spacing w:after="15" w:before="15"/>
      </w:pPr>
      <w:r>
        <w:rPr>
          <w:rFonts w:ascii="Consolas" w:cs="Consolas" w:eastAsia="Consolas" w:hAnsi="Consolas"/>
          <w:sz w:val="18"/>
          <w:szCs w:val="18"/>
        </w:rPr>
        <w:t xml:space="preserve">from F::PathNode source, F::PathNode sink</w:t>
      </w:r>
    </w:p>
    <w:p>
      <w:pPr>
        <w:spacing w:after="15" w:before="15"/>
      </w:pPr>
      <w:r>
        <w:rPr>
          <w:rFonts w:ascii="Consolas" w:cs="Consolas" w:eastAsia="Consolas" w:hAnsi="Consolas"/>
          <w:sz w:val="18"/>
          <w:szCs w:val="18"/>
        </w:rPr>
        <w:t xml:space="preserve">where F::flowPath(source, sink)</w:t>
      </w:r>
    </w:p>
    <w:p>
      <w:pPr>
        <w:spacing w:after="15" w:before="15"/>
      </w:pPr>
      <w:r>
        <w:rPr>
          <w:rFonts w:ascii="Consolas" w:cs="Consolas" w:eastAsia="Consolas" w:hAnsi="Consolas"/>
          <w:sz w:val="18"/>
          <w:szCs w:val="18"/>
        </w:rPr>
        <w:t xml:space="preserve">select sink.getNode(), source, sink, "XSS from $@.", source.getNode(), "user input"</w:t>
      </w:r>
    </w:p>
    <w:p>
      <w:pPr>
        <w:spacing w:after="140"/>
      </w:pPr>
      <w:r>
        <w:rPr>
          <w:sz w:val="22"/>
          <w:szCs w:val="22"/>
        </w:rPr>
        <w:t xml:space="preserve">Located at examples/chapter09/xss-path.ql. Extend the configuration with barriers and extra flow steps as needed.</w:t>
      </w:r>
    </w:p>
    <w:p>
      <w:pPr>
        <w:spacing w:after="140"/>
      </w:pPr>
      <w:r>
        <w:rPr>
          <w:sz w:val="22"/>
          <w:szCs w:val="22"/>
        </w:rPr>
        <w:t xml:space="preserve">In real projects the difference between a query that is ignored and a query that developers trust is usually precision and clear messaging. When you write checks for taint tracking,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spacing w:after="140"/>
      </w:pPr>
      <w:r>
        <w:rPr>
          <w:sz w:val="22"/>
          <w:szCs w:val="22"/>
        </w:rPr>
        <w:t xml:space="preserve">Flow state (labels) lets you track additional properties of a value—whether it has been encoded, which sanitizer it passed through, or which kind of taint it carries—without writing entirely separate queries.</w:t>
      </w:r>
    </w:p>
    <w:p>
      <w:pPr>
        <w:pStyle w:val="Heading1"/>
        <w:pageBreakBefore/>
      </w:pPr>
      <w:r>
        <w:t xml:space="preserve">Chapter 10: CodeQL Library Extension</w:t>
      </w:r>
    </w:p>
    <w:p>
      <w:pPr>
        <w:pStyle w:val="Heading2"/>
      </w:pPr>
      <w:r>
        <w:t xml:space="preserve">Motivation</w:t>
      </w:r>
    </w:p>
    <w:p>
      <w:pPr>
        <w:spacing w:after="140"/>
      </w:pPr>
      <w:r>
        <w:rPr>
          <w:sz w:val="22"/>
          <w:szCs w:val="22"/>
        </w:rPr>
        <w:t xml:space="preserve">Standard models cannot know every internal framework or third-party library. Extensions let existing queries understand your code. The usual extensions are extra sources, extra sinks, and flow summaries.</w:t>
      </w:r>
    </w:p>
    <w:p>
      <w:pPr>
        <w:pStyle w:val="Heading2"/>
      </w:pPr>
      <w:r>
        <w:t xml:space="preserve">Custom Source</w:t>
      </w:r>
    </w:p>
    <w:p>
      <w:pPr>
        <w:spacing w:after="15" w:before="15"/>
      </w:pPr>
      <w:r>
        <w:rPr>
          <w:rFonts w:ascii="Consolas" w:cs="Consolas" w:eastAsia="Consolas" w:hAnsi="Consolas"/>
          <w:sz w:val="18"/>
          <w:szCs w:val="18"/>
        </w:rPr>
        <w:t xml:space="preserve">class CustomRemoteSource extends RemoteFlowSource {</w:t>
      </w:r>
    </w:p>
    <w:p>
      <w:pPr>
        <w:spacing w:after="15" w:before="15"/>
      </w:pPr>
      <w:r>
        <w:rPr>
          <w:rFonts w:ascii="Consolas" w:cs="Consolas" w:eastAsia="Consolas" w:hAnsi="Consolas"/>
          <w:sz w:val="18"/>
          <w:szCs w:val="18"/>
        </w:rPr>
        <w:t xml:space="preserve">  CustomRemoteSource() {</w:t>
      </w:r>
    </w:p>
    <w:p>
      <w:pPr>
        <w:spacing w:after="15" w:before="15"/>
      </w:pPr>
      <w:r>
        <w:rPr>
          <w:rFonts w:ascii="Consolas" w:cs="Consolas" w:eastAsia="Consolas" w:hAnsi="Consolas"/>
          <w:sz w:val="18"/>
          <w:szCs w:val="18"/>
        </w:rPr>
        <w:t xml:space="preserve">    this = any(CallExpr c | c.getCalleeName() = "getUserInput").flow()</w:t>
      </w:r>
    </w:p>
    <w:p>
      <w:pPr>
        <w:spacing w:after="15" w:before="15"/>
      </w:pPr>
      <w:r>
        <w:rPr>
          <w:rFonts w:ascii="Consolas" w:cs="Consolas" w:eastAsia="Consolas" w:hAnsi="Consolas"/>
          <w:sz w:val="18"/>
          <w:szCs w:val="18"/>
        </w:rPr>
        <w:t xml:space="preserve">  }</w:t>
      </w:r>
    </w:p>
    <w:p>
      <w:pPr>
        <w:spacing w:after="15" w:before="15"/>
      </w:pPr>
      <w:r>
        <w:rPr>
          <w:rFonts w:ascii="Consolas" w:cs="Consolas" w:eastAsia="Consolas" w:hAnsi="Consolas"/>
          <w:sz w:val="18"/>
          <w:szCs w:val="18"/>
        </w:rPr>
        <w:t xml:space="preserve">}</w:t>
      </w:r>
    </w:p>
    <w:p>
      <w:pPr>
        <w:spacing w:after="140"/>
      </w:pPr>
      <w:r>
        <w:rPr>
          <w:sz w:val="22"/>
          <w:szCs w:val="22"/>
        </w:rPr>
        <w:t xml:space="preserve">See examples/chapter10/custom-source.ql. Model packs package such extensions for reuse across queries and repositories.</w:t>
      </w:r>
    </w:p>
    <w:p>
      <w:pPr>
        <w:spacing w:after="140"/>
      </w:pPr>
      <w:r>
        <w:rPr>
          <w:sz w:val="22"/>
          <w:szCs w:val="22"/>
        </w:rPr>
        <w:t xml:space="preserve">In real projects the difference between a query that is ignored and a query that developers trust is usually precision and clear messaging. When you write checks for library extension,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spacing w:after="140"/>
      </w:pPr>
      <w:r>
        <w:rPr>
          <w:sz w:val="22"/>
          <w:szCs w:val="22"/>
        </w:rPr>
        <w:t xml:space="preserve">Test every extension against both vulnerable and safe examples before you rely on it in production. An incorrect model silently creates false negatives or false positives in every query that uses it.</w:t>
      </w:r>
    </w:p>
    <w:p>
      <w:pPr>
        <w:pStyle w:val="Heading1"/>
        <w:pageBreakBefore/>
      </w:pPr>
      <w:r>
        <w:t xml:space="preserve">Chapter 11: Query Packs, Suites, Metadata, and Production Use</w:t>
      </w:r>
    </w:p>
    <w:p>
      <w:pPr>
        <w:pStyle w:val="Heading2"/>
      </w:pPr>
      <w:r>
        <w:t xml:space="preserve">Pack Definition</w:t>
      </w:r>
    </w:p>
    <w:p>
      <w:pPr>
        <w:spacing w:after="15" w:before="15"/>
      </w:pPr>
      <w:r>
        <w:rPr>
          <w:rFonts w:ascii="Consolas" w:cs="Consolas" w:eastAsia="Consolas" w:hAnsi="Consolas"/>
          <w:sz w:val="18"/>
          <w:szCs w:val="18"/>
        </w:rPr>
        <w:t xml:space="preserve">name: mustlearn/example-queries</w:t>
      </w:r>
    </w:p>
    <w:p>
      <w:pPr>
        <w:spacing w:after="15" w:before="15"/>
      </w:pPr>
      <w:r>
        <w:rPr>
          <w:rFonts w:ascii="Consolas" w:cs="Consolas" w:eastAsia="Consolas" w:hAnsi="Consolas"/>
          <w:sz w:val="18"/>
          <w:szCs w:val="18"/>
        </w:rPr>
        <w:t xml:space="preserve">version: 1.0.0</w:t>
      </w:r>
    </w:p>
    <w:p>
      <w:pPr>
        <w:spacing w:after="15" w:before="15"/>
      </w:pPr>
      <w:r>
        <w:rPr>
          <w:rFonts w:ascii="Consolas" w:cs="Consolas" w:eastAsia="Consolas" w:hAnsi="Consolas"/>
          <w:sz w:val="18"/>
          <w:szCs w:val="18"/>
        </w:rPr>
        <w:t xml:space="preserve">dependencies:</w:t>
      </w:r>
    </w:p>
    <w:p>
      <w:pPr>
        <w:spacing w:after="15" w:before="15"/>
      </w:pPr>
      <w:r>
        <w:rPr>
          <w:rFonts w:ascii="Consolas" w:cs="Consolas" w:eastAsia="Consolas" w:hAnsi="Consolas"/>
          <w:sz w:val="18"/>
          <w:szCs w:val="18"/>
        </w:rPr>
        <w:t xml:space="preserve">  codeql/javascript-all: "*"</w:t>
      </w:r>
    </w:p>
    <w:p>
      <w:pPr>
        <w:spacing w:after="140"/>
      </w:pPr>
      <w:r>
        <w:rPr>
          <w:sz w:val="22"/>
          <w:szCs w:val="22"/>
        </w:rPr>
        <w:t xml:space="preserve">examples/chapter11/qlpack.yml and example-suite.qls show a minimal pack and suite.</w:t>
      </w:r>
    </w:p>
    <w:p>
      <w:pPr>
        <w:pStyle w:val="Heading2"/>
      </w:pPr>
      <w:r>
        <w:t xml:space="preserve">Suites and Metadata</w:t>
      </w:r>
    </w:p>
    <w:p>
      <w:pPr>
        <w:spacing w:after="140"/>
      </w:pPr>
      <w:r>
        <w:rPr>
          <w:sz w:val="22"/>
          <w:szCs w:val="22"/>
        </w:rPr>
        <w:t xml:space="preserve">Suites select queries by kind, tag, or path. Complete metadata makes alerts understandable in GitHub code scanning. Expected-result tests are mandatory before a pack is shared.</w:t>
      </w:r>
    </w:p>
    <w:p>
      <w:pPr>
        <w:spacing w:after="140"/>
      </w:pPr>
      <w:r>
        <w:rPr>
          <w:sz w:val="22"/>
          <w:szCs w:val="22"/>
        </w:rPr>
        <w:t xml:space="preserve">In real projects the difference between a query that is ignored and a query that developers trust is usually precision and clear messaging. When you write checks for packs and production use,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pStyle w:val="Heading1"/>
        <w:pageBreakBefore/>
      </w:pPr>
      <w:r>
        <w:t xml:space="preserve">Chapter 12: Integrating CodeQL into Development Workflows</w:t>
      </w:r>
    </w:p>
    <w:p>
      <w:pPr>
        <w:pStyle w:val="Heading2"/>
      </w:pPr>
      <w:r>
        <w:t xml:space="preserve">GitHub Actions</w:t>
      </w:r>
    </w:p>
    <w:p>
      <w:pPr>
        <w:spacing w:after="140"/>
      </w:pPr>
      <w:r>
        <w:rPr>
          <w:sz w:val="22"/>
          <w:szCs w:val="22"/>
        </w:rPr>
        <w:t xml:space="preserve">The official action creates the database, runs queries, and uploads SARIF. A full workflow is in examples/chapter12/codeql-analysis.yml. Customize languages, suites or packs, and build commands to match your repository.</w:t>
      </w:r>
    </w:p>
    <w:p>
      <w:pPr>
        <w:pStyle w:val="Heading2"/>
      </w:pPr>
      <w:r>
        <w:t xml:space="preserve">Other CI and MRVA</w:t>
      </w:r>
    </w:p>
    <w:p>
      <w:pPr>
        <w:spacing w:after="140"/>
      </w:pPr>
      <w:r>
        <w:rPr>
          <w:sz w:val="22"/>
          <w:szCs w:val="22"/>
        </w:rPr>
        <w:t xml:space="preserve">Non-GitHub CI systems use the CodeQL bundle and the CLI, then upload SARIF. Multi-repository variant analysis runs one query across many codebases for research or organization-wide hunting.</w:t>
      </w:r>
    </w:p>
    <w:p>
      <w:pPr>
        <w:spacing w:after="140"/>
      </w:pPr>
      <w:r>
        <w:rPr>
          <w:sz w:val="22"/>
          <w:szCs w:val="22"/>
        </w:rPr>
        <w:t xml:space="preserve">In real projects the difference between a query that is ignored and a query that developers trust is usually precision and clear messaging. When you write checks for CI integration,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pStyle w:val="Heading1"/>
        <w:pageBreakBefore/>
      </w:pPr>
      <w:r>
        <w:t xml:space="preserve">Chapter 13: Advanced Techniques and Performance</w:t>
      </w:r>
    </w:p>
    <w:p>
      <w:pPr>
        <w:pStyle w:val="Heading2"/>
      </w:pPr>
      <w:r>
        <w:t xml:space="preserve">Efficient Predicates</w:t>
      </w:r>
    </w:p>
    <w:p>
      <w:pPr>
        <w:spacing w:after="140"/>
      </w:pPr>
      <w:r>
        <w:rPr>
          <w:sz w:val="22"/>
          <w:szCs w:val="22"/>
        </w:rPr>
        <w:t xml:space="preserve">Keep predicates small. Prefer library helpers. The tighter eval predicate in examples/chapter13/performance-predicate.ql illustrates the idea.</w:t>
      </w:r>
    </w:p>
    <w:p>
      <w:pPr>
        <w:pStyle w:val="Heading2"/>
      </w:pPr>
      <w:r>
        <w:t xml:space="preserve">Debugging</w:t>
      </w:r>
    </w:p>
    <w:p>
      <w:pPr>
        <w:spacing w:after="140"/>
      </w:pPr>
      <w:r>
        <w:rPr>
          <w:sz w:val="22"/>
          <w:szCs w:val="22"/>
        </w:rPr>
        <w:t xml:space="preserve">Partial-flow debugging and intermediate selects reveal why an expected path is missing. Most problems are incomplete models, not engine failures.</w:t>
      </w:r>
    </w:p>
    <w:p>
      <w:pPr>
        <w:spacing w:after="140"/>
      </w:pPr>
      <w:r>
        <w:rPr>
          <w:sz w:val="22"/>
          <w:szCs w:val="22"/>
        </w:rPr>
        <w:t xml:space="preserve">In real projects the difference between a query that is ignored and a query that developers trust is usually precision and clear messaging. When you write checks for performance and debugging,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pStyle w:val="Heading1"/>
        <w:pageBreakBefore/>
      </w:pPr>
      <w:r>
        <w:t xml:space="preserve">Chapter 14: Real-World Case Studies and Patterns</w:t>
      </w:r>
    </w:p>
    <w:p>
      <w:pPr>
        <w:pStyle w:val="Heading2"/>
      </w:pPr>
      <w:r>
        <w:t xml:space="preserve">Studying Existing Work</w:t>
      </w:r>
    </w:p>
    <w:p>
      <w:pPr>
        <w:spacing w:after="140"/>
      </w:pPr>
      <w:r>
        <w:rPr>
          <w:sz w:val="22"/>
          <w:szCs w:val="22"/>
        </w:rPr>
        <w:t xml:space="preserve">The Security Lab Zero-to-Hero series and public write-ups show complete research workflows. Common classes—injection, XSS, path traversal, deserialization—share the same source-to-sink skeleton.</w:t>
      </w:r>
    </w:p>
    <w:p>
      <w:pPr>
        <w:pStyle w:val="Heading2"/>
      </w:pPr>
      <w:r>
        <w:t xml:space="preserve">SQL Injection Skeleton</w:t>
      </w:r>
    </w:p>
    <w:p>
      <w:pPr>
        <w:spacing w:after="140"/>
      </w:pPr>
      <w:r>
        <w:rPr>
          <w:sz w:val="22"/>
          <w:szCs w:val="22"/>
        </w:rPr>
        <w:t xml:space="preserve">examples/chapter14/sql-injection-example.ql demonstrates the structure. Replace the placeholder sink with a real model for production use.</w:t>
      </w:r>
    </w:p>
    <w:p>
      <w:pPr>
        <w:spacing w:after="140"/>
      </w:pPr>
      <w:r>
        <w:rPr>
          <w:sz w:val="22"/>
          <w:szCs w:val="22"/>
        </w:rPr>
        <w:t xml:space="preserve">In real projects the difference between a query that is ignored and a query that developers trust is usually precision and clear messaging. When you write checks for case studies,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spacing w:after="140"/>
      </w:pPr>
      <w:r>
        <w:rPr>
          <w:sz w:val="22"/>
          <w:szCs w:val="22"/>
        </w:rPr>
        <w:t xml:space="preserve">A mature query starts as a detector for one bug and becomes both a scalable variant-analysis tool and a permanent CI check.</w:t>
      </w:r>
    </w:p>
    <w:p>
      <w:pPr>
        <w:pStyle w:val="Heading1"/>
        <w:pageBreakBefore/>
      </w:pPr>
      <w:r>
        <w:t xml:space="preserve">Chapter 15: Best Practices, Common Pitfalls, and Next Steps</w:t>
      </w:r>
    </w:p>
    <w:p>
      <w:pPr>
        <w:pStyle w:val="Heading2"/>
      </w:pPr>
      <w:r>
        <w:t xml:space="preserve">Effective Habits</w:t>
      </w:r>
    </w:p>
    <w:p>
      <w:pPr>
        <w:spacing w:after="140"/>
      </w:pPr>
      <w:r>
        <w:rPr>
          <w:sz w:val="22"/>
          <w:szCs w:val="22"/>
        </w:rPr>
        <w:t xml:space="preserve">Small predicates, complete metadata, positive-and-negative tests, library extension instead of duplication, and precise barriers are the habits that produce queries developers trust.</w:t>
      </w:r>
    </w:p>
    <w:p>
      <w:pPr>
        <w:pStyle w:val="Heading2"/>
      </w:pPr>
      <w:r>
        <w:t xml:space="preserve">Pitfalls and Contribution</w:t>
      </w:r>
    </w:p>
    <w:p>
      <w:pPr>
        <w:spacing w:after="140"/>
      </w:pPr>
      <w:r>
        <w:rPr>
          <w:sz w:val="22"/>
          <w:szCs w:val="22"/>
        </w:rPr>
        <w:t xml:space="preserve">Incomplete databases and missing models cause most incorrect results. High-quality queries and models can be contributed upstream. Watch the changelog; new library support often lets you delete custom code.</w:t>
      </w:r>
    </w:p>
    <w:p>
      <w:pPr>
        <w:spacing w:after="140"/>
      </w:pPr>
      <w:r>
        <w:rPr>
          <w:sz w:val="22"/>
          <w:szCs w:val="22"/>
        </w:rPr>
        <w:t xml:space="preserve">In real projects the difference between a query that is ignored and a query that developers trust is usually precision and clear messaging. When you write checks for best practices, start with the broadest correct definition of sources and sinks, run the query, then iteratively tighten barriers and additional flow steps until the false-positive rate is acceptable.</w:t>
      </w:r>
    </w:p>
    <w:p>
      <w:pPr>
        <w:spacing w:after="140"/>
      </w:pPr>
      <w:r>
        <w:rPr>
          <w:sz w:val="22"/>
          <w:szCs w:val="22"/>
        </w:rPr>
        <w:t xml:space="preserve">Always keep a small set of positive and negative test cases. A positive case must be reported; a negative case must not. These tests become your safety net when you later upgrade the CodeQL libraries or refactor the query.</w:t>
      </w:r>
    </w:p>
    <w:p>
      <w:pPr>
        <w:spacing w:after="140"/>
      </w:pPr>
      <w:r>
        <w:rPr>
          <w:sz w:val="22"/>
          <w:szCs w:val="22"/>
        </w:rPr>
        <w:t xml:space="preserve">The companion repository includes starter files for this chapter. Modify them, re-run them against your database, and observe exactly how each predicate change affects the result set. That tight loop is the fastest way to build intuition.</w:t>
      </w:r>
    </w:p>
    <w:p>
      <w:pPr>
        <w:spacing w:after="140"/>
      </w:pPr>
      <w:r>
        <w:rPr>
          <w:sz w:val="22"/>
          <w:szCs w:val="22"/>
        </w:rPr>
        <w:t xml:space="preserve">You now possess the full set of skills required to write, package, test, and operationalize CodeQL analyses. The chapter-organized examples are ready for you to adapt to your own codebases.</w:t>
      </w:r>
    </w:p>
    <w:p>
      <w:pPr>
        <w:pStyle w:val="Heading1"/>
        <w:pageBreakBefore/>
      </w:pPr>
      <w:r>
        <w:t xml:space="preserve">Appendix A: Quick Reference</w:t>
      </w:r>
    </w:p>
    <w:p>
      <w:pPr>
        <w:spacing w:after="140"/>
      </w:pPr>
      <w:r>
        <w:rPr>
          <w:sz w:val="22"/>
          <w:szCs w:val="22"/>
        </w:rPr>
        <w:t xml:space="preserve">CLI command summary, canonical path-query template, metadata checklist, and complete file map of the companion repository.</w:t>
      </w:r>
    </w:p>
    <w:p>
      <w:pPr>
        <w:pStyle w:val="Heading1"/>
        <w:pageBreakBefore/>
      </w:pPr>
      <w:r>
        <w:t xml:space="preserve">Appendix B: Glossary</w:t>
      </w:r>
    </w:p>
    <w:p>
      <w:pPr>
        <w:spacing w:after="140"/>
      </w:pPr>
      <w:r>
        <w:rPr>
          <w:sz w:val="22"/>
          <w:szCs w:val="22"/>
        </w:rPr>
        <w:t xml:space="preserve">Database, extractor, schema, predicate, data flow, taint tracking, barrier, path query, model pack, query suite, SARIF.</w:t>
      </w:r>
    </w:p>
    <w:p>
      <w:pPr>
        <w:pStyle w:val="Heading1"/>
        <w:pageBreakBefore/>
      </w:pPr>
      <w:r>
        <w:t xml:space="preserve">Appendix C: Resources</w:t>
      </w:r>
    </w:p>
    <w:p>
      <w:pPr>
        <w:spacing w:after="140"/>
      </w:pPr>
      <w:r>
        <w:rPr>
          <w:sz w:val="22"/>
          <w:szCs w:val="22"/>
        </w:rPr>
        <w:t xml:space="preserve">https://codeql.github.com/docs/ — official documentation</w:t>
      </w:r>
    </w:p>
    <w:p>
      <w:pPr>
        <w:spacing w:after="140"/>
      </w:pPr>
      <w:r>
        <w:rPr>
          <w:sz w:val="22"/>
          <w:szCs w:val="22"/>
        </w:rPr>
        <w:t xml:space="preserve">https://github.com/rod-trent/MustLearnCodeQL — companion repository with all examples</w:t>
      </w:r>
    </w:p>
    <w:p>
      <w:pPr>
        <w:spacing w:before="500"/>
      </w:pPr>
      <w:r>
        <w:rPr>
          <w:i/>
          <w:iCs/>
          <w:sz w:val="24"/>
          <w:szCs w:val="24"/>
        </w:rPr>
        <w:t xml:space="preserve">End of Must Learn CodeQL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color w:val="666666"/>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40" w:before="300"/>
      <w:outlineLvl w:val="1"/>
    </w:pPr>
    <w:rPr>
      <w:rFonts w:ascii="Calibri" w:cs="Calibri" w:eastAsia="Calibri" w:hAnsi="Calibri"/>
      <w:b/>
      <w:bCs/>
      <w:color w:val="2E75B6"/>
      <w:sz w:val="28"/>
      <w:szCs w:val="28"/>
    </w:rPr>
  </w:style>
  <w:style w:type="paragraph" w:styleId="Title">
    <w:name w:val="Title"/>
    <w:basedOn w:val="Normal"/>
    <w:pPr>
      <w:spacing w:after="160" w:before="0"/>
      <w:jc w:val="center"/>
    </w:pPr>
    <w:rPr>
      <w:rFonts w:ascii="Calibri" w:cs="Calibri" w:eastAsia="Calibri" w:hAnsi="Calibri"/>
      <w:b/>
      <w:bCs/>
      <w:color w:val="1F4E79"/>
      <w:sz w:val="52"/>
      <w:szCs w:val="52"/>
    </w:rPr>
  </w:style>
  <w:style w:type="paragraph" w:styleId="Subtitle">
    <w:name w:val="Subtitle"/>
    <w:basedOn w:val="Normal"/>
    <w:pPr>
      <w:spacing w:after="300" w:before="0"/>
      <w:jc w:val="center"/>
    </w:pPr>
    <w:rPr>
      <w:rFonts w:ascii="Calibri" w:cs="Calibri" w:eastAsia="Calibri" w:hAnsi="Calibri"/>
      <w:i/>
      <w:iCs/>
      <w:color w:val="5B9BD5"/>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lf8yhi3ivnxag2h6pvoih"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2026-10-15T16:32:03.337Z</dcterms:created>
  <dcterms:modified xsi:type="dcterms:W3CDTF">2026-10-15T16:32:03.337Z</dcterms:modified>
</cp:coreProperties>
</file>

<file path=docProps/custom.xml><?xml version="1.0" encoding="utf-8"?>
<Properties xmlns="http://schemas.openxmlformats.org/officeDocument/2006/custom-properties" xmlns:vt="http://schemas.openxmlformats.org/officeDocument/2006/docPropsVTypes"/>
</file>