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40,000-Word Target Edition</w:t>
      </w:r>
    </w:p>
    <w:p>
      <w:pPr>
        <w:spacing w:before="40"/>
        <w:jc w:val="center"/>
      </w:pPr>
      <w:r>
        <w:t xml:space="preserve">Rod Trent • 2026</w:t>
      </w:r>
    </w:p>
    <w:p>
      <w:pPr>
        <w:jc w:val="center"/>
      </w:pPr>
      <w:hyperlink w:history="1" r:id="rId1sqfy5a_pdqyr0klxeerk">
        <w:r>
          <w:rPr>
            <w:rStyle w:val="Hyperlink"/>
          </w:rPr>
          <w:t xml:space="preserve">github.com/rod-trent/MustLearnCodeQL</w:t>
        </w:r>
      </w:hyperlink>
    </w:p>
    <w:p>
      <w:pPr>
        <w:pStyle w:val="Heading1"/>
        <w:pageBreakBefore/>
      </w:pPr>
      <w:r>
        <w:t xml:space="preserve">Chapter 1: Why CodeQL and How It Works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2: Tools and Setup</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3: Database Creation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4: QL Fundamentals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5: Custom Predicates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6: Writing Queries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7: Language Libraries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8: Data Flow Analysis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9: Taint Tracking and Path Queries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10: Library Extension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11: Packs and Production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12: CI Integration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13: Performance and Debugging</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14: Case Studies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Chapter 15: Best Practices</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spacing w:after="60"/>
      </w:pPr>
      <w:r>
        <w:rPr>
          <w:sz w:val="22"/>
          <w:szCs w:val="22"/>
        </w:rPr>
        <w:t xml:space="preserve">Additional depth on modeling, testing, and refinement continues to improve both precision and recall. Each new barrier or flow step should be validated against the positive and negative cases stored with the query. Partial-flow debugging remains the fastest way to locate the exact point where an expected path stops. The exercise starters in the repository let you practice these steps on a controlled database before applying them to larger codebases. Modify one predicate in the corresponding example, re-run, and record the change in results. That record becomes part of the query’s living documentation.</w:t>
      </w:r>
    </w:p>
    <w:p>
      <w:pPr>
        <w:pStyle w:val="Heading1"/>
        <w:pageBreakBefore/>
      </w:pPr>
      <w:r>
        <w:t xml:space="preserve">Appendix</w:t>
      </w:r>
    </w:p>
    <w:p>
      <w:pPr>
        <w:spacing w:after="60"/>
      </w:pPr>
      <w:r>
        <w:rPr>
          <w:sz w:val="22"/>
          <w:szCs w:val="22"/>
        </w:rPr>
        <w:t xml:space="preserve">Exercise files and prior content remain available in the companion repository.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50" w:before="160"/>
      <w:outlineLvl w:val="0"/>
    </w:pPr>
    <w:rPr>
      <w:rFonts w:ascii="Calibri" w:cs="Calibri" w:eastAsia="Calibri" w:hAnsi="Calibri"/>
      <w:b/>
      <w:bCs/>
      <w:color w:val="1F4E79"/>
      <w:sz w:val="32"/>
      <w:szCs w:val="32"/>
    </w:rPr>
  </w:style>
  <w:style w:type="paragraph" w:styleId="Title">
    <w:name w:val="Title"/>
    <w:basedOn w:val="Normal"/>
    <w:pPr>
      <w:spacing w:after="20" w:before="0"/>
      <w:jc w:val="center"/>
    </w:pPr>
    <w:rPr>
      <w:rFonts w:ascii="Calibri" w:cs="Calibri" w:eastAsia="Calibri" w:hAnsi="Calibri"/>
      <w:b/>
      <w:bCs/>
      <w:color w:val="1F4E79"/>
      <w:sz w:val="36"/>
      <w:szCs w:val="36"/>
    </w:rPr>
  </w:style>
  <w:style w:type="paragraph" w:styleId="Subtitle">
    <w:name w:val="Subtitle"/>
    <w:basedOn w:val="Normal"/>
    <w:pPr>
      <w:spacing w:after="60" w:before="0"/>
      <w:jc w:val="center"/>
    </w:pPr>
    <w:rPr>
      <w:rFonts w:ascii="Calibri" w:cs="Calibri" w:eastAsia="Calibri" w:hAnsi="Calibri"/>
      <w:i/>
      <w:iCs/>
      <w:color w:val="5B9BD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1sqfy5a_pdqyr0klxeerk"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2026-10-15T16:46:00.016Z</dcterms:created>
  <dcterms:modified xsi:type="dcterms:W3CDTF">2026-10-15T16:46:00.016Z</dcterms:modified>
</cp:coreProperties>
</file>

<file path=docProps/custom.xml><?xml version="1.0" encoding="utf-8"?>
<Properties xmlns="http://schemas.openxmlformats.org/officeDocument/2006/custom-properties" xmlns:vt="http://schemas.openxmlformats.org/officeDocument/2006/docPropsVTypes"/>
</file>