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1F4E79"/>
          <w:sz w:val="56"/>
          <w:szCs w:val="56"/>
        </w:rPr>
        <w:t xml:space="preserve">Must Learn CodeQL</w:t>
      </w:r>
    </w:p>
    <w:p>
      <w:pPr>
        <w:spacing w:after="300"/>
        <w:jc w:val="center"/>
      </w:pPr>
      <w:r>
        <w:rPr>
          <w:i/>
          <w:iCs/>
          <w:color w:val="5B9BD5"/>
          <w:sz w:val="28"/>
          <w:szCs w:val="28"/>
        </w:rPr>
        <w:t xml:space="preserve">A Practical Guide to Semantic Code Analysis</w:t>
      </w:r>
    </w:p>
    <w:p>
      <w:pPr>
        <w:spacing w:before="200"/>
        <w:jc w:val="center"/>
      </w:pPr>
      <w:r>
        <w:rPr>
          <w:b/>
          <w:bCs/>
          <w:sz w:val="26"/>
          <w:szCs w:val="26"/>
        </w:rPr>
        <w:t xml:space="preserve">Rod Trent</w:t>
      </w:r>
    </w:p>
    <w:p>
      <w:pPr>
        <w:spacing w:after="200"/>
        <w:jc w:val="center"/>
      </w:pPr>
      <w:r>
        <w:rPr>
          <w:i/>
          <w:iCs/>
          <w:color w:val="666666"/>
          <w:sz w:val="22"/>
          <w:szCs w:val="22"/>
        </w:rPr>
        <w:t xml:space="preserve">2026</w:t>
      </w:r>
    </w:p>
    <w:p>
      <w:pPr>
        <w:jc w:val="center"/>
      </w:pPr>
      <w:hyperlink w:history="1" r:id="rId-qlvdhjnofvvgnqnqztzo">
        <w:r>
          <w:rPr>
            <w:rStyle w:val="Hyperlink"/>
          </w:rPr>
          <w:t xml:space="preserve">github.com/rod-trent/MustLearnCodeQL</w:t>
        </w:r>
      </w:hyperlink>
    </w:p>
    <w:p>
      <w:pPr>
        <w:pStyle w:val="Heading1"/>
        <w:pageBreakBefore/>
      </w:pPr>
      <w:bookmarkStart w:name="_Toc1" w:id="1"/>
      <w:r>
        <w:t xml:space="preserve">Contents</w:t>
      </w:r>
      <w:bookmarkEnd w:id="1"/>
    </w:p>
    <w:sdt>
      <w:sdtPr>
        <w:alias w:val="Table of Contents"/>
      </w:sdtPr>
      <w:sdtContent>
        <w:p>
          <w:pPr>
            <w:pStyle w:val="TOC1"/>
            <w:tabs>
              <w:tab w:val="right" w:pos="964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Contents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2">
            <w:r>
              <w:t xml:space="preserve">How to Use This Book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3">
            <w:r>
              <w:t xml:space="preserve">Chapter 1: Why CodeQL and How It Works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4">
            <w:r>
              <w:t xml:space="preserve">The Limits of Pattern Matching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5">
            <w:r>
              <w:t xml:space="preserve">Code as Queryable Data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6">
            <w:r>
              <w:t xml:space="preserve">Variant Analysis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7">
            <w:r>
              <w:t xml:space="preserve">The Pipeline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8">
            <w:r>
              <w:t xml:space="preserve">Starting Query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9">
            <w:r>
              <w:t xml:space="preserve">Chapter 2: Tools, Setup, and Your First Database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10">
            <w:r>
              <w:t xml:space="preserve">Choosing an Environment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11">
            <w:r>
              <w:t xml:space="preserve">Installation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12">
            <w:r>
              <w:t xml:space="preserve">Creating a Database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13">
            <w:r>
              <w:t xml:space="preserve">Next Steps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14">
            <w:r>
              <w:t xml:space="preserve">Chapter 3: CodeQL Database Creation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15">
            <w:r>
              <w:t xml:space="preserve">Inside a Database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16">
            <w:r>
              <w:t xml:space="preserve">Extraction Differences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17">
            <w:r>
              <w:t xml:space="preserve">Example Commands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18">
            <w:r>
              <w:t xml:space="preserve">Inspection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19">
            <w:r>
              <w:t xml:space="preserve">Chapter 4: QL Language Fundamentals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20">
            <w:r>
              <w:t xml:space="preserve">Declarative Style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21">
            <w:r>
              <w:t xml:space="preserve">Building Blocks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22">
            <w:r>
              <w:t xml:space="preserve">Example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23">
            <w:r>
              <w:t xml:space="preserve">Chapter 5: Writing Custom Predicates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24">
            <w:r>
              <w:t xml:space="preserve">Predicates as the Unit of Reuse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25">
            <w:r>
              <w:t xml:space="preserve">Examples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26">
            <w:r>
              <w:t xml:space="preserve">Organization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27">
            <w:r>
              <w:t xml:space="preserve">Chapter 6: Writing Your First Queries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28">
            <w:r>
              <w:t xml:space="preserve">Metadata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29">
            <w:r>
              <w:t xml:space="preserve">Alert Query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30">
            <w:r>
              <w:t xml:space="preserve">Path Queries Preview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31">
            <w:r>
              <w:t xml:space="preserve">Chapter 7: Exploring Code with Language Libraries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32">
            <w:r>
              <w:t xml:space="preserve">Standard Libraries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33">
            <w:r>
              <w:t xml:space="preserve">Pattern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34">
            <w:r>
              <w:t xml:space="preserve">Refinement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35">
            <w:r>
              <w:t xml:space="preserve">Chapter 8: Data Flow Analysis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36">
            <w:r>
              <w:t xml:space="preserve">Local versus Global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37">
            <w:r>
              <w:t xml:space="preserve">Configuration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38">
            <w:r>
              <w:t xml:space="preserve">Steps and Barriers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39">
            <w:r>
              <w:t xml:space="preserve">Exercises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40">
            <w:r>
              <w:t xml:space="preserve">Chapter 9: Taint Tracking and Path Queries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41">
            <w:r>
              <w:t xml:space="preserve">Why Taint Tracking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42">
            <w:r>
              <w:t xml:space="preserve">Complete Example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43">
            <w:r>
              <w:t xml:space="preserve">Exercises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44">
            <w:r>
              <w:t xml:space="preserve">Chapter 10: CodeQL Library Extension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45">
            <w:r>
              <w:t xml:space="preserve">Custom Sources and Sinks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46">
            <w:r>
              <w:t xml:space="preserve">Example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47">
            <w:r>
              <w:t xml:space="preserve">Exercises and Testing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48">
            <w:r>
              <w:t xml:space="preserve">Chapter 11: Packs, Suites, Metadata, and Production Use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49">
            <w:r>
              <w:t xml:space="preserve">Packs and Suites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50">
            <w:r>
              <w:t xml:space="preserve">Location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51">
            <w:r>
              <w:t xml:space="preserve">Chapter 12: Integrating CodeQL into Workflows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52">
            <w:r>
              <w:t xml:space="preserve">GitHub Actions and Beyond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53">
            <w:r>
              <w:t xml:space="preserve">Chapter 13: Advanced Techniques and Performance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54">
            <w:r>
              <w:t xml:space="preserve">Efficiency and Debugging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55">
            <w:r>
              <w:t xml:space="preserve">Chapter 14: Real-World Case Studies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56">
            <w:r>
              <w:t xml:space="preserve">Patterns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57">
            <w:r>
              <w:t xml:space="preserve">Chapter 15: Best Practices and Next Steps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58">
            <w:r>
              <w:t xml:space="preserve">Habits That Scale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48" w:leader="dot"/>
            </w:tabs>
          </w:pPr>
          <w:hyperlink w:history="1" w:anchor="_Toc59">
            <w:r>
              <w:t xml:space="preserve">Appendix: Resources and Exercise Index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60">
            <w:r>
              <w:t xml:space="preserve">Exercises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48" w:leader="dot"/>
            </w:tabs>
            <w:ind w:left="220"/>
          </w:pPr>
          <w:hyperlink w:history="1" w:anchor="_Toc61">
            <w:r>
              <w:t xml:space="preserve">Links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2" w:id="2"/>
      <w:r>
        <w:t xml:space="preserve">How to Use This Book</w:t>
      </w:r>
      <w:bookmarkEnd w:id="2"/>
    </w:p>
    <w:p>
      <w:pPr>
        <w:spacing w:after="140" w:line="276"/>
      </w:pPr>
      <w:r>
        <w:rPr>
          <w:sz w:val="22"/>
          <w:szCs w:val="22"/>
        </w:rPr>
        <w:t xml:space="preserve">This is a complete hands-on guide. Every chapter contains explanations, working code, and exercises. All files are in the companion repository under examples/chapterNN/. Create a database once, then open and run the referenced queries as you read.</w:t>
      </w:r>
    </w:p>
    <w:p>
      <w:pPr>
        <w:spacing w:after="140" w:line="276"/>
      </w:pPr>
      <w:r>
        <w:rPr>
          <w:sz w:val="22"/>
          <w:szCs w:val="22"/>
        </w:rPr>
        <w:t xml:space="preserve">JavaScript is used for most examples because it is compact. The same configuration style, path-query form, and extension patterns apply directly to Python, Java, C/C++, Go, and the other supported languages.</w:t>
      </w:r>
    </w:p>
    <w:p>
      <w:pPr>
        <w:pStyle w:val="Heading1"/>
        <w:pageBreakBefore/>
      </w:pPr>
      <w:bookmarkStart w:name="_Toc3" w:id="3"/>
      <w:r>
        <w:t xml:space="preserve">Chapter 1: Why CodeQL and How It Works</w:t>
      </w:r>
      <w:bookmarkEnd w:id="3"/>
    </w:p>
    <w:p>
      <w:pPr>
        <w:pStyle w:val="Heading2"/>
      </w:pPr>
      <w:bookmarkStart w:name="_Toc4" w:id="4"/>
      <w:r>
        <w:t xml:space="preserve">The Limits of Pattern Matching</w:t>
      </w:r>
      <w:bookmarkEnd w:id="4"/>
    </w:p>
    <w:p>
      <w:pPr>
        <w:spacing w:after="140" w:line="276"/>
      </w:pPr>
      <w:r>
        <w:rPr>
          <w:sz w:val="22"/>
          <w:szCs w:val="22"/>
        </w:rPr>
        <w:t xml:space="preserve">Traditional static analysis tools look for textual or simple syntactic patterns. They can spot an obvious call to eval or a concatenated SQL string, but they lose the trail as soon as data is assigned to a variable, passed into a helper, stored on an object, or returned from a function.</w:t>
      </w:r>
    </w:p>
    <w:p>
      <w:pPr>
        <w:spacing w:after="140" w:line="276"/>
      </w:pPr>
      <w:r>
        <w:rPr>
          <w:sz w:val="22"/>
          <w:szCs w:val="22"/>
        </w:rPr>
        <w:t xml:space="preserve">The practical result is either missed vulnerabilities or an unusable flood of false positives. Security bugs are especially painful because attacker-controlled data routinely crosses multiple layers before it reaches a sink.</w:t>
      </w:r>
    </w:p>
    <w:p>
      <w:pPr>
        <w:pStyle w:val="Heading2"/>
      </w:pPr>
      <w:bookmarkStart w:name="_Toc5" w:id="5"/>
      <w:r>
        <w:t xml:space="preserve">Code as Queryable Data</w:t>
      </w:r>
      <w:bookmarkEnd w:id="5"/>
    </w:p>
    <w:p>
      <w:pPr>
        <w:spacing w:after="140" w:line="276"/>
      </w:pPr>
      <w:r>
        <w:rPr>
          <w:sz w:val="22"/>
          <w:szCs w:val="22"/>
        </w:rPr>
        <w:t xml:space="preserve">CodeQL extracts a full relational model: abstract syntax tree, name binding, types, control-flow graph, and the foundations of the data-flow graph. You write declarative queries against that model.</w:t>
      </w:r>
    </w:p>
    <w:p>
      <w:pPr>
        <w:spacing w:after="140" w:line="276"/>
      </w:pPr>
      <w:r>
        <w:rPr>
          <w:sz w:val="22"/>
          <w:szCs w:val="22"/>
        </w:rPr>
        <w:t xml:space="preserve">Because the model already understands how values move, one query can find every instance of a pattern even when the flow spans many functions and files. The same query can be re-run on every pull request.</w:t>
      </w:r>
    </w:p>
    <w:p>
      <w:pPr>
        <w:pStyle w:val="Heading2"/>
      </w:pPr>
      <w:bookmarkStart w:name="_Toc6" w:id="6"/>
      <w:r>
        <w:t xml:space="preserve">Variant Analysis</w:t>
      </w:r>
      <w:bookmarkEnd w:id="6"/>
    </w:p>
    <w:p>
      <w:pPr>
        <w:spacing w:after="140" w:line="276"/>
      </w:pPr>
      <w:r>
        <w:rPr>
          <w:sz w:val="22"/>
          <w:szCs w:val="22"/>
        </w:rPr>
        <w:t xml:space="preserve">Variant analysis takes one known vulnerability (the seed) and searches for all similar bugs. CodeQL turns this from a manual research technique into a repeatable engineering practice. Encode the conditions once, refine precision, then run at whatever scale you need.</w:t>
      </w:r>
    </w:p>
    <w:p>
      <w:pPr>
        <w:pStyle w:val="Heading2"/>
      </w:pPr>
      <w:bookmarkStart w:name="_Toc7" w:id="7"/>
      <w:r>
        <w:t xml:space="preserve">The Pipeline</w:t>
      </w:r>
      <w:bookmarkEnd w:id="7"/>
    </w:p>
    <w:p>
      <w:pPr>
        <w:spacing w:after="140" w:line="276"/>
      </w:pPr>
      <w:r>
        <w:rPr>
          <w:sz w:val="22"/>
          <w:szCs w:val="22"/>
        </w:rPr>
        <w:t xml:space="preserve">Three stages: an extractor builds a database, queries execute against it, and results are mapped back to source locations (normally SARIF). Supported languages include C/C++, C#, Go, Java/Kotlin, JavaScript/TypeScript, Python, Ruby, Rust, Swift, and GitHub Actions.</w:t>
      </w:r>
    </w:p>
    <w:p>
      <w:pPr>
        <w:pStyle w:val="Heading2"/>
      </w:pPr>
      <w:bookmarkStart w:name="_Toc8" w:id="8"/>
      <w:r>
        <w:t xml:space="preserve">Starting Query</w:t>
      </w:r>
      <w:bookmarkEnd w:id="8"/>
    </w:p>
    <w:p>
      <w:pPr>
        <w:spacing w:after="140" w:line="276"/>
      </w:pPr>
      <w:r>
        <w:rPr>
          <w:sz w:val="22"/>
          <w:szCs w:val="22"/>
        </w:rPr>
        <w:t xml:space="preserve">The smallest query that still exercises the system:</w:t>
      </w:r>
    </w:p>
    <w:p>
      <w:pPr>
        <w:spacing w:after="40" w:before="140"/>
      </w:pP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select "hello world"</w:t>
      </w:r>
    </w:p>
    <w:p>
      <w:pPr>
        <w:spacing w:after="160" w:before="40"/>
      </w:pPr>
    </w:p>
    <w:p>
      <w:pPr>
        <w:pStyle w:val="Heading1"/>
        <w:pageBreakBefore/>
      </w:pPr>
      <w:bookmarkStart w:name="_Toc9" w:id="9"/>
      <w:r>
        <w:t xml:space="preserve">Chapter 2: Tools, Setup, and Your First Database</w:t>
      </w:r>
      <w:bookmarkEnd w:id="9"/>
    </w:p>
    <w:p>
      <w:pPr>
        <w:pStyle w:val="Heading2"/>
      </w:pPr>
      <w:bookmarkStart w:name="_Toc10" w:id="10"/>
      <w:r>
        <w:t xml:space="preserve">Choosing an Environment</w:t>
      </w:r>
      <w:bookmarkEnd w:id="10"/>
    </w:p>
    <w:p>
      <w:pPr>
        <w:spacing w:after="140" w:line="276"/>
      </w:pPr>
      <w:r>
        <w:rPr>
          <w:sz w:val="22"/>
          <w:szCs w:val="22"/>
        </w:rPr>
        <w:t xml:space="preserve">The CLI is ideal for scripts and CI. The VS Code extension is best while learning because results are highlighted and paths are clickable. Codespaces gives a pre-configured machine with nothing to install locally.</w:t>
      </w:r>
    </w:p>
    <w:p>
      <w:pPr>
        <w:pStyle w:val="Heading2"/>
      </w:pPr>
      <w:bookmarkStart w:name="_Toc11" w:id="11"/>
      <w:r>
        <w:t xml:space="preserve">Installation</w:t>
      </w:r>
      <w:bookmarkEnd w:id="11"/>
    </w:p>
    <w:p>
      <w:pPr>
        <w:spacing w:after="140" w:line="276"/>
      </w:pPr>
      <w:r>
        <w:rPr>
          <w:sz w:val="22"/>
          <w:szCs w:val="22"/>
        </w:rPr>
        <w:t xml:space="preserve">Download the official CLI bundle, add it to PATH, and confirm:</w:t>
      </w:r>
    </w:p>
    <w:p>
      <w:pPr>
        <w:spacing w:after="40" w:before="140"/>
      </w:pP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codeql version</w:t>
      </w:r>
    </w:p>
    <w:p>
      <w:pPr>
        <w:spacing w:after="160" w:before="40"/>
      </w:pPr>
    </w:p>
    <w:p>
      <w:pPr>
        <w:pStyle w:val="Heading2"/>
      </w:pPr>
      <w:bookmarkStart w:name="_Toc12" w:id="12"/>
      <w:r>
        <w:t xml:space="preserve">Creating a Database</w:t>
      </w:r>
      <w:bookmarkEnd w:id="12"/>
    </w:p>
    <w:p>
      <w:pPr>
        <w:spacing w:after="140" w:line="276"/>
      </w:pPr>
      <w:r>
        <w:rPr>
          <w:sz w:val="22"/>
          <w:szCs w:val="22"/>
        </w:rPr>
        <w:t xml:space="preserve">Basic command:</w:t>
      </w:r>
    </w:p>
    <w:p>
      <w:pPr>
        <w:spacing w:after="40" w:before="140"/>
      </w:pP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codeql database create my-db --language=javascript --source-root=./my-project</w:t>
      </w:r>
    </w:p>
    <w:p>
      <w:pPr>
        <w:spacing w:after="160" w:before="40"/>
      </w:pPr>
    </w:p>
    <w:p>
      <w:pPr>
        <w:pStyle w:val="Heading2"/>
      </w:pPr>
      <w:bookmarkStart w:name="_Toc13" w:id="13"/>
      <w:r>
        <w:t xml:space="preserve">Next Steps</w:t>
      </w:r>
      <w:bookmarkEnd w:id="13"/>
    </w:p>
    <w:p>
      <w:pPr>
        <w:spacing w:after="140" w:line="276"/>
      </w:pPr>
      <w:r>
        <w:rPr>
          <w:sz w:val="22"/>
          <w:szCs w:val="22"/>
        </w:rPr>
        <w:t xml:space="preserve">For compiled languages supply a --command that builds the project. Many open-source repositories also offer downloadable pre-built databases so you can start querying immediately.</w:t>
      </w:r>
    </w:p>
    <w:p>
      <w:pPr>
        <w:pStyle w:val="Heading1"/>
        <w:pageBreakBefore/>
      </w:pPr>
      <w:bookmarkStart w:name="_Toc14" w:id="14"/>
      <w:r>
        <w:t xml:space="preserve">Chapter 3: CodeQL Database Creation</w:t>
      </w:r>
      <w:bookmarkEnd w:id="14"/>
    </w:p>
    <w:p>
      <w:pPr>
        <w:pStyle w:val="Heading2"/>
      </w:pPr>
      <w:bookmarkStart w:name="_Toc15" w:id="15"/>
      <w:r>
        <w:t xml:space="preserve">Inside a Database</w:t>
      </w:r>
      <w:bookmarkEnd w:id="15"/>
    </w:p>
    <w:p>
      <w:pPr>
        <w:spacing w:after="140" w:line="276"/>
      </w:pPr>
      <w:r>
        <w:rPr>
          <w:sz w:val="22"/>
          <w:szCs w:val="22"/>
        </w:rPr>
        <w:t xml:space="preserve">A database directory holds the extracted relations, source references for precise locations, the language schema, and logs. It is an immutable snapshot of one language at one moment.</w:t>
      </w:r>
    </w:p>
    <w:p>
      <w:pPr>
        <w:pStyle w:val="Heading2"/>
      </w:pPr>
      <w:bookmarkStart w:name="_Toc16" w:id="16"/>
      <w:r>
        <w:t xml:space="preserve">Extraction Differences</w:t>
      </w:r>
      <w:bookmarkEnd w:id="16"/>
    </w:p>
    <w:p>
      <w:pPr>
        <w:spacing w:after="140" w:line="276"/>
      </w:pPr>
      <w:r>
        <w:rPr>
          <w:sz w:val="22"/>
          <w:szCs w:val="22"/>
        </w:rPr>
        <w:t xml:space="preserve">Interpreted languages are processed by walking source. Compiled languages require the extractor to watch the build so it can capture compiler-generated semantic information. An incomplete build yields an incomplete database.</w:t>
      </w:r>
    </w:p>
    <w:p>
      <w:pPr>
        <w:pStyle w:val="Heading2"/>
      </w:pPr>
      <w:bookmarkStart w:name="_Toc17" w:id="17"/>
      <w:r>
        <w:t xml:space="preserve">Example Commands</w:t>
      </w:r>
      <w:bookmarkEnd w:id="17"/>
    </w:p>
    <w:p>
      <w:pPr>
        <w:spacing w:after="140" w:line="276"/>
      </w:pPr>
      <w:r>
        <w:rPr>
          <w:sz w:val="22"/>
          <w:szCs w:val="22"/>
        </w:rPr>
        <w:t xml:space="preserve">JavaScript, Python, and a Maven Java project:</w:t>
      </w:r>
    </w:p>
    <w:p>
      <w:pPr>
        <w:spacing w:after="40" w:before="140"/>
      </w:pP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codeql database create js-db --language=javascript --source-root=.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codeql database create py-db --language=python --source-root=.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codeql database create java-db --language=java --source-root=. --command="mvn clean compile -DskipTests"</w:t>
      </w:r>
    </w:p>
    <w:p>
      <w:pPr>
        <w:spacing w:after="160" w:before="40"/>
      </w:pPr>
    </w:p>
    <w:p>
      <w:pPr>
        <w:pStyle w:val="Heading2"/>
      </w:pPr>
      <w:bookmarkStart w:name="_Toc18" w:id="18"/>
      <w:r>
        <w:t xml:space="preserve">Inspection</w:t>
      </w:r>
      <w:bookmarkEnd w:id="18"/>
    </w:p>
    <w:p>
      <w:pPr>
        <w:spacing w:after="140" w:line="276"/>
      </w:pPr>
      <w:r>
        <w:rPr>
          <w:sz w:val="22"/>
          <w:szCs w:val="22"/>
        </w:rPr>
        <w:t xml:space="preserve">Use codeql database info. Multi-language repositories produce one database per language. Always run a trivial query after creation to confirm the database is usable. Additional notes are in examples/chapter03/.</w:t>
      </w:r>
    </w:p>
    <w:p>
      <w:pPr>
        <w:pStyle w:val="Heading1"/>
        <w:pageBreakBefore/>
      </w:pPr>
      <w:bookmarkStart w:name="_Toc19" w:id="19"/>
      <w:r>
        <w:t xml:space="preserve">Chapter 4: QL Language Fundamentals</w:t>
      </w:r>
      <w:bookmarkEnd w:id="19"/>
    </w:p>
    <w:p>
      <w:pPr>
        <w:pStyle w:val="Heading2"/>
      </w:pPr>
      <w:bookmarkStart w:name="_Toc20" w:id="20"/>
      <w:r>
        <w:t xml:space="preserve">Declarative Style</w:t>
      </w:r>
      <w:bookmarkEnd w:id="20"/>
    </w:p>
    <w:p>
      <w:pPr>
        <w:spacing w:after="140" w:line="276"/>
      </w:pPr>
      <w:r>
        <w:rPr>
          <w:sz w:val="22"/>
          <w:szCs w:val="22"/>
        </w:rPr>
        <w:t xml:space="preserve">QL is based on Datalog. You state the logical conditions that define the result set; the engine finds an efficient evaluation. The familiar select-from-where shape hides a pure logic model.</w:t>
      </w:r>
    </w:p>
    <w:p>
      <w:pPr>
        <w:pStyle w:val="Heading2"/>
      </w:pPr>
      <w:bookmarkStart w:name="_Toc21" w:id="21"/>
      <w:r>
        <w:t xml:space="preserve">Building Blocks</w:t>
      </w:r>
      <w:bookmarkEnd w:id="21"/>
    </w:p>
    <w:p>
      <w:pPr>
        <w:spacing w:after="140" w:line="276"/>
      </w:pPr>
      <w:r>
        <w:rPr>
          <w:sz w:val="22"/>
          <w:szCs w:val="22"/>
        </w:rPr>
        <w:t xml:space="preserve">Formulas use and, or, not, exists, and forall. Predicates name reusable formulas. Classes give an object-oriented view of the tables. Modules organize imports. Recursion handles transitive relations; aggregates compute summaries.</w:t>
      </w:r>
    </w:p>
    <w:p>
      <w:pPr>
        <w:pStyle w:val="Heading2"/>
      </w:pPr>
      <w:bookmarkStart w:name="_Toc22" w:id="22"/>
      <w:r>
        <w:t xml:space="preserve">Example</w:t>
      </w:r>
      <w:bookmarkEnd w:id="22"/>
    </w:p>
    <w:p>
      <w:pPr>
        <w:spacing w:after="40" w:before="140"/>
      </w:pP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import javascript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from Function f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where f.getName() = "main"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select f, "Entry point"</w:t>
      </w:r>
    </w:p>
    <w:p>
      <w:pPr>
        <w:spacing w:after="160" w:before="40"/>
      </w:pPr>
    </w:p>
    <w:p>
      <w:pPr>
        <w:pStyle w:val="Heading1"/>
        <w:pageBreakBefore/>
      </w:pPr>
      <w:bookmarkStart w:name="_Toc23" w:id="23"/>
      <w:r>
        <w:t xml:space="preserve">Chapter 5: Writing Custom Predicates</w:t>
      </w:r>
      <w:bookmarkEnd w:id="23"/>
    </w:p>
    <w:p>
      <w:pPr>
        <w:pStyle w:val="Heading2"/>
      </w:pPr>
      <w:bookmarkStart w:name="_Toc24" w:id="24"/>
      <w:r>
        <w:t xml:space="preserve">Predicates as the Unit of Reuse</w:t>
      </w:r>
      <w:bookmarkEnd w:id="24"/>
    </w:p>
    <w:p>
      <w:pPr>
        <w:spacing w:after="140" w:line="276"/>
      </w:pPr>
      <w:r>
        <w:rPr>
          <w:sz w:val="22"/>
          <w:szCs w:val="22"/>
        </w:rPr>
        <w:t xml:space="preserve">A good predicate encapsulates one idea so it can be called from many places, tested in isolation, and optimized by the engine. Predicates may take parameters, return values, and be recursive.</w:t>
      </w:r>
    </w:p>
    <w:p>
      <w:pPr>
        <w:pStyle w:val="Heading2"/>
      </w:pPr>
      <w:bookmarkStart w:name="_Toc25" w:id="25"/>
      <w:r>
        <w:t xml:space="preserve">Examples</w:t>
      </w:r>
      <w:bookmarkEnd w:id="25"/>
    </w:p>
    <w:p>
      <w:pPr>
        <w:spacing w:after="40" w:before="140"/>
      </w:pP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predicate isEvalCall(CallExpr call) {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call.getCalleeName() = "eval"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predicate callsTransitively(Function a, Function b) {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a.calls(b) or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exists(Function m | callsTransitively(a, m) and m.calls(b))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60" w:before="40"/>
      </w:pPr>
    </w:p>
    <w:p>
      <w:pPr>
        <w:pStyle w:val="Heading2"/>
      </w:pPr>
      <w:bookmarkStart w:name="_Toc26" w:id="26"/>
      <w:r>
        <w:t xml:space="preserve">Organization</w:t>
      </w:r>
      <w:bookmarkEnd w:id="26"/>
    </w:p>
    <w:p>
      <w:pPr>
        <w:spacing w:after="140" w:line="276"/>
      </w:pPr>
      <w:r>
        <w:rPr>
          <w:sz w:val="22"/>
          <w:szCs w:val="22"/>
        </w:rPr>
        <w:t xml:space="preserve">Place shared predicates in modules. The complete eval example is in examples/chapter05/eval-call.ql. Test every new predicate with a tiny query before composing it into a larger analysis.</w:t>
      </w:r>
    </w:p>
    <w:p>
      <w:pPr>
        <w:pStyle w:val="Heading1"/>
        <w:pageBreakBefore/>
      </w:pPr>
      <w:bookmarkStart w:name="_Toc27" w:id="27"/>
      <w:r>
        <w:t xml:space="preserve">Chapter 6: Writing Your First Queries</w:t>
      </w:r>
      <w:bookmarkEnd w:id="27"/>
    </w:p>
    <w:p>
      <w:pPr>
        <w:pStyle w:val="Heading2"/>
      </w:pPr>
      <w:bookmarkStart w:name="_Toc28" w:id="28"/>
      <w:r>
        <w:t xml:space="preserve">Metadata</w:t>
      </w:r>
      <w:bookmarkEnd w:id="28"/>
    </w:p>
    <w:p>
      <w:pPr>
        <w:spacing w:after="140" w:line="276"/>
      </w:pPr>
      <w:r>
        <w:rPr>
          <w:sz w:val="22"/>
          <w:szCs w:val="22"/>
        </w:rPr>
        <w:t xml:space="preserve">Every production query opens with a metadata block containing at least @kind, @id, @name, @description, and severity. These fields drive GitHub code scanning and editor help.</w:t>
      </w:r>
    </w:p>
    <w:p>
      <w:pPr>
        <w:pStyle w:val="Heading2"/>
      </w:pPr>
      <w:bookmarkStart w:name="_Toc29" w:id="29"/>
      <w:r>
        <w:t xml:space="preserve">Alert Query</w:t>
      </w:r>
      <w:bookmarkEnd w:id="29"/>
    </w:p>
    <w:p>
      <w:pPr>
        <w:spacing w:after="40" w:before="140"/>
      </w:pP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/**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* @kind problem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* @id mustlearn/interesting-calls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* @name Interesting calls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*/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import javascript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from CallExpr c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where c.getCalleeName() = "eval" or c.getCalleeName() = "Function"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select c, "Interesting call found."</w:t>
      </w:r>
    </w:p>
    <w:p>
      <w:pPr>
        <w:spacing w:after="160" w:before="40"/>
      </w:pPr>
    </w:p>
    <w:p>
      <w:pPr>
        <w:pStyle w:val="Heading2"/>
      </w:pPr>
      <w:bookmarkStart w:name="_Toc30" w:id="30"/>
      <w:r>
        <w:t xml:space="preserve">Path Queries Preview</w:t>
      </w:r>
      <w:bookmarkEnd w:id="30"/>
    </w:p>
    <w:p>
      <w:pPr>
        <w:spacing w:after="140" w:line="276"/>
      </w:pPr>
      <w:r>
        <w:rPr>
          <w:sz w:val="22"/>
          <w:szCs w:val="22"/>
        </w:rPr>
        <w:t xml:space="preserve">When you need to show flow, mark the query @kind path-problem and use the special select form covered in the data-flow chapters. The interesting-calls query is saved at examples/chapter06/interesting-calls.ql.</w:t>
      </w:r>
    </w:p>
    <w:p>
      <w:pPr>
        <w:pStyle w:val="Heading1"/>
        <w:pageBreakBefore/>
      </w:pPr>
      <w:bookmarkStart w:name="_Toc31" w:id="31"/>
      <w:r>
        <w:t xml:space="preserve">Chapter 7: Exploring Code with Language Libraries</w:t>
      </w:r>
      <w:bookmarkEnd w:id="31"/>
    </w:p>
    <w:p>
      <w:pPr>
        <w:pStyle w:val="Heading2"/>
      </w:pPr>
      <w:bookmarkStart w:name="_Toc32" w:id="32"/>
      <w:r>
        <w:t xml:space="preserve">Standard Libraries</w:t>
      </w:r>
      <w:bookmarkEnd w:id="32"/>
    </w:p>
    <w:p>
      <w:pPr>
        <w:spacing w:after="140" w:line="276"/>
      </w:pPr>
      <w:r>
        <w:rPr>
          <w:sz w:val="22"/>
          <w:szCs w:val="22"/>
        </w:rPr>
        <w:t xml:space="preserve">Each language library turns raw tables into classes such as Function, CallExpr, and RemoteFlowSource. You navigate with predicates the libraries already provide.</w:t>
      </w:r>
    </w:p>
    <w:p>
      <w:pPr>
        <w:pStyle w:val="Heading2"/>
      </w:pPr>
      <w:bookmarkStart w:name="_Toc33" w:id="33"/>
      <w:r>
        <w:t xml:space="preserve">Pattern</w:t>
      </w:r>
      <w:bookmarkEnd w:id="33"/>
    </w:p>
    <w:p>
      <w:pPr>
        <w:spacing w:after="40" w:before="140"/>
      </w:pP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import javascript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from CallExpr c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where c.getCalleeName() = "console.log"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select c, "Logging statement"</w:t>
      </w:r>
    </w:p>
    <w:p>
      <w:pPr>
        <w:spacing w:after="160" w:before="40"/>
      </w:pPr>
    </w:p>
    <w:p>
      <w:pPr>
        <w:pStyle w:val="Heading2"/>
      </w:pPr>
      <w:bookmarkStart w:name="_Toc34" w:id="34"/>
      <w:r>
        <w:t xml:space="preserve">Refinement</w:t>
      </w:r>
      <w:bookmarkEnd w:id="34"/>
    </w:p>
    <w:p>
      <w:pPr>
        <w:spacing w:after="140" w:line="276"/>
      </w:pPr>
      <w:r>
        <w:rPr>
          <w:sz w:val="22"/>
          <w:szCs w:val="22"/>
        </w:rPr>
        <w:t xml:space="preserve">Start broad, inspect a sample of results, then add predicates to exclude uninteresting cases. Once the style of one language is familiar, moving to another is mostly a matter of learning the corresponding class names.</w:t>
      </w:r>
    </w:p>
    <w:p>
      <w:pPr>
        <w:pStyle w:val="Heading1"/>
        <w:pageBreakBefore/>
      </w:pPr>
      <w:bookmarkStart w:name="_Toc35" w:id="35"/>
      <w:r>
        <w:t xml:space="preserve">Chapter 8: Data Flow Analysis</w:t>
      </w:r>
      <w:bookmarkEnd w:id="35"/>
    </w:p>
    <w:p>
      <w:pPr>
        <w:pStyle w:val="Heading2"/>
      </w:pPr>
      <w:bookmarkStart w:name="_Toc36" w:id="36"/>
      <w:r>
        <w:t xml:space="preserve">Local versus Global</w:t>
      </w:r>
      <w:bookmarkEnd w:id="36"/>
    </w:p>
    <w:p>
      <w:pPr>
        <w:spacing w:after="140" w:line="276"/>
      </w:pPr>
      <w:r>
        <w:rPr>
          <w:sz w:val="22"/>
          <w:szCs w:val="22"/>
        </w:rPr>
        <w:t xml:space="preserve">Local data flow stays inside a single function and is fast. Global data flow follows values across calls and is required for almost all security queries. Both operate on DataFlow nodes that abstract over syntax.</w:t>
      </w:r>
    </w:p>
    <w:p>
      <w:pPr>
        <w:pStyle w:val="Heading2"/>
      </w:pPr>
      <w:bookmarkStart w:name="_Toc37" w:id="37"/>
      <w:r>
        <w:t xml:space="preserve">Configuration</w:t>
      </w:r>
      <w:bookmarkEnd w:id="37"/>
    </w:p>
    <w:p>
      <w:pPr>
        <w:spacing w:after="40" w:before="140"/>
      </w:pP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module MyConfig implements DataFlow::ConfigSig {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predicate isSource(DataFlow::Node n) { n instanceof RemoteFlowSource }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predicate isSink(DataFlow::Node n) { n instanceof DomBasedXssSink }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module MyFlow = DataFlow::Global&lt;MyConfig&gt;;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from MyFlow::PathNode source, MyFlow::PathNode sink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where MyFlow::flowPath(source, sink)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select sink.getNode(), source, sink, "Flow detected."</w:t>
      </w:r>
    </w:p>
    <w:p>
      <w:pPr>
        <w:spacing w:after="160" w:before="40"/>
      </w:pPr>
    </w:p>
    <w:p>
      <w:pPr>
        <w:pStyle w:val="Heading2"/>
      </w:pPr>
      <w:bookmarkStart w:name="_Toc38" w:id="38"/>
      <w:r>
        <w:t xml:space="preserve">Steps and Barriers</w:t>
      </w:r>
      <w:bookmarkEnd w:id="38"/>
    </w:p>
    <w:p>
      <w:pPr>
        <w:spacing w:after="140" w:line="276"/>
      </w:pPr>
      <w:r>
        <w:rPr>
          <w:sz w:val="22"/>
          <w:szCs w:val="22"/>
        </w:rPr>
        <w:t xml:space="preserve">Implement isAdditionalFlowStep to teach the analysis about library functions it does not yet model. Implement isBarrier to stop flow at sanitizers. The skeleton lives at examples/chapter08/global-flow-skeleton.ql. Prefer TaintTracking::Global for security work.</w:t>
      </w:r>
    </w:p>
    <w:p>
      <w:pPr>
        <w:pStyle w:val="Heading2"/>
      </w:pPr>
      <w:bookmarkStart w:name="_Toc39" w:id="39"/>
      <w:r>
        <w:t xml:space="preserve">Exercises</w:t>
      </w:r>
      <w:bookmarkEnd w:id="39"/>
    </w:p>
    <w:p>
      <w:pPr>
        <w:spacing w:after="140" w:line="276"/>
      </w:pPr>
      <w:r>
        <w:rPr>
          <w:sz w:val="22"/>
          <w:szCs w:val="22"/>
        </w:rPr>
        <w:t xml:space="preserve">Exercise 8.1: Confirm both local and global flow report a same-function source-to-sink path, then move the sink into a helper and observe that only global still reports it.</w:t>
      </w:r>
    </w:p>
    <w:p>
      <w:pPr>
        <w:spacing w:after="140" w:line="276"/>
      </w:pPr>
      <w:r>
        <w:rPr>
          <w:sz w:val="22"/>
          <w:szCs w:val="22"/>
        </w:rPr>
        <w:t xml:space="preserve">Exercise 8.2: Add an additional flow step for a pass-through transform function and verify new paths appear.</w:t>
      </w:r>
    </w:p>
    <w:p>
      <w:pPr>
        <w:pStyle w:val="Heading1"/>
        <w:pageBreakBefore/>
      </w:pPr>
      <w:bookmarkStart w:name="_Toc40" w:id="40"/>
      <w:r>
        <w:t xml:space="preserve">Chapter 9: Taint Tracking and Path Queries</w:t>
      </w:r>
      <w:bookmarkEnd w:id="40"/>
    </w:p>
    <w:p>
      <w:pPr>
        <w:pStyle w:val="Heading2"/>
      </w:pPr>
      <w:bookmarkStart w:name="_Toc41" w:id="41"/>
      <w:r>
        <w:t xml:space="preserve">Why Taint Tracking</w:t>
      </w:r>
      <w:bookmarkEnd w:id="41"/>
    </w:p>
    <w:p>
      <w:pPr>
        <w:spacing w:after="140" w:line="276"/>
      </w:pPr>
      <w:r>
        <w:rPr>
          <w:sz w:val="22"/>
          <w:szCs w:val="22"/>
        </w:rPr>
        <w:t xml:space="preserve">Taint tracking treats any value derived from a tainted source as still tainted until a barrier is reached. This matches real attack surface better than pure value copying. Path queries exist so the tool can show the developer every step.</w:t>
      </w:r>
    </w:p>
    <w:p>
      <w:pPr>
        <w:pStyle w:val="Heading2"/>
      </w:pPr>
      <w:bookmarkStart w:name="_Toc42" w:id="42"/>
      <w:r>
        <w:t xml:space="preserve">Complete Example</w:t>
      </w:r>
      <w:bookmarkEnd w:id="42"/>
    </w:p>
    <w:p>
      <w:pPr>
        <w:spacing w:after="40" w:before="140"/>
      </w:pP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/**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* @kind path-problem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* @problem.severity error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*/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import javascript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module C implements DataFlow::ConfigSig {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predicate isSource(DataFlow::Node n) { n instanceof RemoteFlowSource }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predicate isSink(DataFlow::Node n) { n instanceof DomBasedXssSink }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module F = TaintTracking::Global&lt;C&gt;;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import F::PathGraph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from F::PathNode source, F::PathNode sink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where F::flowPath(source, sink)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select sink.getNode(), source, sink, "XSS from $@.", source.getNode(), "user input"</w:t>
      </w:r>
    </w:p>
    <w:p>
      <w:pPr>
        <w:spacing w:after="160" w:before="40"/>
      </w:pPr>
    </w:p>
    <w:p>
      <w:pPr>
        <w:pStyle w:val="Heading2"/>
      </w:pPr>
      <w:bookmarkStart w:name="_Toc43" w:id="43"/>
      <w:r>
        <w:t xml:space="preserve">Exercises</w:t>
      </w:r>
      <w:bookmarkEnd w:id="43"/>
    </w:p>
    <w:p>
      <w:pPr>
        <w:spacing w:after="140" w:line="276"/>
      </w:pPr>
      <w:r>
        <w:rPr>
          <w:sz w:val="22"/>
          <w:szCs w:val="22"/>
        </w:rPr>
        <w:t xml:space="preserve">Exercise 9.1: Finish the SQL injection starter at examples/chapter09/exercise-sql-injection.ql and confirm only unsanitized paths are reported.</w:t>
      </w:r>
    </w:p>
    <w:p>
      <w:pPr>
        <w:spacing w:after="140" w:line="276"/>
      </w:pPr>
      <w:r>
        <w:rPr>
          <w:sz w:val="22"/>
          <w:szCs w:val="22"/>
        </w:rPr>
        <w:t xml:space="preserve">Exercise 9.2: Implement the barrier in examples/chapter09/exercise-add-barrier.ql so flow stops at sanitize or escapeHtml.</w:t>
      </w:r>
    </w:p>
    <w:p>
      <w:pPr>
        <w:spacing w:after="140" w:line="276"/>
      </w:pPr>
      <w:r>
        <w:rPr>
          <w:sz w:val="22"/>
          <w:szCs w:val="22"/>
        </w:rPr>
        <w:t xml:space="preserve">Exercise 9.3: Break a source predicate, use partial flow to find the last reached node, then restore it.</w:t>
      </w:r>
    </w:p>
    <w:p>
      <w:pPr>
        <w:spacing w:after="140" w:line="276"/>
      </w:pPr>
      <w:r>
        <w:rPr>
          <w:sz w:val="22"/>
          <w:szCs w:val="22"/>
        </w:rPr>
        <w:t xml:space="preserve">The finished XSS query is at examples/chapter09/xss-path.ql. Keep positive and negative tests for every change.</w:t>
      </w:r>
    </w:p>
    <w:p>
      <w:pPr>
        <w:pStyle w:val="Heading1"/>
        <w:pageBreakBefore/>
      </w:pPr>
      <w:bookmarkStart w:name="_Toc44" w:id="44"/>
      <w:r>
        <w:t xml:space="preserve">Chapter 10: CodeQL Library Extension</w:t>
      </w:r>
      <w:bookmarkEnd w:id="44"/>
    </w:p>
    <w:p>
      <w:pPr>
        <w:pStyle w:val="Heading2"/>
      </w:pPr>
      <w:bookmarkStart w:name="_Toc45" w:id="45"/>
      <w:r>
        <w:t xml:space="preserve">Custom Sources and Sinks</w:t>
      </w:r>
      <w:bookmarkEnd w:id="45"/>
    </w:p>
    <w:p>
      <w:pPr>
        <w:spacing w:after="140" w:line="276"/>
      </w:pPr>
      <w:r>
        <w:rPr>
          <w:sz w:val="22"/>
          <w:szCs w:val="22"/>
        </w:rPr>
        <w:t xml:space="preserve">Extensions let existing queries understand internal frameworks. Subclass RemoteFlowSource (or the equivalent sink class) so standard queries automatically pick up your APIs.</w:t>
      </w:r>
    </w:p>
    <w:p>
      <w:pPr>
        <w:pStyle w:val="Heading2"/>
      </w:pPr>
      <w:bookmarkStart w:name="_Toc46" w:id="46"/>
      <w:r>
        <w:t xml:space="preserve">Example</w:t>
      </w:r>
      <w:bookmarkEnd w:id="46"/>
    </w:p>
    <w:p>
      <w:pPr>
        <w:spacing w:after="40" w:before="140"/>
      </w:pP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class CustomRemoteSource extends RemoteFlowSource {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CustomRemoteSource() {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  this = any(CallExpr c | c.getCalleeName() = "getUserInput").flow()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}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}</w:t>
      </w:r>
    </w:p>
    <w:p>
      <w:pPr>
        <w:spacing w:after="160" w:before="40"/>
      </w:pPr>
    </w:p>
    <w:p>
      <w:pPr>
        <w:pStyle w:val="Heading2"/>
      </w:pPr>
      <w:bookmarkStart w:name="_Toc47" w:id="47"/>
      <w:r>
        <w:t xml:space="preserve">Exercises and Testing</w:t>
      </w:r>
      <w:bookmarkEnd w:id="47"/>
    </w:p>
    <w:p>
      <w:pPr>
        <w:spacing w:after="140" w:line="276"/>
      </w:pPr>
      <w:r>
        <w:rPr>
          <w:sz w:val="22"/>
          <w:szCs w:val="22"/>
        </w:rPr>
        <w:t xml:space="preserve">Exercise 10.1: Add a second source such as readUntrustedFile.</w:t>
      </w:r>
    </w:p>
    <w:p>
      <w:pPr>
        <w:spacing w:after="140" w:line="276"/>
      </w:pPr>
      <w:r>
        <w:rPr>
          <w:sz w:val="22"/>
          <w:szCs w:val="22"/>
        </w:rPr>
        <w:t xml:space="preserve">Exercise 10.2: Complete the custom sink at examples/chapter10/exercise-custom-sink.ql.</w:t>
      </w:r>
    </w:p>
    <w:p>
      <w:pPr>
        <w:spacing w:after="140" w:line="276"/>
      </w:pPr>
      <w:r>
        <w:rPr>
          <w:sz w:val="22"/>
          <w:szCs w:val="22"/>
        </w:rPr>
        <w:t xml:space="preserve">Exercise 10.3: Sketch a model-pack qlpack.yml.</w:t>
      </w:r>
    </w:p>
    <w:p>
      <w:pPr>
        <w:spacing w:after="140" w:line="276"/>
      </w:pPr>
      <w:r>
        <w:rPr>
          <w:sz w:val="22"/>
          <w:szCs w:val="22"/>
        </w:rPr>
        <w:t xml:space="preserve">The source example is examples/chapter10/custom-source.ql. An incorrect model silently affects every dependent query, so positive and negative tests are mandatory. Package reusable models as packs.</w:t>
      </w:r>
    </w:p>
    <w:p>
      <w:pPr>
        <w:pStyle w:val="Heading1"/>
        <w:pageBreakBefore/>
      </w:pPr>
      <w:bookmarkStart w:name="_Toc48" w:id="48"/>
      <w:r>
        <w:t xml:space="preserve">Chapter 11: Packs, Suites, Metadata, and Production Use</w:t>
      </w:r>
      <w:bookmarkEnd w:id="48"/>
    </w:p>
    <w:p>
      <w:pPr>
        <w:pStyle w:val="Heading2"/>
      </w:pPr>
      <w:bookmarkStart w:name="_Toc49" w:id="49"/>
      <w:r>
        <w:t xml:space="preserve">Packs and Suites</w:t>
      </w:r>
      <w:bookmarkEnd w:id="49"/>
    </w:p>
    <w:p>
      <w:pPr>
        <w:spacing w:after="140" w:line="276"/>
      </w:pPr>
      <w:r>
        <w:rPr>
          <w:sz w:val="22"/>
          <w:szCs w:val="22"/>
        </w:rPr>
        <w:t xml:space="preserve">A qlpack.yml declares name, version, and dependencies. A .qls file selects which queries run. Complete metadata and expected-result tests are required before a pack is shared.</w:t>
      </w:r>
    </w:p>
    <w:p>
      <w:pPr>
        <w:spacing w:after="40" w:before="140"/>
      </w:pP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name: mustlearn/example-queries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version: 1.0.0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dependencies:</w:t>
      </w:r>
    </w:p>
    <w:p>
      <w:pPr>
        <w:pBdr>
          <w:left w:val="single" w:color="2E75B6" w:sz="20" w:space="12"/>
        </w:pBdr>
        <w:shd w:fill="F7F9FC" w:val="clear"/>
        <w:spacing w:after="0" w:line="240"/>
        <w:ind w:left="420"/>
      </w:pPr>
      <w:r>
        <w:rPr>
          <w:rFonts w:ascii="Consolas" w:cs="Consolas" w:eastAsia="Consolas" w:hAnsi="Consolas"/>
          <w:color w:val="1E293B"/>
          <w:sz w:val="18"/>
          <w:szCs w:val="18"/>
        </w:rPr>
        <w:t xml:space="preserve">  codeql/javascript-all: "*"</w:t>
      </w:r>
    </w:p>
    <w:p>
      <w:pPr>
        <w:spacing w:after="160" w:before="40"/>
      </w:pPr>
    </w:p>
    <w:p>
      <w:pPr>
        <w:pStyle w:val="Heading2"/>
      </w:pPr>
      <w:bookmarkStart w:name="_Toc50" w:id="50"/>
      <w:r>
        <w:t xml:space="preserve">Location</w:t>
      </w:r>
      <w:bookmarkEnd w:id="50"/>
    </w:p>
    <w:p>
      <w:pPr>
        <w:spacing w:after="140" w:line="276"/>
      </w:pPr>
      <w:r>
        <w:rPr>
          <w:sz w:val="22"/>
          <w:szCs w:val="22"/>
        </w:rPr>
        <w:t xml:space="preserve">Examples are in examples/chapter11/.</w:t>
      </w:r>
    </w:p>
    <w:p>
      <w:pPr>
        <w:pStyle w:val="Heading1"/>
        <w:pageBreakBefore/>
      </w:pPr>
      <w:bookmarkStart w:name="_Toc51" w:id="51"/>
      <w:r>
        <w:t xml:space="preserve">Chapter 12: Integrating CodeQL into Workflows</w:t>
      </w:r>
      <w:bookmarkEnd w:id="51"/>
    </w:p>
    <w:p>
      <w:pPr>
        <w:pStyle w:val="Heading2"/>
      </w:pPr>
      <w:bookmarkStart w:name="_Toc52" w:id="52"/>
      <w:r>
        <w:t xml:space="preserve">GitHub Actions and Beyond</w:t>
      </w:r>
      <w:bookmarkEnd w:id="52"/>
    </w:p>
    <w:p>
      <w:pPr>
        <w:spacing w:after="140" w:line="276"/>
      </w:pPr>
      <w:r>
        <w:rPr>
          <w:sz w:val="22"/>
          <w:szCs w:val="22"/>
        </w:rPr>
        <w:t xml:space="preserve">The official action creates the database, runs the analysis, and uploads SARIF. A ready workflow is at examples/chapter12/codeql-analysis.yml. Other CI systems use the CodeQL bundle and the CLI. Multi-repository variant analysis runs one query across many codebases.</w:t>
      </w:r>
    </w:p>
    <w:p>
      <w:pPr>
        <w:pStyle w:val="Heading1"/>
        <w:pageBreakBefore/>
      </w:pPr>
      <w:bookmarkStart w:name="_Toc53" w:id="53"/>
      <w:r>
        <w:t xml:space="preserve">Chapter 13: Advanced Techniques and Performance</w:t>
      </w:r>
      <w:bookmarkEnd w:id="53"/>
    </w:p>
    <w:p>
      <w:pPr>
        <w:pStyle w:val="Heading2"/>
      </w:pPr>
      <w:bookmarkStart w:name="_Toc54" w:id="54"/>
      <w:r>
        <w:t xml:space="preserve">Efficiency and Debugging</w:t>
      </w:r>
      <w:bookmarkEnd w:id="54"/>
    </w:p>
    <w:p>
      <w:pPr>
        <w:spacing w:after="140" w:line="276"/>
      </w:pPr>
      <w:r>
        <w:rPr>
          <w:sz w:val="22"/>
          <w:szCs w:val="22"/>
        </w:rPr>
        <w:t xml:space="preserve">Small, specific predicates perform better and are easier to maintain. Partial-flow debugging shows exactly how far taint traveled when a full path is missing. See examples/chapter13/performance-predicate.ql.</w:t>
      </w:r>
    </w:p>
    <w:p>
      <w:pPr>
        <w:pStyle w:val="Heading1"/>
        <w:pageBreakBefore/>
      </w:pPr>
      <w:bookmarkStart w:name="_Toc55" w:id="55"/>
      <w:r>
        <w:t xml:space="preserve">Chapter 14: Real-World Case Studies</w:t>
      </w:r>
      <w:bookmarkEnd w:id="55"/>
    </w:p>
    <w:p>
      <w:pPr>
        <w:pStyle w:val="Heading2"/>
      </w:pPr>
      <w:bookmarkStart w:name="_Toc56" w:id="56"/>
      <w:r>
        <w:t xml:space="preserve">Patterns</w:t>
      </w:r>
      <w:bookmarkEnd w:id="56"/>
    </w:p>
    <w:p>
      <w:pPr>
        <w:spacing w:after="140" w:line="276"/>
      </w:pPr>
      <w:r>
        <w:rPr>
          <w:sz w:val="22"/>
          <w:szCs w:val="22"/>
        </w:rPr>
        <w:t xml:space="preserve">Study the Security Lab Zero-to-Hero series. The SQL injection skeleton at examples/chapter14/sql-injection-example.ql shows the standard source-to-sink shape. Combine it with your library extensions for coverage of internal APIs.</w:t>
      </w:r>
    </w:p>
    <w:p>
      <w:pPr>
        <w:pStyle w:val="Heading1"/>
        <w:pageBreakBefore/>
      </w:pPr>
      <w:bookmarkStart w:name="_Toc57" w:id="57"/>
      <w:r>
        <w:t xml:space="preserve">Chapter 15: Best Practices and Next Steps</w:t>
      </w:r>
      <w:bookmarkEnd w:id="57"/>
    </w:p>
    <w:p>
      <w:pPr>
        <w:pStyle w:val="Heading2"/>
      </w:pPr>
      <w:bookmarkStart w:name="_Toc58" w:id="58"/>
      <w:r>
        <w:t xml:space="preserve">Habits That Scale</w:t>
      </w:r>
      <w:bookmarkEnd w:id="58"/>
    </w:p>
    <w:p>
      <w:pPr>
        <w:spacing w:after="140" w:line="276"/>
      </w:pPr>
      <w:r>
        <w:rPr>
          <w:sz w:val="22"/>
          <w:szCs w:val="22"/>
        </w:rPr>
        <w:t xml:space="preserve">Write small tested predicates. Extend libraries instead of duplicating logic. Use precise barriers. Maintain positive and negative tests. Contribute high-quality models upstream. Watch the changelog for new library support that lets you delete custom code.</w:t>
      </w:r>
    </w:p>
    <w:p>
      <w:pPr>
        <w:spacing w:after="140" w:line="276"/>
      </w:pPr>
      <w:r>
        <w:rPr>
          <w:sz w:val="22"/>
          <w:szCs w:val="22"/>
        </w:rPr>
        <w:t xml:space="preserve">You now have the foundation—databases, QL, predicates, data flow, taint tracking, extension, packaging, and CI—to write and operationalize production CodeQL analyses. The exercise files are ready for you to adapt.</w:t>
      </w:r>
    </w:p>
    <w:p>
      <w:pPr>
        <w:pStyle w:val="Heading1"/>
        <w:pageBreakBefore/>
      </w:pPr>
      <w:bookmarkStart w:name="_Toc59" w:id="59"/>
      <w:r>
        <w:t xml:space="preserve">Appendix: Resources and Exercise Index</w:t>
      </w:r>
      <w:bookmarkEnd w:id="59"/>
    </w:p>
    <w:p>
      <w:pPr>
        <w:pStyle w:val="Heading2"/>
      </w:pPr>
      <w:bookmarkStart w:name="_Toc60" w:id="60"/>
      <w:r>
        <w:t xml:space="preserve">Exercises</w:t>
      </w:r>
      <w:bookmarkEnd w:id="60"/>
    </w:p>
    <w:p>
      <w:pPr>
        <w:spacing w:after="140" w:line="276"/>
      </w:pPr>
      <w:r>
        <w:rPr>
          <w:sz w:val="22"/>
          <w:szCs w:val="22"/>
        </w:rPr>
        <w:t xml:space="preserve">Chapter 8: local vs global; additional flow step.</w:t>
      </w:r>
    </w:p>
    <w:p>
      <w:pPr>
        <w:spacing w:after="140" w:line="276"/>
      </w:pPr>
      <w:r>
        <w:rPr>
          <w:sz w:val="22"/>
          <w:szCs w:val="22"/>
        </w:rPr>
        <w:t xml:space="preserve">Chapter 9: SQL injection starter; barrier; partial-flow debugging.</w:t>
      </w:r>
    </w:p>
    <w:p>
      <w:pPr>
        <w:spacing w:after="140" w:line="276"/>
      </w:pPr>
      <w:r>
        <w:rPr>
          <w:sz w:val="22"/>
          <w:szCs w:val="22"/>
        </w:rPr>
        <w:t xml:space="preserve">Chapter 10: second source; custom sink; model pack.</w:t>
      </w:r>
    </w:p>
    <w:p>
      <w:pPr>
        <w:pStyle w:val="Heading2"/>
      </w:pPr>
      <w:bookmarkStart w:name="_Toc61" w:id="61"/>
      <w:r>
        <w:t xml:space="preserve">Links</w:t>
      </w:r>
      <w:bookmarkEnd w:id="61"/>
    </w:p>
    <w:p>
      <w:pPr>
        <w:spacing w:after="140" w:line="276"/>
      </w:pPr>
      <w:r>
        <w:rPr>
          <w:sz w:val="22"/>
          <w:szCs w:val="22"/>
        </w:rPr>
        <w:t xml:space="preserve">Official docs: https://codeql.github.com/docs/</w:t>
      </w:r>
    </w:p>
    <w:p>
      <w:pPr>
        <w:spacing w:after="140" w:line="276"/>
      </w:pPr>
      <w:r>
        <w:rPr>
          <w:sz w:val="22"/>
          <w:szCs w:val="22"/>
        </w:rPr>
        <w:t xml:space="preserve">Companion repository: https://github.com/rod-trent/MustLearnCodeQL</w:t>
      </w:r>
    </w:p>
    <w:p>
      <w:pPr>
        <w:spacing w:before="400"/>
        <w:jc w:val="center"/>
      </w:pPr>
      <w:r>
        <w:rPr>
          <w:i/>
          <w:iCs/>
          <w:color w:val="666666"/>
          <w:sz w:val="22"/>
          <w:szCs w:val="22"/>
        </w:rPr>
        <w:t xml:space="preserve">End of Must Learn CodeQL</w:t>
      </w:r>
    </w:p>
    <w:sectPr>
      <w:headerReference w:type="default" r:id="rId6"/>
      <w:footerReference w:type="default" r:id="rId7"/>
      <w:pgSz w:w="12240" w:h="15840" w:orient="portrait"/>
      <w:pgMar w:top="1296" w:right="1296" w:bottom="1296" w:left="129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6" w:space="1"/>
      </w:pBdr>
      <w:jc w:val="center"/>
    </w:pPr>
    <w:r>
      <w:rPr>
        <w:color w:val="6B7280"/>
        <w:sz w:val="18"/>
        <w:szCs w:val="18"/>
      </w:rPr>
      <w:t xml:space="preserve">Page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8"/>
        <w:szCs w:val="18"/>
      </w:rPr>
      <w:t xml:space="preserve">  ·  github.com/rod-trent/MustLearnCodeQL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6" w:space="1"/>
      </w:pBdr>
      <w:jc w:val="right"/>
    </w:pPr>
    <w:r>
      <w:rPr>
        <w:i/>
        <w:iCs/>
        <w:color w:val="6B7280"/>
        <w:sz w:val="18"/>
        <w:szCs w:val="18"/>
      </w:rPr>
      <w:t xml:space="preserve">Must Learn CodeQL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E75B6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-qlvdhjnofvvgnqnqztzo" Type="http://schemas.openxmlformats.org/officeDocument/2006/relationships/hyperlink" Target="https://github.com/rod-trent/MustLearnCodeQL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2026-10-15T17:02:54.100Z</dcterms:created>
  <dcterms:modified xsi:type="dcterms:W3CDTF">2026-10-15T17:02:54.101Z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