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color w:val="1F4E79"/>
          <w:sz w:val="46"/>
          <w:szCs w:val="46"/>
        </w:rPr>
        <w:t xml:space="preserve">Must Learn CodeQL</w:t>
      </w:r>
    </w:p>
    <w:p>
      <w:pPr>
        <w:spacing w:after="160"/>
        <w:jc w:val="center"/>
      </w:pPr>
      <w:r>
        <w:rPr>
          <w:i/>
          <w:iCs/>
          <w:color w:val="5B9BD5"/>
          <w:sz w:val="22"/>
          <w:szCs w:val="22"/>
        </w:rPr>
        <w:t xml:space="preserve">A Practical Guide to Semantic Code Analysis</w:t>
      </w:r>
    </w:p>
    <w:p>
      <w:pPr>
        <w:jc w:val="center"/>
      </w:pPr>
      <w:r>
        <w:rPr>
          <w:sz w:val="20"/>
          <w:szCs w:val="20"/>
        </w:rPr>
        <w:t xml:space="preserve">Rod Trent • 2026</w:t>
      </w:r>
    </w:p>
    <w:p>
      <w:pPr>
        <w:spacing w:before="80"/>
        <w:jc w:val="center"/>
      </w:pPr>
      <w:hyperlink w:history="1" r:id="rIdlfdbtqpnfat6ienljtaxp">
        <w:r>
          <w:rPr>
            <w:rStyle w:val="Hyperlink"/>
          </w:rPr>
          <w:t xml:space="preserve">github.com/rod-trent/MustLearnCodeQL</w:t>
        </w:r>
      </w:hyperlink>
    </w:p>
    <w:p>
      <w:pPr>
        <w:pStyle w:val="Heading1"/>
        <w:pageBreakBefore/>
      </w:pPr>
      <w:bookmarkStart w:name="_Toc1" w:id="1"/>
      <w:r>
        <w:t xml:space="preserve">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Foundations (Chapters 1–8)</w:t>
            </w:r>
            <w:r>
              <w:tab/>
            </w:r>
            <w:r>
              <w:fldChar w:fldCharType="begin" w:dirty="true"/>
              <w:instrText xml:space="preserve">PAGEREF _Toc3 \h</w:instrText>
              <w:fldChar w:fldCharType="separate"/>
              <w:fldChar w:fldCharType="end"/>
            </w:r>
          </w:hyperlink>
        </w:p>
        <w:p>
          <w:pPr>
            <w:pStyle w:val="TOC1"/>
            <w:tabs>
              <w:tab w:val="right" w:pos="9648" w:leader="dot"/>
            </w:tabs>
          </w:pPr>
          <w:hyperlink w:history="1" w:anchor="_Toc4">
            <w:r>
              <w:t xml:space="preserve">Chapter 9: Taint Tracking and Path Queries</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What Taint Tracking Adds</w:t>
            </w:r>
            <w:r>
              <w:tab/>
            </w:r>
            <w:r>
              <w:fldChar w:fldCharType="begin" w:dirty="true"/>
              <w:instrText xml:space="preserve">PAGEREF _Toc5 \h</w:instrText>
              <w:fldChar w:fldCharType="separate"/>
              <w:fldChar w:fldCharType="end"/>
            </w:r>
          </w:hyperlink>
        </w:p>
        <w:p>
          <w:pPr>
            <w:pStyle w:val="TOC2"/>
            <w:tabs>
              <w:tab w:val="right" w:pos="9648" w:leader="dot"/>
            </w:tabs>
            <w:ind w:left="220"/>
          </w:pPr>
          <w:hyperlink w:history="1" w:anchor="_Toc6">
            <w:r>
              <w:t xml:space="preserve">Sources</w:t>
            </w:r>
            <w:r>
              <w:tab/>
            </w:r>
            <w:r>
              <w:fldChar w:fldCharType="begin" w:dirty="true"/>
              <w:instrText xml:space="preserve">PAGEREF _Toc6 \h</w:instrText>
              <w:fldChar w:fldCharType="separate"/>
              <w:fldChar w:fldCharType="end"/>
            </w:r>
          </w:hyperlink>
        </w:p>
        <w:p>
          <w:pPr>
            <w:pStyle w:val="TOC2"/>
            <w:tabs>
              <w:tab w:val="right" w:pos="9648" w:leader="dot"/>
            </w:tabs>
            <w:ind w:left="220"/>
          </w:pPr>
          <w:hyperlink w:history="1" w:anchor="_Toc7">
            <w:r>
              <w:t xml:space="preserve">Sinks</w:t>
            </w:r>
            <w:r>
              <w:tab/>
            </w:r>
            <w:r>
              <w:fldChar w:fldCharType="begin" w:dirty="true"/>
              <w:instrText xml:space="preserve">PAGEREF _Toc7 \h</w:instrText>
              <w:fldChar w:fldCharType="separate"/>
              <w:fldChar w:fldCharType="end"/>
            </w:r>
          </w:hyperlink>
        </w:p>
        <w:p>
          <w:pPr>
            <w:pStyle w:val="TOC2"/>
            <w:tabs>
              <w:tab w:val="right" w:pos="9648" w:leader="dot"/>
            </w:tabs>
            <w:ind w:left="220"/>
          </w:pPr>
          <w:hyperlink w:history="1" w:anchor="_Toc8">
            <w:r>
              <w:t xml:space="preserve">Barriers (Sanitizers)</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The Path-Query Form</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Additional Flow Steps</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Flow State for Higher Precision</w:t>
            </w:r>
            <w:r>
              <w:tab/>
            </w:r>
            <w:r>
              <w:fldChar w:fldCharType="begin" w:dirty="true"/>
              <w:instrText xml:space="preserve">PAGEREF _Toc11 \h</w:instrText>
              <w:fldChar w:fldCharType="separate"/>
              <w:fldChar w:fldCharType="end"/>
            </w:r>
          </w:hyperlink>
        </w:p>
        <w:p>
          <w:pPr>
            <w:pStyle w:val="TOC2"/>
            <w:tabs>
              <w:tab w:val="right" w:pos="9648" w:leader="dot"/>
            </w:tabs>
            <w:ind w:left="220"/>
          </w:pPr>
          <w:hyperlink w:history="1" w:anchor="_Toc12">
            <w:r>
              <w:t xml:space="preserve">Partial-Flow Debugging</w:t>
            </w:r>
            <w:r>
              <w:tab/>
            </w:r>
            <w:r>
              <w:fldChar w:fldCharType="begin" w:dirty="true"/>
              <w:instrText xml:space="preserve">PAGEREF _Toc12 \h</w:instrText>
              <w:fldChar w:fldCharType="separate"/>
              <w:fldChar w:fldCharType="end"/>
            </w:r>
          </w:hyperlink>
        </w:p>
        <w:p>
          <w:pPr>
            <w:pStyle w:val="TOC2"/>
            <w:tabs>
              <w:tab w:val="right" w:pos="9648" w:leader="dot"/>
            </w:tabs>
            <w:ind w:left="220"/>
          </w:pPr>
          <w:hyperlink w:history="1" w:anchor="_Toc13">
            <w:r>
              <w:t xml:space="preserve">Exercises</w:t>
            </w:r>
            <w:r>
              <w:tab/>
            </w:r>
            <w:r>
              <w:fldChar w:fldCharType="begin" w:dirty="true"/>
              <w:instrText xml:space="preserve">PAGEREF _Toc13 \h</w:instrText>
              <w:fldChar w:fldCharType="separate"/>
              <w:fldChar w:fldCharType="end"/>
            </w:r>
          </w:hyperlink>
        </w:p>
        <w:p>
          <w:pPr>
            <w:pStyle w:val="TOC2"/>
            <w:tabs>
              <w:tab w:val="right" w:pos="9648" w:leader="dot"/>
            </w:tabs>
            <w:ind w:left="220"/>
          </w:pPr>
          <w:hyperlink w:history="1" w:anchor="_Toc14">
            <w:r>
              <w:t xml:space="preserve">Common Pitfalls</w:t>
            </w:r>
            <w:r>
              <w:tab/>
            </w:r>
            <w:r>
              <w:fldChar w:fldCharType="begin" w:dirty="true"/>
              <w:instrText xml:space="preserve">PAGEREF _Toc14 \h</w:instrText>
              <w:fldChar w:fldCharType="separate"/>
              <w:fldChar w:fldCharType="end"/>
            </w:r>
          </w:hyperlink>
        </w:p>
        <w:p>
          <w:pPr>
            <w:pStyle w:val="TOC2"/>
            <w:tabs>
              <w:tab w:val="right" w:pos="9648" w:leader="dot"/>
            </w:tabs>
            <w:ind w:left="220"/>
          </w:pPr>
          <w:hyperlink w:history="1" w:anchor="_Toc15">
            <w:r>
              <w:t xml:space="preserve">Moving to Production</w:t>
            </w:r>
            <w:r>
              <w:tab/>
            </w:r>
            <w:r>
              <w:fldChar w:fldCharType="begin" w:dirty="true"/>
              <w:instrText xml:space="preserve">PAGEREF _Toc15 \h</w:instrText>
              <w:fldChar w:fldCharType="separate"/>
              <w:fldChar w:fldCharType="end"/>
            </w:r>
          </w:hyperlink>
        </w:p>
        <w:p>
          <w:pPr>
            <w:pStyle w:val="TOC1"/>
            <w:tabs>
              <w:tab w:val="right" w:pos="9648" w:leader="dot"/>
            </w:tabs>
          </w:pPr>
          <w:hyperlink w:history="1" w:anchor="_Toc16">
            <w:r>
              <w:t xml:space="preserve">Chapter 10: Library Extension</w:t>
            </w:r>
            <w:r>
              <w:tab/>
            </w:r>
            <w:r>
              <w:fldChar w:fldCharType="begin" w:dirty="true"/>
              <w:instrText xml:space="preserve">PAGEREF _Toc16 \h</w:instrText>
              <w:fldChar w:fldCharType="separate"/>
              <w:fldChar w:fldCharType="end"/>
            </w:r>
          </w:hyperlink>
        </w:p>
        <w:p>
          <w:pPr>
            <w:pStyle w:val="TOC1"/>
            <w:tabs>
              <w:tab w:val="right" w:pos="9648" w:leader="dot"/>
            </w:tabs>
          </w:pPr>
          <w:hyperlink w:history="1" w:anchor="_Toc17">
            <w:r>
              <w:t xml:space="preserve">Chapter 11: Packs, Suites, and Production Use</w:t>
            </w:r>
            <w:r>
              <w:tab/>
            </w:r>
            <w:r>
              <w:fldChar w:fldCharType="begin" w:dirty="true"/>
              <w:instrText xml:space="preserve">PAGEREF _Toc17 \h</w:instrText>
              <w:fldChar w:fldCharType="separate"/>
              <w:fldChar w:fldCharType="end"/>
            </w:r>
          </w:hyperlink>
        </w:p>
        <w:p>
          <w:pPr>
            <w:pStyle w:val="TOC1"/>
            <w:tabs>
              <w:tab w:val="right" w:pos="9648" w:leader="dot"/>
            </w:tabs>
          </w:pPr>
          <w:hyperlink w:history="1" w:anchor="_Toc18">
            <w:r>
              <w:t xml:space="preserve">Chapter 12: CI Integration</w:t>
            </w:r>
            <w:r>
              <w:tab/>
            </w:r>
            <w:r>
              <w:fldChar w:fldCharType="begin" w:dirty="true"/>
              <w:instrText xml:space="preserve">PAGEREF _Toc18 \h</w:instrText>
              <w:fldChar w:fldCharType="separate"/>
              <w:fldChar w:fldCharType="end"/>
            </w:r>
          </w:hyperlink>
        </w:p>
        <w:p>
          <w:pPr>
            <w:pStyle w:val="TOC1"/>
            <w:tabs>
              <w:tab w:val="right" w:pos="9648" w:leader="dot"/>
            </w:tabs>
          </w:pPr>
          <w:hyperlink w:history="1" w:anchor="_Toc19">
            <w:r>
              <w:t xml:space="preserve">Chapter 13: Performance and Debugging</w:t>
            </w:r>
            <w:r>
              <w:tab/>
            </w:r>
            <w:r>
              <w:fldChar w:fldCharType="begin" w:dirty="true"/>
              <w:instrText xml:space="preserve">PAGEREF _Toc19 \h</w:instrText>
              <w:fldChar w:fldCharType="separate"/>
              <w:fldChar w:fldCharType="end"/>
            </w:r>
          </w:hyperlink>
        </w:p>
        <w:p>
          <w:pPr>
            <w:pStyle w:val="TOC1"/>
            <w:tabs>
              <w:tab w:val="right" w:pos="9648" w:leader="dot"/>
            </w:tabs>
          </w:pPr>
          <w:hyperlink w:history="1" w:anchor="_Toc20">
            <w:r>
              <w:t xml:space="preserve">Chapter 14: Case Studies</w:t>
            </w:r>
            <w:r>
              <w:tab/>
            </w:r>
            <w:r>
              <w:fldChar w:fldCharType="begin" w:dirty="true"/>
              <w:instrText xml:space="preserve">PAGEREF _Toc20 \h</w:instrText>
              <w:fldChar w:fldCharType="separate"/>
              <w:fldChar w:fldCharType="end"/>
            </w:r>
          </w:hyperlink>
        </w:p>
        <w:p>
          <w:pPr>
            <w:pStyle w:val="TOC1"/>
            <w:tabs>
              <w:tab w:val="right" w:pos="9648" w:leader="dot"/>
            </w:tabs>
          </w:pPr>
          <w:hyperlink w:history="1" w:anchor="_Toc21">
            <w:r>
              <w:t xml:space="preserve">Chapter 15: Best Practices</w:t>
            </w:r>
            <w:r>
              <w:tab/>
            </w:r>
            <w:r>
              <w:fldChar w:fldCharType="begin" w:dirty="true"/>
              <w:instrText xml:space="preserve">PAGEREF _Toc21 \h</w:instrText>
              <w:fldChar w:fldCharType="separate"/>
              <w:fldChar w:fldCharType="end"/>
            </w:r>
          </w:hyperlink>
        </w:p>
        <w:p>
          <w:pPr>
            <w:pStyle w:val="TOC1"/>
            <w:tabs>
              <w:tab w:val="right" w:pos="9648" w:leader="dot"/>
            </w:tabs>
          </w:pPr>
          <w:hyperlink w:history="1" w:anchor="_Toc22">
            <w:r>
              <w:t xml:space="preserve">Appendix</w:t>
            </w:r>
            <w:r>
              <w:tab/>
            </w:r>
            <w:r>
              <w:fldChar w:fldCharType="begin" w:dirty="true"/>
              <w:instrText xml:space="preserve">PAGEREF _Toc22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110" w:line="276"/>
      </w:pPr>
      <w:r>
        <w:rPr>
          <w:sz w:val="22"/>
          <w:szCs w:val="22"/>
        </w:rPr>
        <w:t xml:space="preserve">This version substantially expands the taint-tracking chapter (Chapter 9) with additional concepts, complete examples, refinement techniques, debugging, and exercises. Related starters are in examples/chapter09/.</w:t>
      </w:r>
    </w:p>
    <w:p>
      <w:pPr>
        <w:pStyle w:val="Heading1"/>
        <w:pageBreakBefore/>
      </w:pPr>
      <w:bookmarkStart w:name="_Toc3" w:id="3"/>
      <w:r>
        <w:t xml:space="preserve">Foundations (Chapters 1–8)</w:t>
      </w:r>
      <w:bookmarkEnd w:id="3"/>
    </w:p>
    <w:p>
      <w:pPr>
        <w:spacing w:after="110" w:line="276"/>
      </w:pPr>
      <w:r>
        <w:rPr>
          <w:sz w:val="22"/>
          <w:szCs w:val="22"/>
        </w:rPr>
        <w:t xml:space="preserve">CodeQL extracts a relational model of code so you can write declarative queries. Databases are created with the CLI or VS Code extension. QL uses predicates, classes, and modules. Data-flow analysis (Chapter 8) tracks where values travel using configurations that define sources and sinks, optional additional steps, and barriers. Global flow crosses functions; local flow does not. These foundations are required before taint tracking.</w:t>
      </w:r>
    </w:p>
    <w:p>
      <w:pPr>
        <w:pStyle w:val="Heading1"/>
        <w:pageBreakBefore/>
      </w:pPr>
      <w:bookmarkStart w:name="_Toc4" w:id="4"/>
      <w:r>
        <w:t xml:space="preserve">Chapter 9: Taint Tracking and Path Queries</w:t>
      </w:r>
      <w:bookmarkEnd w:id="4"/>
    </w:p>
    <w:p>
      <w:pPr>
        <w:pStyle w:val="Heading2"/>
      </w:pPr>
      <w:bookmarkStart w:name="_Toc5" w:id="5"/>
      <w:r>
        <w:t xml:space="preserve">What Taint Tracking Adds</w:t>
      </w:r>
      <w:bookmarkEnd w:id="5"/>
    </w:p>
    <w:p>
      <w:pPr>
        <w:spacing w:after="110" w:line="276"/>
      </w:pPr>
      <w:r>
        <w:rPr>
          <w:sz w:val="22"/>
          <w:szCs w:val="22"/>
        </w:rPr>
        <w:t xml:space="preserve">Pure data flow follows a value as it is copied from one location to another. Taint tracking goes further: any value computed from a tainted input is itself considered tainted until a barrier explicitly clears it. If user input is concatenated with a string, passed through a formatter, substringed, or stored and later retrieved, the result remains tainted. This matches how attackers actually exploit injection and cross-site scripting flaws.</w:t>
      </w:r>
    </w:p>
    <w:p>
      <w:pPr>
        <w:spacing w:after="110" w:line="276"/>
      </w:pPr>
      <w:r>
        <w:rPr>
          <w:sz w:val="22"/>
          <w:szCs w:val="22"/>
        </w:rPr>
        <w:t xml:space="preserve">Almost every production security query in CodeQL—SQL injection, command injection, XSS, path traversal, open redirect, and many others—is implemented as a taint-tracking query. Understanding the configuration, the path-query form, barriers, and debugging is therefore the highest-leverage skill in the system.</w:t>
      </w:r>
    </w:p>
    <w:p>
      <w:pPr>
        <w:pStyle w:val="Heading2"/>
      </w:pPr>
      <w:bookmarkStart w:name="_Toc6" w:id="6"/>
      <w:r>
        <w:t xml:space="preserve">Sources</w:t>
      </w:r>
      <w:bookmarkEnd w:id="6"/>
    </w:p>
    <w:p>
      <w:pPr>
        <w:spacing w:after="110" w:line="276"/>
      </w:pPr>
      <w:r>
        <w:rPr>
          <w:sz w:val="22"/>
          <w:szCs w:val="22"/>
        </w:rPr>
        <w:t xml:space="preserve">A source is a node that produces untrusted data. The standard libraries define RemoteFlowSource (and language-specific equivalents) for HTTP parameters, query strings, request bodies, headers, and similar inputs. In real codebases you almost always need additional sources: internal request wrappers, message-queue consumers, file uploads, environment variables read from untrusted contexts, or deserialization entry points. Adding them is done by subclassing the appropriate source class or by writing a predicate that identifies the nodes (see Chapter 10).</w:t>
      </w:r>
    </w:p>
    <w:p>
      <w:pPr>
        <w:pStyle w:val="Heading2"/>
      </w:pPr>
      <w:bookmarkStart w:name="_Toc7" w:id="7"/>
      <w:r>
        <w:t xml:space="preserve">Sinks</w:t>
      </w:r>
      <w:bookmarkEnd w:id="7"/>
    </w:p>
    <w:p>
      <w:pPr>
        <w:spacing w:after="110" w:line="276"/>
      </w:pPr>
      <w:r>
        <w:rPr>
          <w:sz w:val="22"/>
          <w:szCs w:val="22"/>
        </w:rPr>
        <w:t xml:space="preserve">A sink is a node where tainted data can cause harm. Examples include SQL execution APIs, shell command functions, HTML or JavaScript writers, file-system calls that interpret a path, LDAP query builders, and logging functions that might later be viewed in a privileged context. The libraries already model many common sinks. When your code uses a data-access layer or framework helper, you extend the sink classes so existing queries recognize them.</w:t>
      </w:r>
    </w:p>
    <w:p>
      <w:pPr>
        <w:pStyle w:val="Heading2"/>
      </w:pPr>
      <w:bookmarkStart w:name="_Toc8" w:id="8"/>
      <w:r>
        <w:t xml:space="preserve">Barriers (Sanitizers)</w:t>
      </w:r>
      <w:bookmarkEnd w:id="8"/>
    </w:p>
    <w:p>
      <w:pPr>
        <w:spacing w:after="110" w:line="276"/>
      </w:pPr>
      <w:r>
        <w:rPr>
          <w:sz w:val="22"/>
          <w:szCs w:val="22"/>
        </w:rPr>
        <w:t xml:space="preserve">A barrier is a node that removes taint. Typical barriers are encoding functions (HTML, URL, JavaScript), validation routines that reject malicious input, prepared-statement parameter binding, and allow-list checks. Implementing isBarrier inside the configuration is the main way to eliminate false positives. Barriers should be as precise as possible; an overly broad barrier silently drops true positives.</w:t>
      </w:r>
    </w:p>
    <w:p>
      <w:pPr>
        <w:pStyle w:val="Heading2"/>
      </w:pPr>
      <w:bookmarkStart w:name="_Toc9" w:id="9"/>
      <w:r>
        <w:t xml:space="preserve">The Path-Query Form</w:t>
      </w:r>
      <w:bookmarkEnd w:id="9"/>
    </w:p>
    <w:p>
      <w:pPr>
        <w:spacing w:after="110" w:line="276"/>
      </w:pPr>
      <w:r>
        <w:rPr>
          <w:sz w:val="22"/>
          <w:szCs w:val="22"/>
        </w:rPr>
        <w:t xml:space="preserve">To display the path from source to sink, the query must be annotated @kind path-problem, import the PathGraph, and use a select clause that supplies the sink node, the source path node, the sink path node, and a message. The tooling then renders the full path in GitHub and in the editor.</w:t>
      </w:r>
    </w:p>
    <w:p>
      <w:pPr>
        <w:spacing w:after="110" w:line="276"/>
      </w:pPr>
      <w:r>
        <w:rPr>
          <w:sz w:val="22"/>
          <w:szCs w:val="22"/>
        </w:rPr>
        <w:t xml:space="preserve">Complete DOM XSS example:</w:t>
      </w:r>
    </w:p>
    <w:p>
      <w:pPr>
        <w:spacing w:after="20" w:before="80"/>
      </w:pP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 @kind path-problem</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 @id mustlearn/dom-xss</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 @name DOM-based XSS</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 @description Tainted data reaches a DOM XSS sink.</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 @problem.severity error</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 @precision high</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import javascript</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module XssConfig implements DataFlow::ConfigSig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predicate isSource(DataFlow::Node n)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n instanceof RemoteFlowSource</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predicate isSink(DataFlow::Node n)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n instanceof DomBasedXssSink</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predicate isBarrier(DataFlow::Node n)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n = any(CallExpr c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c.getCalleeName() = "encodeURI" or</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c.getCalleeName() = "escapeHtml"</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).flow()</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module XssFlow = TaintTracking::Global&lt;XssConfig&gt;;</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import XssFlow::PathGraph</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from XssFlow::PathNode source, XssFlow::PathNode sink</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where XssFlow::flowPath(source, sink)</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select sink.getNode(), source, sink,</w:t>
      </w:r>
    </w:p>
    <w:p>
      <w:pPr>
        <w:pBdr>
          <w:left w:val="single" w:color="2E75B6" w:sz="16" w:space="8"/>
        </w:pBdr>
        <w:shd w:fill="F7F9FC" w:val="clear"/>
        <w:spacing w:after="0" w:line="240"/>
        <w:ind w:left="360"/>
      </w:pPr>
      <w:r>
        <w:rPr>
          <w:rFonts w:ascii="Consolas" w:cs="Consolas" w:eastAsia="Consolas" w:hAnsi="Consolas"/>
          <w:color w:val="1E293B"/>
          <w:sz w:val="18"/>
          <w:szCs w:val="18"/>
        </w:rPr>
        <w:t xml:space="preserve">  "XSS via $@.", source.getNode(), "user-controlled input"</w:t>
      </w:r>
    </w:p>
    <w:p>
      <w:pPr>
        <w:spacing w:after="100" w:before="20"/>
      </w:pPr>
    </w:p>
    <w:p>
      <w:pPr>
        <w:spacing w:after="110" w:line="276"/>
      </w:pPr>
      <w:r>
        <w:rPr>
          <w:sz w:val="22"/>
          <w:szCs w:val="22"/>
        </w:rPr>
        <w:t xml:space="preserve">The query is at examples/chapter09/xss-path.ql. The $@ syntax in the message creates a hyperlink back to the source, which helps developers understand the alert.</w:t>
      </w:r>
    </w:p>
    <w:p>
      <w:pPr>
        <w:pStyle w:val="Heading2"/>
      </w:pPr>
      <w:bookmarkStart w:name="_Toc10" w:id="10"/>
      <w:r>
        <w:t xml:space="preserve">Additional Flow Steps</w:t>
      </w:r>
      <w:bookmarkEnd w:id="10"/>
    </w:p>
    <w:p>
      <w:pPr>
        <w:spacing w:after="110" w:line="276"/>
      </w:pPr>
      <w:r>
        <w:rPr>
          <w:sz w:val="22"/>
          <w:szCs w:val="22"/>
        </w:rPr>
        <w:t xml:space="preserve">When taint stops at a library call the default models do not understand, add an isAdditionalFlowStep (or the taint-tracking equivalent) that connects the incoming node to the outgoing node. For example, a function that returns its argument unchanged, or a method that copies a field into a result, needs an explicit step. Add the step only after you have confirmed with a concrete example that the path is missing without it.</w:t>
      </w:r>
    </w:p>
    <w:p>
      <w:pPr>
        <w:pStyle w:val="Heading2"/>
      </w:pPr>
      <w:bookmarkStart w:name="_Toc11" w:id="11"/>
      <w:r>
        <w:t xml:space="preserve">Flow State for Higher Precision</w:t>
      </w:r>
      <w:bookmarkEnd w:id="11"/>
    </w:p>
    <w:p>
      <w:pPr>
        <w:spacing w:after="110" w:line="276"/>
      </w:pPr>
      <w:r>
        <w:rPr>
          <w:sz w:val="22"/>
          <w:szCs w:val="22"/>
        </w:rPr>
        <w:t xml:space="preserve">Flow state (labels) lets you attach a set of tokens to each tracked value. A step can preserve, add, or remove tokens. A sink can require that a particular token be present, and a barrier can clear a token. Common uses include tracking whether data has already been HTML-encoded, distinguishing cookie values from query parameters, or recording that a value passed through a specific validation routine. Flow state increases precision when a simple tainted/not-tainted bit is insufficient, at the cost of a more complex configuration.</w:t>
      </w:r>
    </w:p>
    <w:p>
      <w:pPr>
        <w:pStyle w:val="Heading2"/>
      </w:pPr>
      <w:bookmarkStart w:name="_Toc12" w:id="12"/>
      <w:r>
        <w:t xml:space="preserve">Partial-Flow Debugging</w:t>
      </w:r>
      <w:bookmarkEnd w:id="12"/>
    </w:p>
    <w:p>
      <w:pPr>
        <w:spacing w:after="110" w:line="276"/>
      </w:pPr>
      <w:r>
        <w:rPr>
          <w:sz w:val="22"/>
          <w:szCs w:val="22"/>
        </w:rPr>
        <w:t xml:space="preserve">When a path you expect does not appear, partial-flow predicates show how far taint actually traveled. Select the partial paths and examine the last node reached. That frontier almost always identifies the missing model, the accidental barrier, or the incorrect source/sink predicate. A reliable debugging loop is:</w:t>
      </w:r>
    </w:p>
    <w:p>
      <w:pPr>
        <w:spacing w:after="110" w:line="276"/>
      </w:pPr>
      <w:r>
        <w:rPr>
          <w:sz w:val="22"/>
          <w:szCs w:val="22"/>
        </w:rPr>
        <w:t xml:space="preserve">1. Select all sources independently and confirm they match.</w:t>
      </w:r>
    </w:p>
    <w:p>
      <w:pPr>
        <w:spacing w:after="110" w:line="276"/>
      </w:pPr>
      <w:r>
        <w:rPr>
          <w:sz w:val="22"/>
          <w:szCs w:val="22"/>
        </w:rPr>
        <w:t xml:space="preserve">2. Select all sinks independently and confirm they match.</w:t>
      </w:r>
    </w:p>
    <w:p>
      <w:pPr>
        <w:spacing w:after="110" w:line="276"/>
      </w:pPr>
      <w:r>
        <w:rPr>
          <w:sz w:val="22"/>
          <w:szCs w:val="22"/>
        </w:rPr>
        <w:t xml:space="preserve">3. Temporarily disable barriers and re-run.</w:t>
      </w:r>
    </w:p>
    <w:p>
      <w:pPr>
        <w:spacing w:after="110" w:line="276"/>
      </w:pPr>
      <w:r>
        <w:rPr>
          <w:sz w:val="22"/>
          <w:szCs w:val="22"/>
        </w:rPr>
        <w:t xml:space="preserve">4. Use partial flow to locate the stopping point.</w:t>
      </w:r>
    </w:p>
    <w:p>
      <w:pPr>
        <w:spacing w:after="110" w:line="276"/>
      </w:pPr>
      <w:r>
        <w:rPr>
          <w:sz w:val="22"/>
          <w:szCs w:val="22"/>
        </w:rPr>
        <w:t xml:space="preserve">5. Add the missing step or adjust the barrier, then restore constraints one by one.</w:t>
      </w:r>
    </w:p>
    <w:p>
      <w:pPr>
        <w:pStyle w:val="Heading2"/>
      </w:pPr>
      <w:bookmarkStart w:name="_Toc13" w:id="13"/>
      <w:r>
        <w:t xml:space="preserve">Exercises</w:t>
      </w:r>
      <w:bookmarkEnd w:id="13"/>
    </w:p>
    <w:p>
      <w:pPr>
        <w:spacing w:after="110" w:line="276"/>
      </w:pPr>
      <w:r>
        <w:rPr>
          <w:sz w:val="22"/>
          <w:szCs w:val="22"/>
        </w:rPr>
        <w:t xml:space="preserve">Exercise 9.1 — SQL Injection. Open examples/chapter09/exercise-sql-injection.ql. Replace the placeholder sink with a realistic condition (or create sample code that calls a function named query). Confirm that unsanitized remote input produces a path and that a barrier eliminates it.</w:t>
      </w:r>
    </w:p>
    <w:p>
      <w:pPr>
        <w:spacing w:after="110" w:line="276"/>
      </w:pPr>
      <w:r>
        <w:rPr>
          <w:sz w:val="22"/>
          <w:szCs w:val="22"/>
        </w:rPr>
        <w:t xml:space="preserve">Exercise 9.2 — Barrier. Open examples/chapter09/exercise-add-barrier.ql. Implement isBarrier so flow stops at sanitize or escapeHtml. Paths through the sanitizer must disappear; paths that avoid it must remain.</w:t>
      </w:r>
    </w:p>
    <w:p>
      <w:pPr>
        <w:spacing w:after="110" w:line="276"/>
      </w:pPr>
      <w:r>
        <w:rPr>
          <w:sz w:val="22"/>
          <w:szCs w:val="22"/>
        </w:rPr>
        <w:t xml:space="preserve">Exercise 9.3 — Partial Flow. Deliberately make the source predicate fail to match. Use partial flow or intermediate selects to discover the last reached node. Correct the source and verify the full path returns.</w:t>
      </w:r>
    </w:p>
    <w:p>
      <w:pPr>
        <w:spacing w:after="110" w:line="276"/>
      </w:pPr>
      <w:r>
        <w:rPr>
          <w:sz w:val="22"/>
          <w:szCs w:val="22"/>
        </w:rPr>
        <w:t xml:space="preserve">Exercise 9.4 — Precision Tuning. Start with the XSS path query. Add one barrier and note how many alerts disappear. Remove it and add one additional flow step; note the opposite effect. Record both outcomes.</w:t>
      </w:r>
    </w:p>
    <w:p>
      <w:pPr>
        <w:pStyle w:val="Heading2"/>
      </w:pPr>
      <w:bookmarkStart w:name="_Toc14" w:id="14"/>
      <w:r>
        <w:t xml:space="preserve">Common Pitfalls</w:t>
      </w:r>
      <w:bookmarkEnd w:id="14"/>
    </w:p>
    <w:p>
      <w:pPr>
        <w:spacing w:after="110" w:line="276"/>
      </w:pPr>
      <w:r>
        <w:rPr>
          <w:sz w:val="22"/>
          <w:szCs w:val="22"/>
        </w:rPr>
        <w:t xml:space="preserve">Overly broad sources (every string is a source) produce noise and slow the analysis. Missing models for internal wrappers create false negatives. Barriers that match too much create false negatives of a different kind. Forgetting the PathGraph import or using the wrong select form prevents path display. Building the database without required dependencies means call targets are unresolved and flow stops prematurely. Always maintain a small suite of positive and negative tests and re-run them after every change and after every CodeQL upgrade.</w:t>
      </w:r>
    </w:p>
    <w:p>
      <w:pPr>
        <w:pStyle w:val="Heading2"/>
      </w:pPr>
      <w:bookmarkStart w:name="_Toc15" w:id="15"/>
      <w:r>
        <w:t xml:space="preserve">Moving to Production</w:t>
      </w:r>
      <w:bookmarkEnd w:id="15"/>
    </w:p>
    <w:p>
      <w:pPr>
        <w:spacing w:after="110" w:line="276"/>
      </w:pPr>
      <w:r>
        <w:rPr>
          <w:sz w:val="22"/>
          <w:szCs w:val="22"/>
        </w:rPr>
        <w:t xml:space="preserve">When the query is stable on your tests, complete the metadata (@precision, severity, tags), add expected-result tests, place the query in a pack, and include it in a suite executed by CI. The alert then appears on every pull request. Revisit the query after library upgrades; improved standard models sometimes let you delete custom steps or barriers you previously needed.</w:t>
      </w:r>
    </w:p>
    <w:p>
      <w:pPr>
        <w:pStyle w:val="Heading1"/>
        <w:pageBreakBefore/>
      </w:pPr>
      <w:bookmarkStart w:name="_Toc16" w:id="16"/>
      <w:r>
        <w:t xml:space="preserve">Chapter 10: Library Extension</w:t>
      </w:r>
      <w:bookmarkEnd w:id="16"/>
    </w:p>
    <w:p>
      <w:pPr>
        <w:spacing w:after="110" w:line="276"/>
      </w:pPr>
      <w:r>
        <w:rPr>
          <w:sz w:val="22"/>
          <w:szCs w:val="22"/>
        </w:rPr>
        <w:t xml:space="preserve">Custom sources, sinks, and flow summaries let standard queries understand internal frameworks. Model packs distribute the extensions. See examples/chapter10/ and the exercises there. Test models with the same positive/negative discipline used for queries.</w:t>
      </w:r>
    </w:p>
    <w:p>
      <w:pPr>
        <w:pStyle w:val="Heading1"/>
        <w:pageBreakBefore/>
      </w:pPr>
      <w:bookmarkStart w:name="_Toc17" w:id="17"/>
      <w:r>
        <w:t xml:space="preserve">Chapter 11: Packs, Suites, and Production Use</w:t>
      </w:r>
      <w:bookmarkEnd w:id="17"/>
    </w:p>
    <w:p>
      <w:pPr>
        <w:spacing w:after="110" w:line="276"/>
      </w:pPr>
      <w:r>
        <w:rPr>
          <w:sz w:val="22"/>
          <w:szCs w:val="22"/>
        </w:rPr>
        <w:t xml:space="preserve">qlpack.yml defines packs and dependencies. .qls files select queries. Complete metadata and expected-result tests are required before sharing. Examples in examples/chapter11/.</w:t>
      </w:r>
    </w:p>
    <w:p>
      <w:pPr>
        <w:pStyle w:val="Heading1"/>
        <w:pageBreakBefore/>
      </w:pPr>
      <w:bookmarkStart w:name="_Toc18" w:id="18"/>
      <w:r>
        <w:t xml:space="preserve">Chapter 12: CI Integration</w:t>
      </w:r>
      <w:bookmarkEnd w:id="18"/>
    </w:p>
    <w:p>
      <w:pPr>
        <w:spacing w:after="110" w:line="276"/>
      </w:pPr>
      <w:r>
        <w:rPr>
          <w:sz w:val="22"/>
          <w:szCs w:val="22"/>
        </w:rPr>
        <w:t xml:space="preserve">The CodeQL GitHub Action or the CLI bundle runs analysis and uploads SARIF. Sample: examples/chapter12/codeql-analysis.yml. MRVA runs queries across many repositories.</w:t>
      </w:r>
    </w:p>
    <w:p>
      <w:pPr>
        <w:pStyle w:val="Heading1"/>
        <w:pageBreakBefore/>
      </w:pPr>
      <w:bookmarkStart w:name="_Toc19" w:id="19"/>
      <w:r>
        <w:t xml:space="preserve">Chapter 13: Performance and Debugging</w:t>
      </w:r>
      <w:bookmarkEnd w:id="19"/>
    </w:p>
    <w:p>
      <w:pPr>
        <w:spacing w:after="110" w:line="276"/>
      </w:pPr>
      <w:r>
        <w:rPr>
          <w:sz w:val="22"/>
          <w:szCs w:val="22"/>
        </w:rPr>
        <w:t xml:space="preserve">Precise predicates and partial-flow techniques keep analyses fast and diagnosable. See examples/chapter13/.</w:t>
      </w:r>
    </w:p>
    <w:p>
      <w:pPr>
        <w:pStyle w:val="Heading1"/>
        <w:pageBreakBefore/>
      </w:pPr>
      <w:bookmarkStart w:name="_Toc20" w:id="20"/>
      <w:r>
        <w:t xml:space="preserve">Chapter 14: Case Studies</w:t>
      </w:r>
      <w:bookmarkEnd w:id="20"/>
    </w:p>
    <w:p>
      <w:pPr>
        <w:spacing w:after="110" w:line="276"/>
      </w:pPr>
      <w:r>
        <w:rPr>
          <w:sz w:val="22"/>
          <w:szCs w:val="22"/>
        </w:rPr>
        <w:t xml:space="preserve">Security Lab write-ups and examples/chapter14/sql-injection-example.ql show complete patterns. Combine with your taint-tracking configurations and extensions.</w:t>
      </w:r>
    </w:p>
    <w:p>
      <w:pPr>
        <w:pStyle w:val="Heading1"/>
        <w:pageBreakBefore/>
      </w:pPr>
      <w:bookmarkStart w:name="_Toc21" w:id="21"/>
      <w:r>
        <w:t xml:space="preserve">Chapter 15: Best Practices</w:t>
      </w:r>
      <w:bookmarkEnd w:id="21"/>
    </w:p>
    <w:p>
      <w:pPr>
        <w:spacing w:after="110" w:line="276"/>
      </w:pPr>
      <w:r>
        <w:rPr>
          <w:sz w:val="22"/>
          <w:szCs w:val="22"/>
        </w:rPr>
        <w:t xml:space="preserve">Small tested predicates, library extension, precise barriers, and continuous positive/negative testing produce alerts developers trust.</w:t>
      </w:r>
    </w:p>
    <w:p>
      <w:pPr>
        <w:pStyle w:val="Heading1"/>
        <w:pageBreakBefore/>
      </w:pPr>
      <w:bookmarkStart w:name="_Toc22" w:id="22"/>
      <w:r>
        <w:t xml:space="preserve">Appendix</w:t>
      </w:r>
      <w:bookmarkEnd w:id="22"/>
    </w:p>
    <w:p>
      <w:pPr>
        <w:spacing w:after="110" w:line="276"/>
      </w:pPr>
      <w:r>
        <w:rPr>
          <w:sz w:val="22"/>
          <w:szCs w:val="22"/>
        </w:rPr>
        <w:t xml:space="preserve">Taint-tracking exercises and xss-path.ql are in examples/chapter09/. Official documentation: https://codeql.github.com/docs/. Repository: https://github.com/rod-trent/MustLearnCodeQL.</w:t>
      </w:r>
    </w:p>
    <w:p>
      <w:pPr>
        <w:spacing w:before="240"/>
        <w:jc w:val="center"/>
      </w:pPr>
      <w:r>
        <w:rPr>
          <w:i/>
          <w:iCs/>
          <w:color w:val="666666"/>
          <w:sz w:val="20"/>
          <w:szCs w:val="20"/>
        </w:rPr>
        <w:t xml:space="preserve">End of Must Learn CodeQL</w:t>
      </w: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1"/>
      </w:pBd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6" w:space="1"/>
      </w:pBdr>
      <w:jc w:val="right"/>
    </w:pPr>
    <w:r>
      <w:rPr>
        <w:i/>
        <w:iCs/>
        <w:color w:val="6B7280"/>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70" w:before="180"/>
      <w:outlineLvl w:val="1"/>
    </w:pPr>
    <w:rPr>
      <w:rFonts w:ascii="Calibri" w:cs="Calibri" w:eastAsia="Calibri" w:hAnsi="Calibri"/>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lfdbtqpnfat6ienljtaxp"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2026-10-15T17:09:35.554Z</dcterms:created>
  <dcterms:modified xsi:type="dcterms:W3CDTF">2026-10-15T17:09:35.555Z</dcterms:modified>
</cp:coreProperties>
</file>

<file path=docProps/custom.xml><?xml version="1.0" encoding="utf-8"?>
<Properties xmlns="http://schemas.openxmlformats.org/officeDocument/2006/custom-properties" xmlns:vt="http://schemas.openxmlformats.org/officeDocument/2006/docPropsVTypes"/>
</file>