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4E79"/>
          <w:sz w:val="48"/>
          <w:szCs w:val="48"/>
        </w:rPr>
        <w:t xml:space="preserve">Must Learn CodeQL</w:t>
      </w:r>
    </w:p>
    <w:p>
      <w:pPr>
        <w:spacing w:after="200"/>
        <w:jc w:val="center"/>
      </w:pPr>
      <w:r>
        <w:rPr>
          <w:i/>
          <w:iCs/>
          <w:color w:val="5B9BD5"/>
          <w:sz w:val="24"/>
          <w:szCs w:val="24"/>
        </w:rPr>
        <w:t xml:space="preserve">A Practical Guide to Semantic Code Analysis</w:t>
      </w:r>
    </w:p>
    <w:p>
      <w:pPr>
        <w:jc w:val="center"/>
      </w:pPr>
      <w:r>
        <w:rPr>
          <w:sz w:val="22"/>
          <w:szCs w:val="22"/>
        </w:rPr>
        <w:t xml:space="preserve">Rod Trent • 2026</w:t>
      </w:r>
    </w:p>
    <w:p>
      <w:pPr>
        <w:spacing w:before="120"/>
        <w:jc w:val="center"/>
      </w:pPr>
      <w:hyperlink w:history="1" r:id="rId5be9xnzvbf8hn36pcy6ky">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Chapters 1–9 Summary</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10: CodeQL Library Extension</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Why Library Extension Matters</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Adding Custom Sources</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Adding Custom Sinks</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Flow Summaries and Additional Steps</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Model Packs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Testing Extensions Thoroughly</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Language-Specific Patterns</w:t>
            </w:r>
            <w:r>
              <w:tab/>
            </w:r>
            <w:r>
              <w:fldChar w:fldCharType="begin" w:dirty="true"/>
              <w:instrText xml:space="preserve">PAGEREF _Toc11 \h</w:instrText>
              <w:fldChar w:fldCharType="separate"/>
              <w:fldChar w:fldCharType="end"/>
            </w:r>
          </w:hyperlink>
        </w:p>
        <w:p>
          <w:pPr>
            <w:pStyle w:val="TOC2"/>
            <w:tabs>
              <w:tab w:val="right" w:pos="9648" w:leader="dot"/>
            </w:tabs>
            <w:ind w:left="220"/>
          </w:pPr>
          <w:hyperlink w:history="1" w:anchor="_Toc12">
            <w:r>
              <w:t xml:space="preserve">Exercises</w:t>
            </w:r>
            <w:r>
              <w:tab/>
            </w:r>
            <w:r>
              <w:fldChar w:fldCharType="begin" w:dirty="true"/>
              <w:instrText xml:space="preserve">PAGEREF _Toc12 \h</w:instrText>
              <w:fldChar w:fldCharType="separate"/>
              <w:fldChar w:fldCharType="end"/>
            </w:r>
          </w:hyperlink>
        </w:p>
        <w:p>
          <w:pPr>
            <w:pStyle w:val="TOC2"/>
            <w:tabs>
              <w:tab w:val="right" w:pos="9648" w:leader="dot"/>
            </w:tabs>
            <w:ind w:left="220"/>
          </w:pPr>
          <w:hyperlink w:history="1" w:anchor="_Toc13">
            <w:r>
              <w:t xml:space="preserve">Contribution and Maintenance</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Putting Extensions to Work</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Chapter 11: Packs, Suites, and Production Use</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Chapter 12: CI Integration</w:t>
            </w:r>
            <w:r>
              <w:tab/>
            </w:r>
            <w:r>
              <w:fldChar w:fldCharType="begin" w:dirty="true"/>
              <w:instrText xml:space="preserve">PAGEREF _Toc16 \h</w:instrText>
              <w:fldChar w:fldCharType="separate"/>
              <w:fldChar w:fldCharType="end"/>
            </w:r>
          </w:hyperlink>
        </w:p>
        <w:p>
          <w:pPr>
            <w:pStyle w:val="TOC1"/>
            <w:tabs>
              <w:tab w:val="right" w:pos="9648" w:leader="dot"/>
            </w:tabs>
          </w:pPr>
          <w:hyperlink w:history="1" w:anchor="_Toc17">
            <w:r>
              <w:t xml:space="preserve">Chapter 13: Performance and Debugging</w:t>
            </w:r>
            <w:r>
              <w:tab/>
            </w:r>
            <w:r>
              <w:fldChar w:fldCharType="begin" w:dirty="true"/>
              <w:instrText xml:space="preserve">PAGEREF _Toc17 \h</w:instrText>
              <w:fldChar w:fldCharType="separate"/>
              <w:fldChar w:fldCharType="end"/>
            </w:r>
          </w:hyperlink>
        </w:p>
        <w:p>
          <w:pPr>
            <w:pStyle w:val="TOC1"/>
            <w:tabs>
              <w:tab w:val="right" w:pos="9648" w:leader="dot"/>
            </w:tabs>
          </w:pPr>
          <w:hyperlink w:history="1" w:anchor="_Toc18">
            <w:r>
              <w:t xml:space="preserve">Chapter 14: Case Studies</w:t>
            </w:r>
            <w:r>
              <w:tab/>
            </w:r>
            <w:r>
              <w:fldChar w:fldCharType="begin" w:dirty="true"/>
              <w:instrText xml:space="preserve">PAGEREF _Toc18 \h</w:instrText>
              <w:fldChar w:fldCharType="separate"/>
              <w:fldChar w:fldCharType="end"/>
            </w:r>
          </w:hyperlink>
        </w:p>
        <w:p>
          <w:pPr>
            <w:pStyle w:val="TOC1"/>
            <w:tabs>
              <w:tab w:val="right" w:pos="9648" w:leader="dot"/>
            </w:tabs>
          </w:pPr>
          <w:hyperlink w:history="1" w:anchor="_Toc19">
            <w:r>
              <w:t xml:space="preserve">Chapter 15: Best Practices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Appendix</w:t>
            </w:r>
            <w:r>
              <w:tab/>
            </w:r>
            <w:r>
              <w:fldChar w:fldCharType="begin" w:dirty="true"/>
              <w:instrText xml:space="preserve">PAGEREF _Toc20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20" w:line="276"/>
      </w:pPr>
      <w:r>
        <w:rPr>
          <w:sz w:val="22"/>
          <w:szCs w:val="22"/>
        </w:rPr>
        <w:t xml:space="preserve">Chapter 10 on library extension has been expanded with additional explanations, modeling patterns, testing guidance, and exercises. Starter files are in examples/chapter10/.</w:t>
      </w:r>
    </w:p>
    <w:p>
      <w:pPr>
        <w:pStyle w:val="Heading1"/>
        <w:pageBreakBefore/>
      </w:pPr>
      <w:bookmarkStart w:name="_Toc3" w:id="3"/>
      <w:r>
        <w:t xml:space="preserve">Chapters 1–9 Summary</w:t>
      </w:r>
      <w:bookmarkEnd w:id="3"/>
    </w:p>
    <w:p>
      <w:pPr>
        <w:spacing w:after="120" w:line="276"/>
      </w:pPr>
      <w:r>
        <w:rPr>
          <w:sz w:val="22"/>
          <w:szCs w:val="22"/>
        </w:rPr>
        <w:t xml:space="preserve">Earlier chapters cover why CodeQL exists, database creation, QL fundamentals, custom predicates, first queries, language libraries, data-flow analysis, and taint tracking with path queries. Configurations define sources and sinks; barriers and additional flow steps refine precision. Exercises for data flow and taint tracking are in examples/chapter08/ and examples/chapter09/.</w:t>
      </w:r>
    </w:p>
    <w:p>
      <w:pPr>
        <w:pStyle w:val="Heading1"/>
        <w:pageBreakBefore/>
      </w:pPr>
      <w:bookmarkStart w:name="_Toc4" w:id="4"/>
      <w:r>
        <w:t xml:space="preserve">Chapter 10: CodeQL Library Extension</w:t>
      </w:r>
      <w:bookmarkEnd w:id="4"/>
    </w:p>
    <w:p>
      <w:pPr>
        <w:pStyle w:val="Heading2"/>
      </w:pPr>
      <w:bookmarkStart w:name="_Toc5" w:id="5"/>
      <w:r>
        <w:t xml:space="preserve">Why Library Extension Matters</w:t>
      </w:r>
      <w:bookmarkEnd w:id="5"/>
    </w:p>
    <w:p>
      <w:pPr>
        <w:spacing w:after="120" w:line="276"/>
      </w:pPr>
      <w:r>
        <w:rPr>
          <w:sz w:val="22"/>
          <w:szCs w:val="22"/>
        </w:rPr>
        <w:t xml:space="preserve">The standard CodeQL libraries contain high-quality models for many popular frameworks and APIs, but they cannot anticipate every internal helper, every thin wrapper around a dangerous function, or every niche third-party package your organization uses. Without extensions, taint stops at the boundary of an unmodeled function and real vulnerabilities are missed. With extensions, every existing security query automatically understands your code.</w:t>
      </w:r>
    </w:p>
    <w:p>
      <w:pPr>
        <w:spacing w:after="120" w:line="276"/>
      </w:pPr>
      <w:r>
        <w:rPr>
          <w:sz w:val="22"/>
          <w:szCs w:val="22"/>
        </w:rPr>
        <w:t xml:space="preserve">Extension is almost always more effective than rewriting queries. One accurate model of an internal executeQuery method improves every SQL-injection query at once. One accurate model of a getUserInput helper improves every query that looks for remote flow. The leverage is the reason modeling is preferred.</w:t>
      </w:r>
    </w:p>
    <w:p>
      <w:pPr>
        <w:pStyle w:val="Heading2"/>
      </w:pPr>
      <w:bookmarkStart w:name="_Toc6" w:id="6"/>
      <w:r>
        <w:t xml:space="preserve">Adding Custom Sources</w:t>
      </w:r>
      <w:bookmarkEnd w:id="6"/>
    </w:p>
    <w:p>
      <w:pPr>
        <w:spacing w:after="120" w:line="276"/>
      </w:pPr>
      <w:r>
        <w:rPr>
          <w:sz w:val="22"/>
          <w:szCs w:val="22"/>
        </w:rPr>
        <w:t xml:space="preserve">The most common extension recognizes additional functions as sources of untrusted data. Subclass the appropriate remote-flow-source class:</w:t>
      </w:r>
    </w:p>
    <w:p>
      <w:pPr>
        <w:spacing w:after="30" w:before="100"/>
      </w:pP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import javascript</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 </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 * Treat calls to getUserInput as remote flow sources.</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 */</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class CustomRemoteSource extends RemoteFlowSource {</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  CustomRemoteSource() {</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    this = any(CallExpr c | c.getCalleeName() = "getUserInput").flow()</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  }</w:t>
      </w:r>
    </w:p>
    <w:p>
      <w:pPr>
        <w:pBdr>
          <w:left w:val="single" w:color="2E75B6" w:sz="18" w:space="10"/>
        </w:pBdr>
        <w:shd w:fill="F7F9FC" w:val="clear"/>
        <w:spacing w:after="0" w:line="240"/>
        <w:ind w:left="400"/>
      </w:pPr>
      <w:r>
        <w:rPr>
          <w:rFonts w:ascii="Consolas" w:cs="Consolas" w:eastAsia="Consolas" w:hAnsi="Consolas"/>
          <w:color w:val="1E293B"/>
          <w:sz w:val="18"/>
          <w:szCs w:val="18"/>
        </w:rPr>
        <w:t xml:space="preserve">}</w:t>
      </w:r>
    </w:p>
    <w:p>
      <w:pPr>
        <w:spacing w:after="120" w:before="30"/>
      </w:pPr>
    </w:p>
    <w:p>
      <w:pPr>
        <w:spacing w:after="120" w:line="276"/>
      </w:pPr>
      <w:r>
        <w:rPr>
          <w:sz w:val="22"/>
          <w:szCs w:val="22"/>
        </w:rPr>
        <w:t xml:space="preserve">Once this class is in scope, every query that looks for RemoteFlowSource will include calls to getUserInput. The complete file is examples/chapter10/custom-source.ql. You can write analogous subclasses for file reads, message-bus payloads, environment variables, or any other origin your threat model considers untrusted.</w:t>
      </w:r>
    </w:p>
    <w:p>
      <w:pPr>
        <w:pStyle w:val="Heading2"/>
      </w:pPr>
      <w:bookmarkStart w:name="_Toc7" w:id="7"/>
      <w:r>
        <w:t xml:space="preserve">Adding Custom Sinks</w:t>
      </w:r>
      <w:bookmarkEnd w:id="7"/>
    </w:p>
    <w:p>
      <w:pPr>
        <w:spacing w:after="120" w:line="276"/>
      </w:pPr>
      <w:r>
        <w:rPr>
          <w:sz w:val="22"/>
          <w:szCs w:val="22"/>
        </w:rPr>
        <w:t xml:space="preserve">Sinks are extended the same way. If your data-access layer exposes a method that ultimately runs SQL, HTML, or a shell command, declare calls to it as the corresponding sink type. After the declaration, every relevant query in the standard library (and your own queries) will treat those calls as sinks without further modification.</w:t>
      </w:r>
    </w:p>
    <w:p>
      <w:pPr>
        <w:spacing w:after="120" w:line="276"/>
      </w:pPr>
      <w:r>
        <w:rPr>
          <w:sz w:val="22"/>
          <w:szCs w:val="22"/>
        </w:rPr>
        <w:t xml:space="preserve">A minimal illustration of identifying a candidate sink appears in examples/chapter10/exercise-custom-sink.ql. Completing that exercise means turning the candidate into a proper modeled sink that participates in taint tracking.</w:t>
      </w:r>
    </w:p>
    <w:p>
      <w:pPr>
        <w:pStyle w:val="Heading2"/>
      </w:pPr>
      <w:bookmarkStart w:name="_Toc8" w:id="8"/>
      <w:r>
        <w:t xml:space="preserve">Flow Summaries and Additional Steps</w:t>
      </w:r>
      <w:bookmarkEnd w:id="8"/>
    </w:p>
    <w:p>
      <w:pPr>
        <w:spacing w:after="120" w:line="276"/>
      </w:pPr>
      <w:r>
        <w:rPr>
          <w:sz w:val="22"/>
          <w:szCs w:val="22"/>
        </w:rPr>
        <w:t xml:space="preserve">Many library functions neither introduce new taint nor completely sanitize it; they simply transform or forward data. A flow summary (or an additional flow step inside a configuration) describes that relationship. You state which argument flows to the result, or that the receiver flows to the return value.</w:t>
      </w:r>
    </w:p>
    <w:p>
      <w:pPr>
        <w:spacing w:after="120" w:line="276"/>
      </w:pPr>
      <w:r>
        <w:rPr>
          <w:sz w:val="22"/>
          <w:szCs w:val="22"/>
        </w:rPr>
        <w:t xml:space="preserve">Summaries are preferable to ad-hoc additional steps when the relationship is simple and stable, because they are easier for the engine to optimize and easier for other authors to reuse. Use an additional step when the propagation logic is more complex or conditional.</w:t>
      </w:r>
    </w:p>
    <w:p>
      <w:pPr>
        <w:pStyle w:val="Heading2"/>
      </w:pPr>
      <w:bookmarkStart w:name="_Toc9" w:id="9"/>
      <w:r>
        <w:t xml:space="preserve">Model Packs</w:t>
      </w:r>
      <w:bookmarkEnd w:id="9"/>
    </w:p>
    <w:p>
      <w:pPr>
        <w:spacing w:after="120" w:line="276"/>
      </w:pPr>
      <w:r>
        <w:rPr>
          <w:sz w:val="22"/>
          <w:szCs w:val="22"/>
        </w:rPr>
        <w:t xml:space="preserve">Extensions can be packaged as model packs (data-extension packs). A model pack contains only the modeling code—no queries—and can be depended on by any query pack. This separation lets a platform or security team maintain the models for internal frameworks while application teams write or simply consume queries.</w:t>
      </w:r>
    </w:p>
    <w:p>
      <w:pPr>
        <w:spacing w:after="120" w:line="276"/>
      </w:pPr>
      <w:r>
        <w:rPr>
          <w:sz w:val="22"/>
          <w:szCs w:val="22"/>
        </w:rPr>
        <w:t xml:space="preserve">The pack format uses the same qlpack.yml style as query packs, with an appropriate type declaration. An application query pack then lists the model pack as a dependency. Once the dependency is declared, the custom sources, sinks, and summaries are automatically available.</w:t>
      </w:r>
    </w:p>
    <w:p>
      <w:pPr>
        <w:pStyle w:val="Heading2"/>
      </w:pPr>
      <w:bookmarkStart w:name="_Toc10" w:id="10"/>
      <w:r>
        <w:t xml:space="preserve">Testing Extensions Thoroughly</w:t>
      </w:r>
      <w:bookmarkEnd w:id="10"/>
    </w:p>
    <w:p>
      <w:pPr>
        <w:spacing w:after="120" w:line="276"/>
      </w:pPr>
      <w:r>
        <w:rPr>
          <w:sz w:val="22"/>
          <w:szCs w:val="22"/>
        </w:rPr>
        <w:t xml:space="preserve">An incorrect model is worse than a missing model because it silently affects every query that uses it. Create a small test database that contains:</w:t>
      </w:r>
    </w:p>
    <w:p>
      <w:pPr>
        <w:spacing w:after="120" w:line="276"/>
      </w:pPr>
      <w:r>
        <w:rPr>
          <w:sz w:val="22"/>
          <w:szCs w:val="22"/>
        </w:rPr>
        <w:t xml:space="preserve">• A true-positive case that must be reported.</w:t>
      </w:r>
    </w:p>
    <w:p>
      <w:pPr>
        <w:spacing w:after="120" w:line="276"/>
      </w:pPr>
      <w:r>
        <w:rPr>
          <w:sz w:val="22"/>
          <w:szCs w:val="22"/>
        </w:rPr>
        <w:t xml:space="preserve">• A true-negative case that must not be reported.</w:t>
      </w:r>
    </w:p>
    <w:p>
      <w:pPr>
        <w:spacing w:after="120" w:line="276"/>
      </w:pPr>
      <w:r>
        <w:rPr>
          <w:sz w:val="22"/>
          <w:szCs w:val="22"/>
        </w:rPr>
        <w:t xml:space="preserve">• Cases that exercise each additional flow step and each barrier you added.</w:t>
      </w:r>
    </w:p>
    <w:p>
      <w:pPr>
        <w:spacing w:after="120" w:line="276"/>
      </w:pPr>
      <w:r>
        <w:rPr>
          <w:sz w:val="22"/>
          <w:szCs w:val="22"/>
        </w:rPr>
        <w:t xml:space="preserve">Run the relevant standard queries (or your own) against this database and commit the expected results. Re-run the tests whenever you upgrade CodeQL or modify the models. The same expected-result discipline used for queries applies directly to models.</w:t>
      </w:r>
    </w:p>
    <w:p>
      <w:pPr>
        <w:pStyle w:val="Heading2"/>
      </w:pPr>
      <w:bookmarkStart w:name="_Toc11" w:id="11"/>
      <w:r>
        <w:t xml:space="preserve">Language-Specific Patterns</w:t>
      </w:r>
      <w:bookmarkEnd w:id="11"/>
    </w:p>
    <w:p>
      <w:pPr>
        <w:spacing w:after="120" w:line="276"/>
      </w:pPr>
      <w:r>
        <w:rPr>
          <w:sz w:val="22"/>
          <w:szCs w:val="22"/>
        </w:rPr>
        <w:t xml:space="preserve">JavaScript and Python often use call-graph or member-predicate style modeling and API graphs. Java and C# commonly subclass existing source or sink classes. C and C++ extensions frequently involve function summaries and points-to reasoning. The official language guides and the source of the standard libraries themselves are the best references for idiomatic style in each language. Start by copying a similar model from the standard library and adapting the names and structure.</w:t>
      </w:r>
    </w:p>
    <w:p>
      <w:pPr>
        <w:pStyle w:val="Heading2"/>
      </w:pPr>
      <w:bookmarkStart w:name="_Toc12" w:id="12"/>
      <w:r>
        <w:t xml:space="preserve">Exercises</w:t>
      </w:r>
      <w:bookmarkEnd w:id="12"/>
    </w:p>
    <w:p>
      <w:pPr>
        <w:spacing w:after="120" w:line="276"/>
      </w:pPr>
      <w:r>
        <w:rPr>
          <w:sz w:val="22"/>
          <w:szCs w:val="22"/>
        </w:rPr>
        <w:t xml:space="preserve">Exercise 10.1 — Second Custom Source. Extend the custom-source example with an additional origin, for example calls to readUntrustedFile or getConfigValue. Confirm that a standard taint-tracking query now reports flows originating from both functions.</w:t>
      </w:r>
    </w:p>
    <w:p>
      <w:pPr>
        <w:spacing w:after="120" w:line="276"/>
      </w:pPr>
      <w:r>
        <w:rPr>
          <w:sz w:val="22"/>
          <w:szCs w:val="22"/>
        </w:rPr>
        <w:t xml:space="preserve">Exercise 10.2 — Custom Sink. Open examples/chapter10/exercise-custom-sink.ql. Turn the dangerousExecute candidate into a proper modeled sink and reference it from a taint-tracking configuration. Verify that previously invisible flows ending at that call are now reported, while unrelated calls are ignored.</w:t>
      </w:r>
    </w:p>
    <w:p>
      <w:pPr>
        <w:spacing w:after="120" w:line="276"/>
      </w:pPr>
      <w:r>
        <w:rPr>
          <w:sz w:val="22"/>
          <w:szCs w:val="22"/>
        </w:rPr>
        <w:t xml:space="preserve">Exercise 10.3 — Model Pack Sketch. Create a minimal qlpack.yml that could serve as a model pack containing your custom source and sink. Document the dependency line an application query pack would need. (Full publishing steps appear in the packs chapter.)</w:t>
      </w:r>
    </w:p>
    <w:p>
      <w:pPr>
        <w:pStyle w:val="Heading2"/>
      </w:pPr>
      <w:bookmarkStart w:name="_Toc13" w:id="13"/>
      <w:r>
        <w:t xml:space="preserve">Contribution and Maintenance</w:t>
      </w:r>
      <w:bookmarkEnd w:id="13"/>
    </w:p>
    <w:p>
      <w:pPr>
        <w:spacing w:after="120" w:line="276"/>
      </w:pPr>
      <w:r>
        <w:rPr>
          <w:sz w:val="22"/>
          <w:szCs w:val="22"/>
        </w:rPr>
        <w:t xml:space="preserve">If your extension models a widely used open-source library, consider contributing it upstream. High-quality models benefit the entire community and reduce the amount of custom code you must maintain. Even for internal frameworks, keep the models in a dedicated pack with clear ownership, tests, and a short changelog so that application teams can depend on them with confidence.</w:t>
      </w:r>
    </w:p>
    <w:p>
      <w:pPr>
        <w:pStyle w:val="Heading2"/>
      </w:pPr>
      <w:bookmarkStart w:name="_Toc14" w:id="14"/>
      <w:r>
        <w:t xml:space="preserve">Putting Extensions to Work</w:t>
      </w:r>
      <w:bookmarkEnd w:id="14"/>
    </w:p>
    <w:p>
      <w:pPr>
        <w:spacing w:after="120" w:line="276"/>
      </w:pPr>
      <w:r>
        <w:rPr>
          <w:sz w:val="22"/>
          <w:szCs w:val="22"/>
        </w:rPr>
        <w:t xml:space="preserve">A mature setup typically looks like this: a model pack that describes your internal frameworks and any uncovered third-party libraries; a query pack that contains organization-specific queries plus dependencies on the standard security suites and your model pack; and a CI workflow that runs the combined analysis on every pull request. Data-flow and taint-tracking queries written against the standard source and sink classes automatically pick up your extensions, so most of the ongoing value comes from the models rather than from writing new queries.</w:t>
      </w:r>
    </w:p>
    <w:p>
      <w:pPr>
        <w:pStyle w:val="Heading1"/>
        <w:pageBreakBefore/>
      </w:pPr>
      <w:bookmarkStart w:name="_Toc15" w:id="15"/>
      <w:r>
        <w:t xml:space="preserve">Chapter 11: Packs, Suites, and Production Use</w:t>
      </w:r>
      <w:bookmarkEnd w:id="15"/>
    </w:p>
    <w:p>
      <w:pPr>
        <w:spacing w:after="120" w:line="276"/>
      </w:pPr>
      <w:r>
        <w:rPr>
          <w:sz w:val="22"/>
          <w:szCs w:val="22"/>
        </w:rPr>
        <w:t xml:space="preserve">Packs (qlpack.yml) distribute queries and models. Suites select what runs. Complete metadata and expected-result tests are required before production use. See examples/chapter11/.</w:t>
      </w:r>
    </w:p>
    <w:p>
      <w:pPr>
        <w:pStyle w:val="Heading1"/>
        <w:pageBreakBefore/>
      </w:pPr>
      <w:bookmarkStart w:name="_Toc16" w:id="16"/>
      <w:r>
        <w:t xml:space="preserve">Chapter 12: CI Integration</w:t>
      </w:r>
      <w:bookmarkEnd w:id="16"/>
    </w:p>
    <w:p>
      <w:pPr>
        <w:spacing w:after="120" w:line="276"/>
      </w:pPr>
      <w:r>
        <w:rPr>
          <w:sz w:val="22"/>
          <w:szCs w:val="22"/>
        </w:rPr>
        <w:t xml:space="preserve">Use the CodeQL GitHub Action or the CLI bundle. Sample workflow: examples/chapter12/codeql-analysis.yml. MRVA supports multi-repository runs.</w:t>
      </w:r>
    </w:p>
    <w:p>
      <w:pPr>
        <w:pStyle w:val="Heading1"/>
        <w:pageBreakBefore/>
      </w:pPr>
      <w:bookmarkStart w:name="_Toc17" w:id="17"/>
      <w:r>
        <w:t xml:space="preserve">Chapter 13: Performance and Debugging</w:t>
      </w:r>
      <w:bookmarkEnd w:id="17"/>
    </w:p>
    <w:p>
      <w:pPr>
        <w:spacing w:after="120" w:line="276"/>
      </w:pPr>
      <w:r>
        <w:rPr>
          <w:sz w:val="22"/>
          <w:szCs w:val="22"/>
        </w:rPr>
        <w:t xml:space="preserve">Prefer small predicates and partial-flow debugging. Example: examples/chapter13/performance-predicate.ql.</w:t>
      </w:r>
    </w:p>
    <w:p>
      <w:pPr>
        <w:pStyle w:val="Heading1"/>
        <w:pageBreakBefore/>
      </w:pPr>
      <w:bookmarkStart w:name="_Toc18" w:id="18"/>
      <w:r>
        <w:t xml:space="preserve">Chapter 14: Case Studies</w:t>
      </w:r>
      <w:bookmarkEnd w:id="18"/>
    </w:p>
    <w:p>
      <w:pPr>
        <w:spacing w:after="120" w:line="276"/>
      </w:pPr>
      <w:r>
        <w:rPr>
          <w:sz w:val="22"/>
          <w:szCs w:val="22"/>
        </w:rPr>
        <w:t xml:space="preserve">Security Lab Zero-to-Hero series and examples/chapter14/sql-injection-example.ql illustrate end-to-end patterns. Combine with your extensions.</w:t>
      </w:r>
    </w:p>
    <w:p>
      <w:pPr>
        <w:pStyle w:val="Heading1"/>
        <w:pageBreakBefore/>
      </w:pPr>
      <w:bookmarkStart w:name="_Toc19" w:id="19"/>
      <w:r>
        <w:t xml:space="preserve">Chapter 15: Best Practices</w:t>
      </w:r>
      <w:bookmarkEnd w:id="19"/>
    </w:p>
    <w:p>
      <w:pPr>
        <w:spacing w:after="120" w:line="276"/>
      </w:pPr>
      <w:r>
        <w:rPr>
          <w:sz w:val="22"/>
          <w:szCs w:val="22"/>
        </w:rPr>
        <w:t xml:space="preserve">Small tested predicates, library extension over duplication, precise barriers, and upstream contribution produce queries that developers trust.</w:t>
      </w:r>
    </w:p>
    <w:p>
      <w:pPr>
        <w:pStyle w:val="Heading1"/>
        <w:pageBreakBefore/>
      </w:pPr>
      <w:bookmarkStart w:name="_Toc20" w:id="20"/>
      <w:r>
        <w:t xml:space="preserve">Appendix</w:t>
      </w:r>
      <w:bookmarkEnd w:id="20"/>
    </w:p>
    <w:p>
      <w:pPr>
        <w:spacing w:after="120" w:line="276"/>
      </w:pPr>
      <w:r>
        <w:rPr>
          <w:sz w:val="22"/>
          <w:szCs w:val="22"/>
        </w:rPr>
        <w:t xml:space="preserve">Chapter 10 starters and EXERCISES.md are in examples/chapter10/. Official docs: https://codeql.github.com/docs/. Repository: https://github.com/rod-trent/MustLearnCodeQL.</w:t>
      </w:r>
    </w:p>
    <w:p>
      <w:pPr>
        <w:spacing w:before="300"/>
        <w:jc w:val="center"/>
      </w:pPr>
      <w:r>
        <w:rPr>
          <w:i/>
          <w:iCs/>
          <w:color w:val="666666"/>
          <w:sz w:val="20"/>
          <w:szCs w:val="20"/>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80" w:before="20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5be9xnzvbf8hn36pcy6ky"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2026-10-15T17:07:50.440Z</dcterms:created>
  <dcterms:modified xsi:type="dcterms:W3CDTF">2026-10-15T17:07:50.440Z</dcterms:modified>
</cp:coreProperties>
</file>

<file path=docProps/custom.xml><?xml version="1.0" encoding="utf-8"?>
<Properties xmlns="http://schemas.openxmlformats.org/officeDocument/2006/custom-properties" xmlns:vt="http://schemas.openxmlformats.org/officeDocument/2006/docPropsVTypes"/>
</file>