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Complete Practical Guide to Semantic Code Analysis</w:t>
      </w:r>
    </w:p>
    <w:p>
      <w:pPr>
        <w:spacing w:before="300"/>
        <w:jc w:val="center"/>
      </w:pPr>
      <w:r>
        <w:rPr>
          <w:sz w:val="26"/>
          <w:szCs w:val="26"/>
        </w:rPr>
        <w:t xml:space="preserve">Rod Trent • 2026</w:t>
      </w:r>
    </w:p>
    <w:p>
      <w:pPr>
        <w:spacing w:before="200"/>
        <w:jc w:val="center"/>
      </w:pPr>
      <w:hyperlink w:history="1" r:id="rIdvnzyozdgp9aten87c1wj5">
        <w:r>
          <w:rPr>
            <w:rStyle w:val="Hyperlink"/>
          </w:rPr>
          <w:t xml:space="preserve">github.com/rod-trent/MustLearnCodeQL</w:t>
        </w:r>
      </w:hyperlink>
    </w:p>
    <w:p>
      <w:pPr>
        <w:pStyle w:val="Heading1"/>
        <w:pageBreakBefore/>
      </w:pPr>
      <w:r>
        <w:t xml:space="preserve">How to Use This Book</w:t>
      </w:r>
    </w:p>
    <w:p>
      <w:pPr>
        <w:spacing w:after="140"/>
      </w:pPr>
      <w:r>
        <w:rPr>
          <w:sz w:val="22"/>
          <w:szCs w:val="22"/>
        </w:rPr>
        <w:t xml:space="preserve">This edition places special emphasis on data-flow analysis, taint tracking, and library extension—the capabilities that give CodeQL its power for security work. Earlier chapters establish the necessary foundations; the three focused chapters that follow contain extended explanations, multiple complete examples, refinement walkthroughs, and debugging guidance.</w:t>
      </w:r>
    </w:p>
    <w:p>
      <w:pPr>
        <w:spacing w:after="140"/>
      </w:pPr>
      <w:r>
        <w:rPr>
          <w:sz w:val="22"/>
          <w:szCs w:val="22"/>
        </w:rPr>
        <w:t xml:space="preserve">All example files remain in the companion repository under examples/chapterNN/. Create a JavaScript or Python database and open the referenced queries as you read.</w:t>
      </w:r>
    </w:p>
    <w:p>
      <w:pPr>
        <w:pStyle w:val="Heading1"/>
        <w:pageBreakBefore/>
      </w:pPr>
      <w:r>
        <w:t xml:space="preserve">Chapter 1–7 Foundations (Summary)</w:t>
      </w:r>
    </w:p>
    <w:p>
      <w:pPr>
        <w:spacing w:after="140"/>
      </w:pPr>
      <w:r>
        <w:rPr>
          <w:sz w:val="22"/>
          <w:szCs w:val="22"/>
        </w:rPr>
        <w:t xml:space="preserve">CodeQL treats code as queryable data. You create a database with the CLI or VS Code extension, then write QL queries that select program elements. Predicates are the unit of reuse. Language libraries provide classes such as Function and CallExpr. Alert queries report issues at locations; path queries (covered in depth below) report flows. See the repository examples for chapters 1–7 and the earlier full text for complete introductory material.</w:t>
      </w:r>
    </w:p>
    <w:p>
      <w:pPr>
        <w:pStyle w:val="Heading1"/>
        <w:pageBreakBefore/>
      </w:pPr>
      <w:r>
        <w:t xml:space="preserve">Chapter 8: Data Flow Analysis</w:t>
      </w:r>
    </w:p>
    <w:p>
      <w:pPr>
        <w:pStyle w:val="Heading2"/>
      </w:pPr>
      <w:r>
        <w:t xml:space="preserve">Why Data-Flow Analysis Is Central</w:t>
      </w:r>
    </w:p>
    <w:p>
      <w:pPr>
        <w:spacing w:after="140"/>
      </w:pPr>
      <w:r>
        <w:rPr>
          <w:sz w:val="22"/>
          <w:szCs w:val="22"/>
        </w:rPr>
        <w:t xml:space="preserve">Data-flow analysis answers a single critical question: where can a given value travel? In security work that question becomes “can untrusted data reach a dangerous operation?” Without data flow, queries are limited to local syntactic patterns. With data flow, a query can follow values across assignments, function calls, returns, and field stores, producing results that match the way real vulnerabilities actually occur.</w:t>
      </w:r>
    </w:p>
    <w:p>
      <w:pPr>
        <w:spacing w:after="140"/>
      </w:pPr>
      <w:r>
        <w:rPr>
          <w:sz w:val="22"/>
          <w:szCs w:val="22"/>
        </w:rPr>
        <w:t xml:space="preserve">CodeQL supplies two complementary facilities. Local data flow is restricted to a single function; it is fast and sufficient for many intra-procedural checks. Global data flow is inter-procedural; it is the foundation of virtually every production security query.</w:t>
      </w:r>
    </w:p>
    <w:p>
      <w:pPr>
        <w:pStyle w:val="Heading2"/>
      </w:pPr>
      <w:r>
        <w:t xml:space="preserve">DataFlow Nodes</w:t>
      </w:r>
    </w:p>
    <w:p>
      <w:pPr>
        <w:spacing w:after="140"/>
      </w:pPr>
      <w:r>
        <w:rPr>
          <w:sz w:val="22"/>
          <w:szCs w:val="22"/>
        </w:rPr>
        <w:t xml:space="preserve">The DataFlow libraries introduce nodes that abstract over syntax. A node may represent an argument, a parameter, the result of a call, a field read, or an intermediate expression. Because queries are written against nodes rather than raw AST elements, they remain stable when code is refactored and they work uniformly across different syntactic forms that have the same data-flow meaning.</w:t>
      </w:r>
    </w:p>
    <w:p>
      <w:pPr>
        <w:pStyle w:val="Heading2"/>
      </w:pPr>
      <w:r>
        <w:t xml:space="preserve">Local Data Flow</w:t>
      </w:r>
    </w:p>
    <w:p>
      <w:pPr>
        <w:spacing w:after="140"/>
      </w:pPr>
      <w:r>
        <w:rPr>
          <w:sz w:val="22"/>
          <w:szCs w:val="22"/>
        </w:rPr>
        <w:t xml:space="preserve">Local analysis uses predicates such as localFlow (exact names vary slightly by language). It is the right tool when you only care about movement inside one function—for example, detecting a tainted value that is immediately passed to a sink in the same procedure. Local flow is inexpensive and should be preferred whenever it is sufficient.</w:t>
      </w:r>
    </w:p>
    <w:p>
      <w:pPr>
        <w:pStyle w:val="Heading2"/>
      </w:pPr>
      <w:r>
        <w:t xml:space="preserve">Global Data Flow with Configurations</w:t>
      </w:r>
    </w:p>
    <w:p>
      <w:pPr>
        <w:spacing w:after="140"/>
      </w:pPr>
      <w:r>
        <w:rPr>
          <w:sz w:val="22"/>
          <w:szCs w:val="22"/>
        </w:rPr>
        <w:t xml:space="preserve">Global analysis is expressed by a configuration module that implements the DataFlow::ConfigSig signature. At minimum you define isSource and isSink. The engine then computes paths between them.</w:t>
      </w:r>
    </w:p>
    <w:p>
      <w:pPr>
        <w:spacing w:after="12" w:before="12"/>
      </w:pPr>
      <w:r>
        <w:rPr>
          <w:rFonts w:ascii="Consolas" w:cs="Consolas" w:eastAsia="Consolas" w:hAnsi="Consolas"/>
          <w:sz w:val="18"/>
          <w:szCs w:val="18"/>
        </w:rPr>
        <w:t xml:space="preserve">import javascript</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module MyConfig implements DataFlow::ConfigSig {</w:t>
      </w:r>
    </w:p>
    <w:p>
      <w:pPr>
        <w:spacing w:after="12" w:before="12"/>
      </w:pPr>
      <w:r>
        <w:rPr>
          <w:rFonts w:ascii="Consolas" w:cs="Consolas" w:eastAsia="Consolas" w:hAnsi="Consolas"/>
          <w:sz w:val="18"/>
          <w:szCs w:val="18"/>
        </w:rPr>
        <w:t xml:space="preserve">  predicate isSource(DataFlow::Node source) {</w:t>
      </w:r>
    </w:p>
    <w:p>
      <w:pPr>
        <w:spacing w:after="12" w:before="12"/>
      </w:pPr>
      <w:r>
        <w:rPr>
          <w:rFonts w:ascii="Consolas" w:cs="Consolas" w:eastAsia="Consolas" w:hAnsi="Consolas"/>
          <w:sz w:val="18"/>
          <w:szCs w:val="18"/>
        </w:rPr>
        <w:t xml:space="preserve">    source instanceof RemoteFlowSource</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  predicate isSink(DataFlow::Node sink) {</w:t>
      </w:r>
    </w:p>
    <w:p>
      <w:pPr>
        <w:spacing w:after="12" w:before="12"/>
      </w:pPr>
      <w:r>
        <w:rPr>
          <w:rFonts w:ascii="Consolas" w:cs="Consolas" w:eastAsia="Consolas" w:hAnsi="Consolas"/>
          <w:sz w:val="18"/>
          <w:szCs w:val="18"/>
        </w:rPr>
        <w:t xml:space="preserve">    sink instanceof DomBasedXssSink</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module MyFlow = DataFlow::Global&lt;MyConfig&gt;;</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from MyFlow::PathNode source, MyFlow::PathNode sink</w:t>
      </w:r>
    </w:p>
    <w:p>
      <w:pPr>
        <w:spacing w:after="12" w:before="12"/>
      </w:pPr>
      <w:r>
        <w:rPr>
          <w:rFonts w:ascii="Consolas" w:cs="Consolas" w:eastAsia="Consolas" w:hAnsi="Consolas"/>
          <w:sz w:val="18"/>
          <w:szCs w:val="18"/>
        </w:rPr>
        <w:t xml:space="preserve">where MyFlow::flowPath(source, sink)</w:t>
      </w:r>
    </w:p>
    <w:p>
      <w:pPr>
        <w:spacing w:after="12" w:before="12"/>
      </w:pPr>
      <w:r>
        <w:rPr>
          <w:rFonts w:ascii="Consolas" w:cs="Consolas" w:eastAsia="Consolas" w:hAnsi="Consolas"/>
          <w:sz w:val="18"/>
          <w:szCs w:val="18"/>
        </w:rPr>
        <w:t xml:space="preserve">select sink.getNode(), source, sink, "Global data flow from remote source to DOM sink."</w:t>
      </w:r>
    </w:p>
    <w:p>
      <w:pPr>
        <w:spacing w:after="140"/>
      </w:pPr>
      <w:r>
        <w:rPr>
          <w:sz w:val="22"/>
          <w:szCs w:val="22"/>
        </w:rPr>
        <w:t xml:space="preserve">This skeleton is saved as examples/chapter08/global-flow-skeleton.ql. Use DataFlow::Global when you need value-preserving flow (the value itself moves). Use TaintTracking::Global when any value derived from a source should be considered tainted—the usual choice for security queries.</w:t>
      </w:r>
    </w:p>
    <w:p>
      <w:pPr>
        <w:pStyle w:val="Heading2"/>
      </w:pPr>
      <w:r>
        <w:t xml:space="preserve">Additional Flow Steps</w:t>
      </w:r>
    </w:p>
    <w:p>
      <w:pPr>
        <w:spacing w:after="140"/>
      </w:pPr>
      <w:r>
        <w:rPr>
          <w:sz w:val="22"/>
          <w:szCs w:val="22"/>
        </w:rPr>
        <w:t xml:space="preserve">Real libraries often transform data in ways the default models do not yet know. You teach the analysis about those transformations by implementing isAdditionalFlowStep (or the taint-tracking equivalent):</w:t>
      </w:r>
    </w:p>
    <w:p>
      <w:pPr>
        <w:spacing w:after="12" w:before="12"/>
      </w:pPr>
      <w:r>
        <w:rPr>
          <w:rFonts w:ascii="Consolas" w:cs="Consolas" w:eastAsia="Consolas" w:hAnsi="Consolas"/>
          <w:sz w:val="18"/>
          <w:szCs w:val="18"/>
        </w:rPr>
        <w:t xml:space="preserve">predicate isAdditionalFlowStep(DataFlow::Node pred, DataFlow::Node succ) {</w:t>
      </w:r>
    </w:p>
    <w:p>
      <w:pPr>
        <w:spacing w:after="12" w:before="12"/>
      </w:pPr>
      <w:r>
        <w:rPr>
          <w:rFonts w:ascii="Consolas" w:cs="Consolas" w:eastAsia="Consolas" w:hAnsi="Consolas"/>
          <w:sz w:val="18"/>
          <w:szCs w:val="18"/>
        </w:rPr>
        <w:t xml:space="preserve">  exists(CallExpr c |</w:t>
      </w:r>
    </w:p>
    <w:p>
      <w:pPr>
        <w:spacing w:after="12" w:before="12"/>
      </w:pPr>
      <w:r>
        <w:rPr>
          <w:rFonts w:ascii="Consolas" w:cs="Consolas" w:eastAsia="Consolas" w:hAnsi="Consolas"/>
          <w:sz w:val="18"/>
          <w:szCs w:val="18"/>
        </w:rPr>
        <w:t xml:space="preserve">    c.getCalleeName() = "myTransform" and</w:t>
      </w:r>
    </w:p>
    <w:p>
      <w:pPr>
        <w:spacing w:after="12" w:before="12"/>
      </w:pPr>
      <w:r>
        <w:rPr>
          <w:rFonts w:ascii="Consolas" w:cs="Consolas" w:eastAsia="Consolas" w:hAnsi="Consolas"/>
          <w:sz w:val="18"/>
          <w:szCs w:val="18"/>
        </w:rPr>
        <w:t xml:space="preserve">    pred = c.getArgument(0).flow() and</w:t>
      </w:r>
    </w:p>
    <w:p>
      <w:pPr>
        <w:spacing w:after="12" w:before="12"/>
      </w:pPr>
      <w:r>
        <w:rPr>
          <w:rFonts w:ascii="Consolas" w:cs="Consolas" w:eastAsia="Consolas" w:hAnsi="Consolas"/>
          <w:sz w:val="18"/>
          <w:szCs w:val="18"/>
        </w:rPr>
        <w:t xml:space="preserve">    succ = c.flow()</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w:t>
      </w:r>
    </w:p>
    <w:p>
      <w:pPr>
        <w:spacing w:after="140"/>
      </w:pPr>
      <w:r>
        <w:rPr>
          <w:sz w:val="22"/>
          <w:szCs w:val="22"/>
        </w:rPr>
        <w:t xml:space="preserve">Each additional step you add extends the set of paths the engine will consider. Add them sparingly and test them; an incorrect step can introduce false positives.</w:t>
      </w:r>
    </w:p>
    <w:p>
      <w:pPr>
        <w:pStyle w:val="Heading2"/>
      </w:pPr>
      <w:r>
        <w:t xml:space="preserve">Barriers</w:t>
      </w:r>
    </w:p>
    <w:p>
      <w:pPr>
        <w:spacing w:after="140"/>
      </w:pPr>
      <w:r>
        <w:rPr>
          <w:sz w:val="22"/>
          <w:szCs w:val="22"/>
        </w:rPr>
        <w:t xml:space="preserve">A barrier (sometimes called a sanitizer in taint tracking) stops flow. Implement isBarrier to declare that a node removes the property you are tracking:</w:t>
      </w:r>
    </w:p>
    <w:p>
      <w:pPr>
        <w:spacing w:after="12" w:before="12"/>
      </w:pPr>
      <w:r>
        <w:rPr>
          <w:rFonts w:ascii="Consolas" w:cs="Consolas" w:eastAsia="Consolas" w:hAnsi="Consolas"/>
          <w:sz w:val="18"/>
          <w:szCs w:val="18"/>
        </w:rPr>
        <w:t xml:space="preserve">predicate isBarrier(DataFlow::Node node) {</w:t>
      </w:r>
    </w:p>
    <w:p>
      <w:pPr>
        <w:spacing w:after="12" w:before="12"/>
      </w:pPr>
      <w:r>
        <w:rPr>
          <w:rFonts w:ascii="Consolas" w:cs="Consolas" w:eastAsia="Consolas" w:hAnsi="Consolas"/>
          <w:sz w:val="18"/>
          <w:szCs w:val="18"/>
        </w:rPr>
        <w:t xml:space="preserve">  node = any(CallExpr c | c.getCalleeName() = "encodeURIComponent").flow()</w:t>
      </w:r>
    </w:p>
    <w:p>
      <w:pPr>
        <w:spacing w:after="12" w:before="12"/>
      </w:pPr>
      <w:r>
        <w:rPr>
          <w:rFonts w:ascii="Consolas" w:cs="Consolas" w:eastAsia="Consolas" w:hAnsi="Consolas"/>
          <w:sz w:val="18"/>
          <w:szCs w:val="18"/>
        </w:rPr>
        <w:t xml:space="preserve">}</w:t>
      </w:r>
    </w:p>
    <w:p>
      <w:pPr>
        <w:spacing w:after="140"/>
      </w:pPr>
      <w:r>
        <w:rPr>
          <w:sz w:val="22"/>
          <w:szCs w:val="22"/>
        </w:rPr>
        <w:t xml:space="preserve">Precise barriers are the primary tool for reducing false positives. Prefer modeling a real sanitizer over adding complex negative conditions in the query body.</w:t>
      </w:r>
    </w:p>
    <w:p>
      <w:pPr>
        <w:pStyle w:val="Heading2"/>
      </w:pPr>
      <w:r>
        <w:t xml:space="preserve">Debugging Data-Flow Queries</w:t>
      </w:r>
    </w:p>
    <w:p>
      <w:pPr>
        <w:spacing w:after="140"/>
      </w:pPr>
      <w:r>
        <w:rPr>
          <w:sz w:val="22"/>
          <w:szCs w:val="22"/>
        </w:rPr>
        <w:t xml:space="preserve">When an expected path does not appear, work systematically. First confirm that your source and sink predicates match the nodes you intend (select them independently). Then use partial-flow debugging facilities provided by the libraries to see how far flow actually travels. Most missing paths are caused by incomplete models—missing additional steps or an overly strict barrier—rather than by engine limitations.</w:t>
      </w:r>
    </w:p>
    <w:p>
      <w:pPr>
        <w:spacing w:after="140"/>
      </w:pPr>
      <w:r>
        <w:rPr>
          <w:sz w:val="22"/>
          <w:szCs w:val="22"/>
        </w:rPr>
        <w:t xml:space="preserve">A practical debugging sequence is: (1) select all sources, (2) select all sinks, (3) temporarily remove barriers, (4) add intermediate selects on suspected missing steps, (5) restore barriers one at a time. The same sequence works for both DataFlow and TaintTracking configurations.</w:t>
      </w:r>
    </w:p>
    <w:p>
      <w:pPr>
        <w:pStyle w:val="Heading2"/>
      </w:pPr>
      <w:r>
        <w:t xml:space="preserve">Performance Considerations</w:t>
      </w:r>
    </w:p>
    <w:p>
      <w:pPr>
        <w:spacing w:after="140"/>
      </w:pPr>
      <w:r>
        <w:rPr>
          <w:sz w:val="22"/>
          <w:szCs w:val="22"/>
        </w:rPr>
        <w:t xml:space="preserve">Global data flow is more expensive than local flow. Keep source and sink definitions as precise as possible. Avoid configurations that start from every expression. When a check can be expressed with local flow, do so. Profile slow queries and look for opportunities to tighten predicates or to move logic into smaller, reusable predicates that the optimizer can handle efficiently.</w:t>
      </w:r>
    </w:p>
    <w:p>
      <w:pPr>
        <w:pStyle w:val="Heading2"/>
      </w:pPr>
      <w:r>
        <w:t xml:space="preserve">Cross-Language Notes</w:t>
      </w:r>
    </w:p>
    <w:p>
      <w:pPr>
        <w:spacing w:after="140"/>
      </w:pPr>
      <w:r>
        <w:rPr>
          <w:sz w:val="22"/>
          <w:szCs w:val="22"/>
        </w:rPr>
        <w:t xml:space="preserve">The configuration style is consistent across languages, but the concrete source and sink classes differ. JavaScript uses RemoteFlowSource and DomBasedXssSink; Python, Java, and C/C++ have their own equivalents. Once you understand the pattern in one language, adapting it is mainly a matter of discovering the corresponding library classes. Language-specific data-flow guides in the official documentation list the most important classes and predicates.</w:t>
      </w:r>
    </w:p>
    <w:p>
      <w:pPr>
        <w:pStyle w:val="Heading1"/>
        <w:pageBreakBefore/>
      </w:pPr>
      <w:r>
        <w:t xml:space="preserve">Chapter 9: Taint Tracking and Path Queries</w:t>
      </w:r>
    </w:p>
    <w:p>
      <w:pPr>
        <w:pStyle w:val="Heading2"/>
      </w:pPr>
      <w:r>
        <w:t xml:space="preserve">Taint Tracking versus Pure Data Flow</w:t>
      </w:r>
    </w:p>
    <w:p>
      <w:pPr>
        <w:spacing w:after="140"/>
      </w:pPr>
      <w:r>
        <w:rPr>
          <w:sz w:val="22"/>
          <w:szCs w:val="22"/>
        </w:rPr>
        <w:t xml:space="preserve">Pure data flow tracks a value as it is copied. Taint tracking is more permissive: if a tainted value is used to compute a new value, the new value is also tainted. This matches the security intuition that “anything derived from user input is still untrusted until it is explicitly sanitized.” Almost all injection, XSS, and path-traversal queries are written as taint-tracking queries.</w:t>
      </w:r>
    </w:p>
    <w:p>
      <w:pPr>
        <w:pStyle w:val="Heading2"/>
      </w:pPr>
      <w:r>
        <w:t xml:space="preserve">Sources</w:t>
      </w:r>
    </w:p>
    <w:p>
      <w:pPr>
        <w:spacing w:after="140"/>
      </w:pPr>
      <w:r>
        <w:rPr>
          <w:sz w:val="22"/>
          <w:szCs w:val="22"/>
        </w:rPr>
        <w:t xml:space="preserve">A source is any node that should be considered untrusted. The standard libraries already define RemoteFlowSource (and language-specific equivalents) for common cases such as HTTP parameters, query strings, and request bodies. You will frequently add your own sources for internal APIs, message-queue payloads, or file reads that your threat model treats as untrusted.</w:t>
      </w:r>
    </w:p>
    <w:p>
      <w:pPr>
        <w:pStyle w:val="Heading2"/>
      </w:pPr>
      <w:r>
        <w:t xml:space="preserve">Sinks</w:t>
      </w:r>
    </w:p>
    <w:p>
      <w:pPr>
        <w:spacing w:after="140"/>
      </w:pPr>
      <w:r>
        <w:rPr>
          <w:sz w:val="22"/>
          <w:szCs w:val="22"/>
        </w:rPr>
        <w:t xml:space="preserve">A sink is a node at which tainted data becomes dangerous. Examples include SQL execution APIs, command-execution functions, HTML-writing operations, and file-system calls that interpret a path. The standard libraries contain many pre-modeled sinks; you extend them when your code uses a data-access layer or framework that is not yet covered.</w:t>
      </w:r>
    </w:p>
    <w:p>
      <w:pPr>
        <w:pStyle w:val="Heading2"/>
      </w:pPr>
      <w:r>
        <w:t xml:space="preserve">Writing a Complete Path Query</w:t>
      </w:r>
    </w:p>
    <w:p>
      <w:pPr>
        <w:spacing w:after="140"/>
      </w:pPr>
      <w:r>
        <w:rPr>
          <w:sz w:val="22"/>
          <w:szCs w:val="22"/>
        </w:rPr>
        <w:t xml:space="preserve">Path queries must be annotated @kind path-problem so the tooling knows to expect and display paths. The select clause has a required shape. Here is a full DOM-based XSS query:</w:t>
      </w:r>
    </w:p>
    <w:p>
      <w:pPr>
        <w:spacing w:after="12" w:before="12"/>
      </w:pPr>
      <w:r>
        <w:rPr>
          <w:rFonts w:ascii="Consolas" w:cs="Consolas" w:eastAsia="Consolas" w:hAnsi="Consolas"/>
          <w:sz w:val="18"/>
          <w:szCs w:val="18"/>
        </w:rPr>
        <w:t xml:space="preserve">/**</w:t>
      </w:r>
    </w:p>
    <w:p>
      <w:pPr>
        <w:spacing w:after="12" w:before="12"/>
      </w:pPr>
      <w:r>
        <w:rPr>
          <w:rFonts w:ascii="Consolas" w:cs="Consolas" w:eastAsia="Consolas" w:hAnsi="Consolas"/>
          <w:sz w:val="18"/>
          <w:szCs w:val="18"/>
        </w:rPr>
        <w:t xml:space="preserve"> * @kind path-problem</w:t>
      </w:r>
    </w:p>
    <w:p>
      <w:pPr>
        <w:spacing w:after="12" w:before="12"/>
      </w:pPr>
      <w:r>
        <w:rPr>
          <w:rFonts w:ascii="Consolas" w:cs="Consolas" w:eastAsia="Consolas" w:hAnsi="Consolas"/>
          <w:sz w:val="18"/>
          <w:szCs w:val="18"/>
        </w:rPr>
        <w:t xml:space="preserve"> * @id mustlearn/dom-xss</w:t>
      </w:r>
    </w:p>
    <w:p>
      <w:pPr>
        <w:spacing w:after="12" w:before="12"/>
      </w:pPr>
      <w:r>
        <w:rPr>
          <w:rFonts w:ascii="Consolas" w:cs="Consolas" w:eastAsia="Consolas" w:hAnsi="Consolas"/>
          <w:sz w:val="18"/>
          <w:szCs w:val="18"/>
        </w:rPr>
        <w:t xml:space="preserve"> * @name DOM-based XSS</w:t>
      </w:r>
    </w:p>
    <w:p>
      <w:pPr>
        <w:spacing w:after="12" w:before="12"/>
      </w:pPr>
      <w:r>
        <w:rPr>
          <w:rFonts w:ascii="Consolas" w:cs="Consolas" w:eastAsia="Consolas" w:hAnsi="Consolas"/>
          <w:sz w:val="18"/>
          <w:szCs w:val="18"/>
        </w:rPr>
        <w:t xml:space="preserve"> * @description User-controlled data reaches a DOM XSS sink.</w:t>
      </w:r>
    </w:p>
    <w:p>
      <w:pPr>
        <w:spacing w:after="12" w:before="12"/>
      </w:pPr>
      <w:r>
        <w:rPr>
          <w:rFonts w:ascii="Consolas" w:cs="Consolas" w:eastAsia="Consolas" w:hAnsi="Consolas"/>
          <w:sz w:val="18"/>
          <w:szCs w:val="18"/>
        </w:rPr>
        <w:t xml:space="preserve"> * @problem.severity error</w:t>
      </w:r>
    </w:p>
    <w:p>
      <w:pPr>
        <w:spacing w:after="12" w:before="12"/>
      </w:pPr>
      <w:r>
        <w:rPr>
          <w:rFonts w:ascii="Consolas" w:cs="Consolas" w:eastAsia="Consolas" w:hAnsi="Consolas"/>
          <w:sz w:val="18"/>
          <w:szCs w:val="18"/>
        </w:rPr>
        <w:t xml:space="preserve"> * @precision high</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import javascript</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module XssConfig implements DataFlow::ConfigSig {</w:t>
      </w:r>
    </w:p>
    <w:p>
      <w:pPr>
        <w:spacing w:after="12" w:before="12"/>
      </w:pPr>
      <w:r>
        <w:rPr>
          <w:rFonts w:ascii="Consolas" w:cs="Consolas" w:eastAsia="Consolas" w:hAnsi="Consolas"/>
          <w:sz w:val="18"/>
          <w:szCs w:val="18"/>
        </w:rPr>
        <w:t xml:space="preserve">  predicate isSource(DataFlow::Node n) {</w:t>
      </w:r>
    </w:p>
    <w:p>
      <w:pPr>
        <w:spacing w:after="12" w:before="12"/>
      </w:pPr>
      <w:r>
        <w:rPr>
          <w:rFonts w:ascii="Consolas" w:cs="Consolas" w:eastAsia="Consolas" w:hAnsi="Consolas"/>
          <w:sz w:val="18"/>
          <w:szCs w:val="18"/>
        </w:rPr>
        <w:t xml:space="preserve">    n instanceof RemoteFlowSource</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  predicate isSink(DataFlow::Node n) {</w:t>
      </w:r>
    </w:p>
    <w:p>
      <w:pPr>
        <w:spacing w:after="12" w:before="12"/>
      </w:pPr>
      <w:r>
        <w:rPr>
          <w:rFonts w:ascii="Consolas" w:cs="Consolas" w:eastAsia="Consolas" w:hAnsi="Consolas"/>
          <w:sz w:val="18"/>
          <w:szCs w:val="18"/>
        </w:rPr>
        <w:t xml:space="preserve">    n instanceof DomBasedXssSink</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  // Optional: stop flow through a known encoder</w:t>
      </w:r>
    </w:p>
    <w:p>
      <w:pPr>
        <w:spacing w:after="12" w:before="12"/>
      </w:pPr>
      <w:r>
        <w:rPr>
          <w:rFonts w:ascii="Consolas" w:cs="Consolas" w:eastAsia="Consolas" w:hAnsi="Consolas"/>
          <w:sz w:val="18"/>
          <w:szCs w:val="18"/>
        </w:rPr>
        <w:t xml:space="preserve">  predicate isBarrier(DataFlow::Node n) {</w:t>
      </w:r>
    </w:p>
    <w:p>
      <w:pPr>
        <w:spacing w:after="12" w:before="12"/>
      </w:pPr>
      <w:r>
        <w:rPr>
          <w:rFonts w:ascii="Consolas" w:cs="Consolas" w:eastAsia="Consolas" w:hAnsi="Consolas"/>
          <w:sz w:val="18"/>
          <w:szCs w:val="18"/>
        </w:rPr>
        <w:t xml:space="preserve">    n = any(CallExpr c | c.getCalleeName() = "encodeURI").flow()</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module XssFlow = TaintTracking::Global&lt;XssConfig&gt;;</w:t>
      </w:r>
    </w:p>
    <w:p>
      <w:pPr>
        <w:spacing w:after="12" w:before="12"/>
      </w:pPr>
      <w:r>
        <w:rPr>
          <w:rFonts w:ascii="Consolas" w:cs="Consolas" w:eastAsia="Consolas" w:hAnsi="Consolas"/>
          <w:sz w:val="18"/>
          <w:szCs w:val="18"/>
        </w:rPr>
        <w:t xml:space="preserve">import XssFlow::PathGraph</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from XssFlow::PathNode source, XssFlow::PathNode sink</w:t>
      </w:r>
    </w:p>
    <w:p>
      <w:pPr>
        <w:spacing w:after="12" w:before="12"/>
      </w:pPr>
      <w:r>
        <w:rPr>
          <w:rFonts w:ascii="Consolas" w:cs="Consolas" w:eastAsia="Consolas" w:hAnsi="Consolas"/>
          <w:sz w:val="18"/>
          <w:szCs w:val="18"/>
        </w:rPr>
        <w:t xml:space="preserve">where XssFlow::flowPath(source, sink)</w:t>
      </w:r>
    </w:p>
    <w:p>
      <w:pPr>
        <w:spacing w:after="12" w:before="12"/>
      </w:pPr>
      <w:r>
        <w:rPr>
          <w:rFonts w:ascii="Consolas" w:cs="Consolas" w:eastAsia="Consolas" w:hAnsi="Consolas"/>
          <w:sz w:val="18"/>
          <w:szCs w:val="18"/>
        </w:rPr>
        <w:t xml:space="preserve">select sink.getNode(), source, sink,</w:t>
      </w:r>
    </w:p>
    <w:p>
      <w:pPr>
        <w:spacing w:after="12" w:before="12"/>
      </w:pPr>
      <w:r>
        <w:rPr>
          <w:rFonts w:ascii="Consolas" w:cs="Consolas" w:eastAsia="Consolas" w:hAnsi="Consolas"/>
          <w:sz w:val="18"/>
          <w:szCs w:val="18"/>
        </w:rPr>
        <w:t xml:space="preserve">  "Potential XSS from $@.", source.getNode(), "user-controlled input"</w:t>
      </w:r>
    </w:p>
    <w:p>
      <w:pPr>
        <w:spacing w:after="140"/>
      </w:pPr>
      <w:r>
        <w:rPr>
          <w:sz w:val="22"/>
          <w:szCs w:val="22"/>
        </w:rPr>
        <w:t xml:space="preserve">The query is stored at examples/chapter09/xss-path.ql. Run it against a database that contains both vulnerable and safe examples and verify that only the vulnerable paths are reported.</w:t>
      </w:r>
    </w:p>
    <w:p>
      <w:pPr>
        <w:pStyle w:val="Heading2"/>
      </w:pPr>
      <w:r>
        <w:t xml:space="preserve">Refining with Barriers and Additional Steps</w:t>
      </w:r>
    </w:p>
    <w:p>
      <w:pPr>
        <w:spacing w:after="140"/>
      </w:pPr>
      <w:r>
        <w:rPr>
          <w:sz w:val="22"/>
          <w:szCs w:val="22"/>
        </w:rPr>
        <w:t xml:space="preserve">After the first run you will typically see either missing results or false positives. Missing results usually mean you need an additional flow step that models a library function. False positives usually mean you need a barrier. Add one change at a time and re-test. Keep the positive and negative test cases in version control so later library upgrades do not silently change behavior.</w:t>
      </w:r>
    </w:p>
    <w:p>
      <w:pPr>
        <w:pStyle w:val="Heading2"/>
      </w:pPr>
      <w:r>
        <w:t xml:space="preserve">Flow State for Higher Precision</w:t>
      </w:r>
    </w:p>
    <w:p>
      <w:pPr>
        <w:spacing w:after="140"/>
      </w:pPr>
      <w:r>
        <w:rPr>
          <w:sz w:val="22"/>
          <w:szCs w:val="22"/>
        </w:rPr>
        <w:t xml:space="preserve">Sometimes a simple tainted/not-tainted bit is not enough. Flow state (also called labels) lets you associate a set of tokens with each tracked value. Value-preserving steps keep the state; other steps can add or remove tokens. You can then write a sink that only matches when a particular token is present, or a barrier that clears a token. This technique is especially useful for tracking whether data has been through a specific sanitizer or for distinguishing different kinds of user input.</w:t>
      </w:r>
    </w:p>
    <w:p>
      <w:pPr>
        <w:pStyle w:val="Heading2"/>
      </w:pPr>
      <w:r>
        <w:t xml:space="preserve">Partial-Flow Debugging</w:t>
      </w:r>
    </w:p>
    <w:p>
      <w:pPr>
        <w:spacing w:after="140"/>
      </w:pPr>
      <w:r>
        <w:rPr>
          <w:sz w:val="22"/>
          <w:szCs w:val="22"/>
        </w:rPr>
        <w:t xml:space="preserve">The libraries provide partial-flow predicates that show how far taint travels even when it never reaches a sink. Use them when a path you expect is absent. Select the partial paths, inspect the last node that was reached, and decide whether an additional step or a relaxed barrier is required. This is almost always faster than repeatedly guessing.</w:t>
      </w:r>
    </w:p>
    <w:p>
      <w:pPr>
        <w:pStyle w:val="Heading2"/>
      </w:pPr>
      <w:r>
        <w:t xml:space="preserve">Common Pitfalls</w:t>
      </w:r>
    </w:p>
    <w:p>
      <w:pPr>
        <w:spacing w:after="140"/>
      </w:pPr>
      <w:r>
        <w:rPr>
          <w:sz w:val="22"/>
          <w:szCs w:val="22"/>
        </w:rPr>
        <w:t xml:space="preserve">The most frequent mistakes are: sources that are too broad (every string becomes a source), missing models for internal wrapper functions, barriers that are accidentally too strong, and forgetting that path queries require the special select form and the PathGraph import. Another common issue is analyzing a database that was built without the dependencies your code actually uses, so the extractor never saw the real call targets.</w:t>
      </w:r>
    </w:p>
    <w:p>
      <w:pPr>
        <w:pStyle w:val="Heading2"/>
      </w:pPr>
      <w:r>
        <w:t xml:space="preserve">From Query to Production</w:t>
      </w:r>
    </w:p>
    <w:p>
      <w:pPr>
        <w:spacing w:after="140"/>
      </w:pPr>
      <w:r>
        <w:rPr>
          <w:sz w:val="22"/>
          <w:szCs w:val="22"/>
        </w:rPr>
        <w:t xml:space="preserve">Once the query is precise on your test suite, give it complete metadata, place it in a pack, add expected-result tests, and include it in a query suite that your CI workflow runs. The same query then protects every future change. Revisit it when you upgrade CodeQL; new library models sometimes allow you to delete custom additional steps you previously needed.</w:t>
      </w:r>
    </w:p>
    <w:p>
      <w:pPr>
        <w:pStyle w:val="Heading1"/>
        <w:pageBreakBefore/>
      </w:pPr>
      <w:r>
        <w:t xml:space="preserve">Chapter 10: CodeQL Library Extension</w:t>
      </w:r>
    </w:p>
    <w:p>
      <w:pPr>
        <w:pStyle w:val="Heading2"/>
      </w:pPr>
      <w:r>
        <w:t xml:space="preserve">Why Extension Is Essential</w:t>
      </w:r>
    </w:p>
    <w:p>
      <w:pPr>
        <w:spacing w:after="140"/>
      </w:pPr>
      <w:r>
        <w:rPr>
          <w:sz w:val="22"/>
          <w:szCs w:val="22"/>
        </w:rPr>
        <w:t xml:space="preserve">The standard libraries contain high-quality models for many popular frameworks, but they cannot anticipate every internal API, every thin wrapper, or every niche third-party package. Without extensions, taint stops at the boundary of an unmodeled function and real vulnerabilities are missed. With extensions, every existing security query automatically understands your code.</w:t>
      </w:r>
    </w:p>
    <w:p>
      <w:pPr>
        <w:pStyle w:val="Heading2"/>
      </w:pPr>
      <w:r>
        <w:t xml:space="preserve">Adding Custom Sources</w:t>
      </w:r>
    </w:p>
    <w:p>
      <w:pPr>
        <w:spacing w:after="140"/>
      </w:pPr>
      <w:r>
        <w:rPr>
          <w:sz w:val="22"/>
          <w:szCs w:val="22"/>
        </w:rPr>
        <w:t xml:space="preserve">The most common extension recognizes additional functions as sources of untrusted data. Subclass the appropriate remote-flow-source class:</w:t>
      </w:r>
    </w:p>
    <w:p>
      <w:pPr>
        <w:spacing w:after="12" w:before="12"/>
      </w:pPr>
      <w:r>
        <w:rPr>
          <w:rFonts w:ascii="Consolas" w:cs="Consolas" w:eastAsia="Consolas" w:hAnsi="Consolas"/>
          <w:sz w:val="18"/>
          <w:szCs w:val="18"/>
        </w:rPr>
        <w:t xml:space="preserve">import javascript</w:t>
      </w:r>
    </w:p>
    <w:p>
      <w:pPr>
        <w:spacing w:after="12" w:before="12"/>
      </w:pPr>
      <w:r>
        <w:rPr>
          <w:rFonts w:ascii="Consolas" w:cs="Consolas" w:eastAsia="Consolas" w:hAnsi="Consolas"/>
          <w:sz w:val="18"/>
          <w:szCs w:val="18"/>
        </w:rPr>
        <w:t xml:space="preserve"/>
      </w:r>
    </w:p>
    <w:p>
      <w:pPr>
        <w:spacing w:after="12" w:before="12"/>
      </w:pPr>
      <w:r>
        <w:rPr>
          <w:rFonts w:ascii="Consolas" w:cs="Consolas" w:eastAsia="Consolas" w:hAnsi="Consolas"/>
          <w:sz w:val="18"/>
          <w:szCs w:val="18"/>
        </w:rPr>
        <w:t xml:space="preserve">class CustomRemoteSource extends RemoteFlowSource {</w:t>
      </w:r>
    </w:p>
    <w:p>
      <w:pPr>
        <w:spacing w:after="12" w:before="12"/>
      </w:pPr>
      <w:r>
        <w:rPr>
          <w:rFonts w:ascii="Consolas" w:cs="Consolas" w:eastAsia="Consolas" w:hAnsi="Consolas"/>
          <w:sz w:val="18"/>
          <w:szCs w:val="18"/>
        </w:rPr>
        <w:t xml:space="preserve">  CustomRemoteSource() {</w:t>
      </w:r>
    </w:p>
    <w:p>
      <w:pPr>
        <w:spacing w:after="12" w:before="12"/>
      </w:pPr>
      <w:r>
        <w:rPr>
          <w:rFonts w:ascii="Consolas" w:cs="Consolas" w:eastAsia="Consolas" w:hAnsi="Consolas"/>
          <w:sz w:val="18"/>
          <w:szCs w:val="18"/>
        </w:rPr>
        <w:t xml:space="preserve">    // Any call to getUserInput is treated as a remote source</w:t>
      </w:r>
    </w:p>
    <w:p>
      <w:pPr>
        <w:spacing w:after="12" w:before="12"/>
      </w:pPr>
      <w:r>
        <w:rPr>
          <w:rFonts w:ascii="Consolas" w:cs="Consolas" w:eastAsia="Consolas" w:hAnsi="Consolas"/>
          <w:sz w:val="18"/>
          <w:szCs w:val="18"/>
        </w:rPr>
        <w:t xml:space="preserve">    this = any(CallExpr c | c.getCalleeName() = "getUserInput").flow()</w:t>
      </w:r>
    </w:p>
    <w:p>
      <w:pPr>
        <w:spacing w:after="12" w:before="12"/>
      </w:pPr>
      <w:r>
        <w:rPr>
          <w:rFonts w:ascii="Consolas" w:cs="Consolas" w:eastAsia="Consolas" w:hAnsi="Consolas"/>
          <w:sz w:val="18"/>
          <w:szCs w:val="18"/>
        </w:rPr>
        <w:t xml:space="preserve">  }</w:t>
      </w:r>
    </w:p>
    <w:p>
      <w:pPr>
        <w:spacing w:after="12" w:before="12"/>
      </w:pPr>
      <w:r>
        <w:rPr>
          <w:rFonts w:ascii="Consolas" w:cs="Consolas" w:eastAsia="Consolas" w:hAnsi="Consolas"/>
          <w:sz w:val="18"/>
          <w:szCs w:val="18"/>
        </w:rPr>
        <w:t xml:space="preserve">}</w:t>
      </w:r>
    </w:p>
    <w:p>
      <w:pPr>
        <w:spacing w:after="140"/>
      </w:pPr>
      <w:r>
        <w:rPr>
          <w:sz w:val="22"/>
          <w:szCs w:val="22"/>
        </w:rPr>
        <w:t xml:space="preserve">After this class is in scope, every query that looks for RemoteFlowSource will include your custom source. The complete file is examples/chapter10/custom-source.ql. You can write analogous subclasses for file reads, message-bus payloads, or any other origin your threat model considers untrusted.</w:t>
      </w:r>
    </w:p>
    <w:p>
      <w:pPr>
        <w:pStyle w:val="Heading2"/>
      </w:pPr>
      <w:r>
        <w:t xml:space="preserve">Adding Custom Sinks</w:t>
      </w:r>
    </w:p>
    <w:p>
      <w:pPr>
        <w:spacing w:after="140"/>
      </w:pPr>
      <w:r>
        <w:rPr>
          <w:sz w:val="22"/>
          <w:szCs w:val="22"/>
        </w:rPr>
        <w:t xml:space="preserve">Sinks are extended the same way. If your data-access layer exposes a method executeQuery that ultimately runs SQL, you can declare calls to it as SQL sinks. Once declared, every SQL-injection query in the standard library (and your own queries) will treat those calls as sinks without further modification.</w:t>
      </w:r>
    </w:p>
    <w:p>
      <w:pPr>
        <w:pStyle w:val="Heading2"/>
      </w:pPr>
      <w:r>
        <w:t xml:space="preserve">Flow Summaries</w:t>
      </w:r>
    </w:p>
    <w:p>
      <w:pPr>
        <w:spacing w:after="140"/>
      </w:pPr>
      <w:r>
        <w:rPr>
          <w:sz w:val="22"/>
          <w:szCs w:val="22"/>
        </w:rPr>
        <w:t xml:space="preserve">Many library functions neither introduce new taint nor completely sanitize it; they simply transform data. A flow summary (or an additional flow step) describes that transformation. You state which argument flows to which result, or that the receiver flows to the return value. Summaries are preferable to additional steps when the relationship is simple and stable, because they are easier for the engine to optimize and easier for other authors to reuse.</w:t>
      </w:r>
    </w:p>
    <w:p>
      <w:pPr>
        <w:pStyle w:val="Heading2"/>
      </w:pPr>
      <w:r>
        <w:t xml:space="preserve">Model Packs</w:t>
      </w:r>
    </w:p>
    <w:p>
      <w:pPr>
        <w:spacing w:after="140"/>
      </w:pPr>
      <w:r>
        <w:rPr>
          <w:sz w:val="22"/>
          <w:szCs w:val="22"/>
        </w:rPr>
        <w:t xml:space="preserve">Extensions can be packaged as model packs (data-extension packs). A model pack contains only the modeling code—no queries—and can be depended on by any query pack. This separation lets a platform team maintain the models for internal frameworks while application teams write or simply consume queries. The pack format is the same qlpack.yml style used for query packs, with a different declared type.</w:t>
      </w:r>
    </w:p>
    <w:p>
      <w:pPr>
        <w:pStyle w:val="Heading2"/>
      </w:pPr>
      <w:r>
        <w:t xml:space="preserve">Testing Extensions Thoroughly</w:t>
      </w:r>
    </w:p>
    <w:p>
      <w:pPr>
        <w:spacing w:after="140"/>
      </w:pPr>
      <w:r>
        <w:rPr>
          <w:sz w:val="22"/>
          <w:szCs w:val="22"/>
        </w:rPr>
        <w:t xml:space="preserve">An incorrect model is worse than a missing model because it silently affects every query. Create a small test database that contains:</w:t>
      </w:r>
    </w:p>
    <w:p>
      <w:pPr>
        <w:spacing w:after="140"/>
      </w:pPr>
      <w:r>
        <w:rPr>
          <w:sz w:val="22"/>
          <w:szCs w:val="22"/>
        </w:rPr>
        <w:t xml:space="preserve">• A true-positive case that must be reported.</w:t>
      </w:r>
    </w:p>
    <w:p>
      <w:pPr>
        <w:spacing w:after="140"/>
      </w:pPr>
      <w:r>
        <w:rPr>
          <w:sz w:val="22"/>
          <w:szCs w:val="22"/>
        </w:rPr>
        <w:t xml:space="preserve">• A true-negative case that must not be reported.</w:t>
      </w:r>
    </w:p>
    <w:p>
      <w:pPr>
        <w:spacing w:after="140"/>
      </w:pPr>
      <w:r>
        <w:rPr>
          <w:sz w:val="22"/>
          <w:szCs w:val="22"/>
        </w:rPr>
        <w:t xml:space="preserve">• Cases that exercise each additional flow step and each barrier you added.</w:t>
      </w:r>
    </w:p>
    <w:p>
      <w:pPr>
        <w:spacing w:after="140"/>
      </w:pPr>
      <w:r>
        <w:rPr>
          <w:sz w:val="22"/>
          <w:szCs w:val="22"/>
        </w:rPr>
        <w:t xml:space="preserve">Run the relevant standard queries (or your own) against this database and commit the expected results. Re-run the tests whenever you upgrade CodeQL or modify the models.</w:t>
      </w:r>
    </w:p>
    <w:p>
      <w:pPr>
        <w:pStyle w:val="Heading2"/>
      </w:pPr>
      <w:r>
        <w:t xml:space="preserve">Language-Specific Patterns</w:t>
      </w:r>
    </w:p>
    <w:p>
      <w:pPr>
        <w:spacing w:after="140"/>
      </w:pPr>
      <w:r>
        <w:rPr>
          <w:sz w:val="22"/>
          <w:szCs w:val="22"/>
        </w:rPr>
        <w:t xml:space="preserve">JavaScript and Python often use API-graph or member-predicate style modeling. Java and C# commonly subclass existing source or sink classes. C/C++ extensions frequently involve function summaries and points-to reasoning. The official language guides and the source of the standard libraries themselves are the best references for idiomatic extension style in each language. Start by copying a similar model from the standard library and adapting it.</w:t>
      </w:r>
    </w:p>
    <w:p>
      <w:pPr>
        <w:pStyle w:val="Heading2"/>
      </w:pPr>
      <w:r>
        <w:t xml:space="preserve">Contribution and Maintenance</w:t>
      </w:r>
    </w:p>
    <w:p>
      <w:pPr>
        <w:spacing w:after="140"/>
      </w:pPr>
      <w:r>
        <w:rPr>
          <w:sz w:val="22"/>
          <w:szCs w:val="22"/>
        </w:rPr>
        <w:t xml:space="preserve">If your extension models a widely used open-source library, consider contributing it upstream. High-quality models benefit the entire community and reduce the amount of custom code you must maintain. Even for internal frameworks, keep the models in a dedicated pack with clear ownership, tests, and a changelog so that application teams can depend on them with confidence.</w:t>
      </w:r>
    </w:p>
    <w:p>
      <w:pPr>
        <w:pStyle w:val="Heading2"/>
      </w:pPr>
      <w:r>
        <w:t xml:space="preserve">Putting It All Together</w:t>
      </w:r>
    </w:p>
    <w:p>
      <w:pPr>
        <w:spacing w:after="140"/>
      </w:pPr>
      <w:r>
        <w:rPr>
          <w:sz w:val="22"/>
          <w:szCs w:val="22"/>
        </w:rPr>
        <w:t xml:space="preserve">A typical mature setup looks like this: a model pack that describes your internal frameworks and any uncovered third-party libraries; a query pack that contains a small number of organization-specific queries plus dependencies on the standard security suites; a CI workflow that runs the combined analysis on every pull request. Data-flow and taint-tracking queries written against the standard source and sink classes automatically pick up your extensions, so most of the value comes from the models rather than from writing new queries.</w:t>
      </w:r>
    </w:p>
    <w:p>
      <w:pPr>
        <w:pStyle w:val="Heading1"/>
        <w:pageBreakBefore/>
      </w:pPr>
      <w:r>
        <w:t xml:space="preserve">Chapter 11: Packs, Suites, and Production Use</w:t>
      </w:r>
    </w:p>
    <w:p>
      <w:pPr>
        <w:spacing w:after="140"/>
      </w:pPr>
      <w:r>
        <w:rPr>
          <w:sz w:val="22"/>
          <w:szCs w:val="22"/>
        </w:rPr>
        <w:t xml:space="preserve">Packs (qlpack.yml) distribute queries and models. Suites (.qls) select what runs. Complete metadata and expected-result tests are required before production use. See examples/chapter11/.</w:t>
      </w:r>
    </w:p>
    <w:p>
      <w:pPr>
        <w:pStyle w:val="Heading1"/>
        <w:pageBreakBefore/>
      </w:pPr>
      <w:r>
        <w:t xml:space="preserve">Chapter 12: CI Integration</w:t>
      </w:r>
    </w:p>
    <w:p>
      <w:pPr>
        <w:spacing w:after="140"/>
      </w:pPr>
      <w:r>
        <w:rPr>
          <w:sz w:val="22"/>
          <w:szCs w:val="22"/>
        </w:rPr>
        <w:t xml:space="preserve">The CodeQL GitHub Action (example in examples/chapter12/codeql-analysis.yml) creates databases, runs queries, and uploads SARIF. Other CI systems use the CLI bundle. Multi-repository variant analysis supports large-scale hunting.</w:t>
      </w:r>
    </w:p>
    <w:p>
      <w:pPr>
        <w:pStyle w:val="Heading1"/>
        <w:pageBreakBefore/>
      </w:pPr>
      <w:r>
        <w:t xml:space="preserve">Chapter 13: Performance and Debugging</w:t>
      </w:r>
    </w:p>
    <w:p>
      <w:pPr>
        <w:spacing w:after="140"/>
      </w:pPr>
      <w:r>
        <w:rPr>
          <w:sz w:val="22"/>
          <w:szCs w:val="22"/>
        </w:rPr>
        <w:t xml:space="preserve">Keep predicates small, prefer library helpers, and use partial-flow debugging when paths are missing. See examples/chapter13/performance-predicate.ql.</w:t>
      </w:r>
    </w:p>
    <w:p>
      <w:pPr>
        <w:pStyle w:val="Heading1"/>
        <w:pageBreakBefore/>
      </w:pPr>
      <w:r>
        <w:t xml:space="preserve">Chapter 14: Case Studies</w:t>
      </w:r>
    </w:p>
    <w:p>
      <w:pPr>
        <w:spacing w:after="140"/>
      </w:pPr>
      <w:r>
        <w:rPr>
          <w:sz w:val="22"/>
          <w:szCs w:val="22"/>
        </w:rPr>
        <w:t xml:space="preserve">Study the Security Lab Zero-to-Hero series. A simplified SQL-injection path query is in examples/chapter14/sql-injection-example.ql. The same source-to-sink skeleton, plus your library extensions, covers most injection and XSS variants.</w:t>
      </w:r>
    </w:p>
    <w:p>
      <w:pPr>
        <w:pStyle w:val="Heading1"/>
        <w:pageBreakBefore/>
      </w:pPr>
      <w:r>
        <w:t xml:space="preserve">Chapter 15: Best Practices and Next Steps</w:t>
      </w:r>
    </w:p>
    <w:p>
      <w:pPr>
        <w:spacing w:after="140"/>
      </w:pPr>
      <w:r>
        <w:rPr>
          <w:sz w:val="22"/>
          <w:szCs w:val="22"/>
        </w:rPr>
        <w:t xml:space="preserve">Write small tested predicates, extend libraries rather than duplicating logic, reduce false positives with precise barriers, and contribute good models upstream. You now have the depth required to tackle real data-flow and taint-tracking problems.</w:t>
      </w:r>
    </w:p>
    <w:p>
      <w:pPr>
        <w:pStyle w:val="Heading1"/>
        <w:pageBreakBefore/>
      </w:pPr>
      <w:r>
        <w:t xml:space="preserve">Appendix: Quick Reference for Data Flow and Taint Tracking</w:t>
      </w:r>
    </w:p>
    <w:p>
      <w:pPr>
        <w:spacing w:after="140"/>
      </w:pPr>
      <w:r>
        <w:rPr>
          <w:sz w:val="22"/>
          <w:szCs w:val="22"/>
        </w:rPr>
        <w:t xml:space="preserve">Configuration signature: implement isSource, isSink, optional isBarrier, optional isAdditionalFlowStep.</w:t>
      </w:r>
    </w:p>
    <w:p>
      <w:pPr>
        <w:spacing w:after="140"/>
      </w:pPr>
      <w:r>
        <w:rPr>
          <w:sz w:val="22"/>
          <w:szCs w:val="22"/>
        </w:rPr>
        <w:t xml:space="preserve">Path-query select form: select sinkNode, sourcePathNode, sinkPathNode, message, ...</w:t>
      </w:r>
    </w:p>
    <w:p>
      <w:pPr>
        <w:spacing w:after="140"/>
      </w:pPr>
      <w:r>
        <w:rPr>
          <w:sz w:val="22"/>
          <w:szCs w:val="22"/>
        </w:rPr>
        <w:t xml:space="preserve">Use TaintTracking::Global for security queries; DataFlow::Global for pure value tracking.</w:t>
      </w:r>
    </w:p>
    <w:p>
      <w:pPr>
        <w:spacing w:after="140"/>
      </w:pPr>
      <w:r>
        <w:rPr>
          <w:sz w:val="22"/>
          <w:szCs w:val="22"/>
        </w:rPr>
        <w:t xml:space="preserve">All focused examples are under examples/chapter08/, examples/chapter09/, and examples/chapter10/.</w:t>
      </w:r>
    </w:p>
    <w:p>
      <w:pPr>
        <w:spacing w:before="400"/>
      </w:pPr>
      <w:r>
        <w:rPr>
          <w:i/>
          <w:iCs/>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5B9BD5"/>
      <w:sz w:val="24"/>
      <w:szCs w:val="24"/>
    </w:rPr>
  </w:style>
  <w:style w:type="paragraph" w:styleId="Title">
    <w:name w:val="Title"/>
    <w:basedOn w:val="Normal"/>
    <w:pPr>
      <w:spacing w:after="160" w:before="0"/>
      <w:jc w:val="center"/>
    </w:pPr>
    <w:rPr>
      <w:rFonts w:ascii="Calibri" w:cs="Calibri" w:eastAsia="Calibri" w:hAnsi="Calibri"/>
      <w:b/>
      <w:bCs/>
      <w:color w:val="1F4E79"/>
      <w:sz w:val="48"/>
      <w:szCs w:val="48"/>
    </w:rPr>
  </w:style>
  <w:style w:type="paragraph" w:styleId="Subtitle">
    <w:name w:val="Subtitle"/>
    <w:basedOn w:val="Normal"/>
    <w:pPr>
      <w:spacing w:after="280" w:before="0"/>
      <w:jc w:val="center"/>
    </w:pPr>
    <w:rPr>
      <w:rFonts w:ascii="Calibri" w:cs="Calibri" w:eastAsia="Calibri" w:hAnsi="Calibri"/>
      <w:i/>
      <w:iCs/>
      <w:color w:val="5B9BD5"/>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vnzyozdgp9aten87c1wj5"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2026-10-15T16:34:22.393Z</dcterms:created>
  <dcterms:modified xsi:type="dcterms:W3CDTF">2026-10-15T16:34:22.393Z</dcterms:modified>
</cp:coreProperties>
</file>

<file path=docProps/custom.xml><?xml version="1.0" encoding="utf-8"?>
<Properties xmlns="http://schemas.openxmlformats.org/officeDocument/2006/custom-properties" xmlns:vt="http://schemas.openxmlformats.org/officeDocument/2006/docPropsVTypes"/>
</file>