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44"/>
          <w:szCs w:val="44"/>
        </w:rPr>
        <w:t xml:space="preserve">Must Learn CodeQL</w:t>
      </w:r>
    </w:p>
    <w:p>
      <w:pPr>
        <w:spacing w:after="120"/>
        <w:jc w:val="center"/>
      </w:pPr>
      <w:r>
        <w:rPr>
          <w:i/>
          <w:iCs/>
          <w:color w:val="5B9BD5"/>
          <w:sz w:val="22"/>
          <w:szCs w:val="22"/>
        </w:rPr>
        <w:t xml:space="preserve">A Practical Guide to Semantic Code Analysis</w:t>
      </w:r>
    </w:p>
    <w:p>
      <w:pPr>
        <w:jc w:val="center"/>
      </w:pPr>
      <w:r>
        <w:rPr>
          <w:sz w:val="20"/>
          <w:szCs w:val="20"/>
        </w:rPr>
        <w:t xml:space="preserve">Rod Trent • 2026</w:t>
      </w:r>
    </w:p>
    <w:p>
      <w:pPr>
        <w:spacing w:before="60"/>
        <w:jc w:val="center"/>
      </w:pPr>
      <w:hyperlink w:history="1" r:id="rIdfbe-nxutnr_ksaawvvseo">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Chapters 1–10 Overview</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11: Packs, Suites, Metadata, and Production Use</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Why Packaging Matters</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Query Packs and Model Packs</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Dependencies and Versioning</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Query Suites</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Metadata Requirements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Expected-Result Testing</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Publishing and Consumption</w:t>
            </w:r>
            <w:r>
              <w:tab/>
            </w:r>
            <w:r>
              <w:fldChar w:fldCharType="begin" w:dirty="true"/>
              <w:instrText xml:space="preserve">PAGEREF _Toc11 \h</w:instrText>
              <w:fldChar w:fldCharType="separate"/>
              <w:fldChar w:fldCharType="end"/>
            </w:r>
          </w:hyperlink>
        </w:p>
        <w:p>
          <w:pPr>
            <w:pStyle w:val="TOC2"/>
            <w:tabs>
              <w:tab w:val="right" w:pos="9648" w:leader="dot"/>
            </w:tabs>
            <w:ind w:left="220"/>
          </w:pPr>
          <w:hyperlink w:history="1" w:anchor="_Toc12">
            <w:r>
              <w:t xml:space="preserve">Production Checklist</w:t>
            </w:r>
            <w:r>
              <w:tab/>
            </w:r>
            <w:r>
              <w:fldChar w:fldCharType="begin" w:dirty="true"/>
              <w:instrText xml:space="preserve">PAGEREF _Toc12 \h</w:instrText>
              <w:fldChar w:fldCharType="separate"/>
              <w:fldChar w:fldCharType="end"/>
            </w:r>
          </w:hyperlink>
        </w:p>
        <w:p>
          <w:pPr>
            <w:pStyle w:val="TOC2"/>
            <w:tabs>
              <w:tab w:val="right" w:pos="9648" w:leader="dot"/>
            </w:tabs>
            <w:ind w:left="220"/>
          </w:pPr>
          <w:hyperlink w:history="1" w:anchor="_Toc13">
            <w:r>
              <w:t xml:space="preserve">Common Pitfalls</w:t>
            </w:r>
            <w:r>
              <w:tab/>
            </w:r>
            <w:r>
              <w:fldChar w:fldCharType="begin" w:dirty="true"/>
              <w:instrText xml:space="preserve">PAGEREF _Toc13 \h</w:instrText>
              <w:fldChar w:fldCharType="separate"/>
              <w:fldChar w:fldCharType="end"/>
            </w:r>
          </w:hyperlink>
        </w:p>
        <w:p>
          <w:pPr>
            <w:pStyle w:val="TOC1"/>
            <w:tabs>
              <w:tab w:val="right" w:pos="9648" w:leader="dot"/>
            </w:tabs>
          </w:pPr>
          <w:hyperlink w:history="1" w:anchor="_Toc14">
            <w:r>
              <w:t xml:space="preserve">Chapter 12: CI Integration</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Chapter 13: Performance and Debugging</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Chapter 14: Case Studies</w:t>
            </w:r>
            <w:r>
              <w:tab/>
            </w:r>
            <w:r>
              <w:fldChar w:fldCharType="begin" w:dirty="true"/>
              <w:instrText xml:space="preserve">PAGEREF _Toc16 \h</w:instrText>
              <w:fldChar w:fldCharType="separate"/>
              <w:fldChar w:fldCharType="end"/>
            </w:r>
          </w:hyperlink>
        </w:p>
        <w:p>
          <w:pPr>
            <w:pStyle w:val="TOC1"/>
            <w:tabs>
              <w:tab w:val="right" w:pos="9648" w:leader="dot"/>
            </w:tabs>
          </w:pPr>
          <w:hyperlink w:history="1" w:anchor="_Toc17">
            <w:r>
              <w:t xml:space="preserve">Chapter 15: Best Practices</w:t>
            </w:r>
            <w:r>
              <w:tab/>
            </w:r>
            <w:r>
              <w:fldChar w:fldCharType="begin" w:dirty="true"/>
              <w:instrText xml:space="preserve">PAGEREF _Toc17 \h</w:instrText>
              <w:fldChar w:fldCharType="separate"/>
              <w:fldChar w:fldCharType="end"/>
            </w:r>
          </w:hyperlink>
        </w:p>
        <w:p>
          <w:pPr>
            <w:pStyle w:val="TOC1"/>
            <w:tabs>
              <w:tab w:val="right" w:pos="9648" w:leader="dot"/>
            </w:tabs>
          </w:pPr>
          <w:hyperlink w:history="1" w:anchor="_Toc18">
            <w:r>
              <w:t xml:space="preserve">Appendix</w:t>
            </w:r>
            <w:r>
              <w:tab/>
            </w:r>
            <w:r>
              <w:fldChar w:fldCharType="begin" w:dirty="true"/>
              <w:instrText xml:space="preserve">PAGEREF _Toc18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00" w:line="276"/>
      </w:pPr>
      <w:r>
        <w:rPr>
          <w:sz w:val="22"/>
          <w:szCs w:val="22"/>
        </w:rPr>
        <w:t xml:space="preserve">Chapter 11 on packs, suites, metadata, and production use has been expanded. Related examples are in examples/chapter11/.</w:t>
      </w:r>
    </w:p>
    <w:p>
      <w:pPr>
        <w:pStyle w:val="Heading1"/>
        <w:pageBreakBefore/>
      </w:pPr>
      <w:bookmarkStart w:name="_Toc3" w:id="3"/>
      <w:r>
        <w:t xml:space="preserve">Chapters 1–10 Overview</w:t>
      </w:r>
      <w:bookmarkEnd w:id="3"/>
    </w:p>
    <w:p>
      <w:pPr>
        <w:spacing w:after="100" w:line="276"/>
      </w:pPr>
      <w:r>
        <w:rPr>
          <w:sz w:val="22"/>
          <w:szCs w:val="22"/>
        </w:rPr>
        <w:t xml:space="preserve">Prior chapters cover CodeQL fundamentals, database creation, QL and predicates, language libraries, data-flow analysis, taint tracking with path queries, and library extension (custom sources, sinks, summaries, and model packs). Those capabilities become production assets only when they are packaged, tested, and selected correctly—the subject of this chapter.</w:t>
      </w:r>
    </w:p>
    <w:p>
      <w:pPr>
        <w:pStyle w:val="Heading1"/>
        <w:pageBreakBefore/>
      </w:pPr>
      <w:bookmarkStart w:name="_Toc4" w:id="4"/>
      <w:r>
        <w:t xml:space="preserve">Chapter 11: Packs, Suites, Metadata, and Production Use</w:t>
      </w:r>
      <w:bookmarkEnd w:id="4"/>
    </w:p>
    <w:p>
      <w:pPr>
        <w:pStyle w:val="Heading2"/>
      </w:pPr>
      <w:bookmarkStart w:name="_Toc5" w:id="5"/>
      <w:r>
        <w:t xml:space="preserve">Why Packaging Matters</w:t>
      </w:r>
      <w:bookmarkEnd w:id="5"/>
    </w:p>
    <w:p>
      <w:pPr>
        <w:spacing w:after="100" w:line="276"/>
      </w:pPr>
      <w:r>
        <w:rPr>
          <w:sz w:val="22"/>
          <w:szCs w:val="22"/>
        </w:rPr>
        <w:t xml:space="preserve">A single .ql file is enough for experimentation. Production use requires a repeatable way to distribute queries and models, declare dependencies, select exactly which queries run in a given context, and ensure results are understandable and stable. CodeQL packs, query suites, and metadata provide that structure.</w:t>
      </w:r>
    </w:p>
    <w:p>
      <w:pPr>
        <w:pStyle w:val="Heading2"/>
      </w:pPr>
      <w:bookmarkStart w:name="_Toc6" w:id="6"/>
      <w:r>
        <w:t xml:space="preserve">Query Packs and Model Packs</w:t>
      </w:r>
      <w:bookmarkEnd w:id="6"/>
    </w:p>
    <w:p>
      <w:pPr>
        <w:spacing w:after="100" w:line="276"/>
      </w:pPr>
      <w:r>
        <w:rPr>
          <w:sz w:val="22"/>
          <w:szCs w:val="22"/>
        </w:rPr>
        <w:t xml:space="preserve">A pack is a directory containing a qlpack.yml file plus queries, libraries, or models. The YAML file declares the pack name, version, and dependencies on the standard libraries or on other packs (including model packs you maintain).</w:t>
      </w:r>
    </w:p>
    <w:p>
      <w:pPr>
        <w:spacing w:after="20" w:before="60"/>
      </w:pP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name: mustlearn/example-queries</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version: 1.0.0</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dependencies:</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codeql/javascript-all: "*"</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 mustlearn/internal-models: "1.2.0"   # example model pack</w:t>
      </w:r>
    </w:p>
    <w:p>
      <w:pPr>
        <w:spacing w:after="80" w:before="20"/>
      </w:pPr>
    </w:p>
    <w:p>
      <w:pPr>
        <w:spacing w:after="100" w:line="276"/>
      </w:pPr>
      <w:r>
        <w:rPr>
          <w:sz w:val="22"/>
          <w:szCs w:val="22"/>
        </w:rPr>
        <w:t xml:space="preserve">Query packs contain the .ql files you want to run. Model packs contain only extensions (custom sources, sinks, summaries) and are depended on by query packs. This separation lets a platform team own the models while application teams consume them. The example qlpack.yml lives at examples/chapter11/qlpack.yml.</w:t>
      </w:r>
    </w:p>
    <w:p>
      <w:pPr>
        <w:pStyle w:val="Heading2"/>
      </w:pPr>
      <w:bookmarkStart w:name="_Toc7" w:id="7"/>
      <w:r>
        <w:t xml:space="preserve">Dependencies and Versioning</w:t>
      </w:r>
      <w:bookmarkEnd w:id="7"/>
    </w:p>
    <w:p>
      <w:pPr>
        <w:spacing w:after="100" w:line="276"/>
      </w:pPr>
      <w:r>
        <w:rPr>
          <w:sz w:val="22"/>
          <w:szCs w:val="22"/>
        </w:rPr>
        <w:t xml:space="preserve">Dependencies are resolved when you run codeql pack install or when the GitHub Action sets up the environment. Pin versions for stability in production; use a range or "*" only while developing. After changing a model pack, bump its version and update the depending query packs so CI picks up the new models deliberately rather than accidentally.</w:t>
      </w:r>
    </w:p>
    <w:p>
      <w:pPr>
        <w:pStyle w:val="Heading2"/>
      </w:pPr>
      <w:bookmarkStart w:name="_Toc8" w:id="8"/>
      <w:r>
        <w:t xml:space="preserve">Query Suites</w:t>
      </w:r>
      <w:bookmarkEnd w:id="8"/>
    </w:p>
    <w:p>
      <w:pPr>
        <w:spacing w:after="100" w:line="276"/>
      </w:pPr>
      <w:r>
        <w:rPr>
          <w:sz w:val="22"/>
          <w:szCs w:val="22"/>
        </w:rPr>
        <w:t xml:space="preserve">A query suite is a .qls file that selects which queries from the available packs actually execute. You can include or exclude by path, by kind, by tags, or by explicit list. Suites let you offer different profiles—security-only, security-extended, quality, or a custom organization suite—from the same underlying packs.</w:t>
      </w:r>
    </w:p>
    <w:p>
      <w:pPr>
        <w:spacing w:after="20" w:before="60"/>
      </w:pP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description: Must Learn example suite</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queries: .</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from: mustlearn/example-queries</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include:</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kind:</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 problem</w:t>
      </w:r>
    </w:p>
    <w:p>
      <w:pPr>
        <w:pBdr>
          <w:left w:val="single" w:color="2E75B6" w:sz="14" w:space="6"/>
        </w:pBdr>
        <w:shd w:fill="F7F9FC" w:val="clear"/>
        <w:spacing w:after="0" w:line="240"/>
        <w:ind w:left="340"/>
      </w:pPr>
      <w:r>
        <w:rPr>
          <w:rFonts w:ascii="Consolas" w:cs="Consolas" w:eastAsia="Consolas" w:hAnsi="Consolas"/>
          <w:color w:val="1E293B"/>
          <w:sz w:val="18"/>
          <w:szCs w:val="18"/>
        </w:rPr>
        <w:t xml:space="preserve">    - path-problem</w:t>
      </w:r>
    </w:p>
    <w:p>
      <w:pPr>
        <w:spacing w:after="80" w:before="20"/>
      </w:pPr>
    </w:p>
    <w:p>
      <w:pPr>
        <w:spacing w:after="100" w:line="276"/>
      </w:pPr>
      <w:r>
        <w:rPr>
          <w:sz w:val="22"/>
          <w:szCs w:val="22"/>
        </w:rPr>
        <w:t xml:space="preserve">An example suite is at examples/chapter11/example-suite.qls. In CI you normally point the CodeQL Action or the CLI at a suite rather than at individual query files.</w:t>
      </w:r>
    </w:p>
    <w:p>
      <w:pPr>
        <w:pStyle w:val="Heading2"/>
      </w:pPr>
      <w:bookmarkStart w:name="_Toc9" w:id="9"/>
      <w:r>
        <w:t xml:space="preserve">Metadata Requirements</w:t>
      </w:r>
      <w:bookmarkEnd w:id="9"/>
    </w:p>
    <w:p>
      <w:pPr>
        <w:spacing w:after="100" w:line="276"/>
      </w:pPr>
      <w:r>
        <w:rPr>
          <w:sz w:val="22"/>
          <w:szCs w:val="22"/>
        </w:rPr>
        <w:t xml:space="preserve">Every production query needs a complete metadata block. The critical fields are:</w:t>
      </w:r>
    </w:p>
    <w:p>
      <w:pPr>
        <w:spacing w:after="100" w:line="276"/>
      </w:pPr>
      <w:r>
        <w:rPr>
          <w:sz w:val="22"/>
          <w:szCs w:val="22"/>
        </w:rPr>
        <w:t xml:space="preserve">• @kind — problem or path-problem</w:t>
      </w:r>
    </w:p>
    <w:p>
      <w:pPr>
        <w:spacing w:after="100" w:line="276"/>
      </w:pPr>
      <w:r>
        <w:rPr>
          <w:sz w:val="22"/>
          <w:szCs w:val="22"/>
        </w:rPr>
        <w:t xml:space="preserve">• @id — globally unique identifier</w:t>
      </w:r>
    </w:p>
    <w:p>
      <w:pPr>
        <w:spacing w:after="100" w:line="276"/>
      </w:pPr>
      <w:r>
        <w:rPr>
          <w:sz w:val="22"/>
          <w:szCs w:val="22"/>
        </w:rPr>
        <w:t xml:space="preserve">• @name — short title shown in alerts</w:t>
      </w:r>
    </w:p>
    <w:p>
      <w:pPr>
        <w:spacing w:after="100" w:line="276"/>
      </w:pPr>
      <w:r>
        <w:rPr>
          <w:sz w:val="22"/>
          <w:szCs w:val="22"/>
        </w:rPr>
        <w:t xml:space="preserve">• @description — one-sentence explanation</w:t>
      </w:r>
    </w:p>
    <w:p>
      <w:pPr>
        <w:spacing w:after="100" w:line="276"/>
      </w:pPr>
      <w:r>
        <w:rPr>
          <w:sz w:val="22"/>
          <w:szCs w:val="22"/>
        </w:rPr>
        <w:t xml:space="preserve">• @problem.severity — error, warning, or recommendation</w:t>
      </w:r>
    </w:p>
    <w:p>
      <w:pPr>
        <w:spacing w:after="100" w:line="276"/>
      </w:pPr>
      <w:r>
        <w:rPr>
          <w:sz w:val="22"/>
          <w:szCs w:val="22"/>
        </w:rPr>
        <w:t xml:space="preserve">• @precision — high, medium, or low (strongly recommended)</w:t>
      </w:r>
    </w:p>
    <w:p>
      <w:pPr>
        <w:spacing w:after="100" w:line="276"/>
      </w:pPr>
      <w:r>
        <w:rPr>
          <w:sz w:val="22"/>
          <w:szCs w:val="22"/>
        </w:rPr>
        <w:t xml:space="preserve">• @tags — CWE identifiers or custom tags for suite selection</w:t>
      </w:r>
    </w:p>
    <w:p>
      <w:pPr>
        <w:spacing w:after="100" w:line="276"/>
      </w:pPr>
      <w:r>
        <w:rPr>
          <w:sz w:val="22"/>
          <w:szCs w:val="22"/>
        </w:rPr>
        <w:t xml:space="preserve">Incomplete metadata produces alerts that developers cannot act on and that cannot be filtered reliably. Add a query-help file (Markdown) for any query you expect others to triage.</w:t>
      </w:r>
    </w:p>
    <w:p>
      <w:pPr>
        <w:pStyle w:val="Heading2"/>
      </w:pPr>
      <w:bookmarkStart w:name="_Toc10" w:id="10"/>
      <w:r>
        <w:t xml:space="preserve">Expected-Result Testing</w:t>
      </w:r>
      <w:bookmarkEnd w:id="10"/>
    </w:p>
    <w:p>
      <w:pPr>
        <w:spacing w:after="100" w:line="276"/>
      </w:pPr>
      <w:r>
        <w:rPr>
          <w:sz w:val="22"/>
          <w:szCs w:val="22"/>
        </w:rPr>
        <w:t xml:space="preserve">Before a pack is shared or enabled in CI, add tests that contain both vulnerable and safe examples. CodeQL’s test framework compares actual results against committed expected-result files. A failing test means either the query changed behavior or a library upgrade altered results. Both cases must be reviewed deliberately. Place tests next to the queries they protect and run them locally with codeql test run before every release of the pack.</w:t>
      </w:r>
    </w:p>
    <w:p>
      <w:pPr>
        <w:pStyle w:val="Heading2"/>
      </w:pPr>
      <w:bookmarkStart w:name="_Toc11" w:id="11"/>
      <w:r>
        <w:t xml:space="preserve">Publishing and Consumption</w:t>
      </w:r>
      <w:bookmarkEnd w:id="11"/>
    </w:p>
    <w:p>
      <w:pPr>
        <w:spacing w:after="100" w:line="276"/>
      </w:pPr>
      <w:r>
        <w:rPr>
          <w:sz w:val="22"/>
          <w:szCs w:val="22"/>
        </w:rPr>
        <w:t xml:space="preserve">Packs can be published to GitHub Container Registry or consumed directly from a repository. In either case, document the pack name, the suites you support, and the minimum CodeQL CLI version required. Application repositories then add a dependency (or use a pre-built suite) and reference the suite from their CodeQL workflow.</w:t>
      </w:r>
    </w:p>
    <w:p>
      <w:pPr>
        <w:pStyle w:val="Heading2"/>
      </w:pPr>
      <w:bookmarkStart w:name="_Toc12" w:id="12"/>
      <w:r>
        <w:t xml:space="preserve">Production Checklist</w:t>
      </w:r>
      <w:bookmarkEnd w:id="12"/>
    </w:p>
    <w:p>
      <w:pPr>
        <w:spacing w:after="100" w:line="276"/>
      </w:pPr>
      <w:r>
        <w:rPr>
          <w:sz w:val="22"/>
          <w:szCs w:val="22"/>
        </w:rPr>
        <w:t xml:space="preserve">1. Queries have complete metadata and help text.</w:t>
      </w:r>
    </w:p>
    <w:p>
      <w:pPr>
        <w:spacing w:after="100" w:line="276"/>
      </w:pPr>
      <w:r>
        <w:rPr>
          <w:sz w:val="22"/>
          <w:szCs w:val="22"/>
        </w:rPr>
        <w:t xml:space="preserve">2. Positive and negative tests exist and pass.</w:t>
      </w:r>
    </w:p>
    <w:p>
      <w:pPr>
        <w:spacing w:after="100" w:line="276"/>
      </w:pPr>
      <w:r>
        <w:rPr>
          <w:sz w:val="22"/>
          <w:szCs w:val="22"/>
        </w:rPr>
        <w:t xml:space="preserve">3. Models live in a separate pack with their own tests.</w:t>
      </w:r>
    </w:p>
    <w:p>
      <w:pPr>
        <w:spacing w:after="100" w:line="276"/>
      </w:pPr>
      <w:r>
        <w:rPr>
          <w:sz w:val="22"/>
          <w:szCs w:val="22"/>
        </w:rPr>
        <w:t xml:space="preserve">4. A suite selects exactly the queries intended for CI.</w:t>
      </w:r>
    </w:p>
    <w:p>
      <w:pPr>
        <w:spacing w:after="100" w:line="276"/>
      </w:pPr>
      <w:r>
        <w:rPr>
          <w:sz w:val="22"/>
          <w:szCs w:val="22"/>
        </w:rPr>
        <w:t xml:space="preserve">5. The pack version is pinned in consuming repositories.</w:t>
      </w:r>
    </w:p>
    <w:p>
      <w:pPr>
        <w:spacing w:after="100" w:line="276"/>
      </w:pPr>
      <w:r>
        <w:rPr>
          <w:sz w:val="22"/>
          <w:szCs w:val="22"/>
        </w:rPr>
        <w:t xml:space="preserve">6. The CI workflow runs the suite and uploads SARIF.</w:t>
      </w:r>
    </w:p>
    <w:p>
      <w:pPr>
        <w:spacing w:after="100" w:line="276"/>
      </w:pPr>
      <w:r>
        <w:rPr>
          <w:sz w:val="22"/>
          <w:szCs w:val="22"/>
        </w:rPr>
        <w:t xml:space="preserve">7. Alerts are reviewed on a sample of pull requests before broad rollout.</w:t>
      </w:r>
    </w:p>
    <w:p>
      <w:pPr>
        <w:pStyle w:val="Heading2"/>
      </w:pPr>
      <w:bookmarkStart w:name="_Toc13" w:id="13"/>
      <w:r>
        <w:t xml:space="preserve">Common Pitfalls</w:t>
      </w:r>
      <w:bookmarkEnd w:id="13"/>
    </w:p>
    <w:p>
      <w:pPr>
        <w:spacing w:after="100" w:line="276"/>
      </w:pPr>
      <w:r>
        <w:rPr>
          <w:sz w:val="22"/>
          <w:szCs w:val="22"/>
        </w:rPr>
        <w:t xml:space="preserve">Missing or incorrect @kind prevents path display. Duplicate @id values collide in GitHub code scanning. Suites that accidentally include experimental queries create noise. Forgetting to bump a model-pack version leaves CI running stale models. Tests that only cover the happy path miss precision regressions. Address these before enabling a suite organization-wide.</w:t>
      </w:r>
    </w:p>
    <w:p>
      <w:pPr>
        <w:pStyle w:val="Heading1"/>
        <w:pageBreakBefore/>
      </w:pPr>
      <w:bookmarkStart w:name="_Toc14" w:id="14"/>
      <w:r>
        <w:t xml:space="preserve">Chapter 12: CI Integration</w:t>
      </w:r>
      <w:bookmarkEnd w:id="14"/>
    </w:p>
    <w:p>
      <w:pPr>
        <w:spacing w:after="100" w:line="276"/>
      </w:pPr>
      <w:r>
        <w:rPr>
          <w:sz w:val="22"/>
          <w:szCs w:val="22"/>
        </w:rPr>
        <w:t xml:space="preserve">The CodeQL GitHub Action or the CLI bundle executes the suite you defined in Chapter 11 and uploads SARIF. Sample workflow: examples/chapter12/codeql-analysis.yml. MRVA extends the same packs to many repositories.</w:t>
      </w:r>
    </w:p>
    <w:p>
      <w:pPr>
        <w:pStyle w:val="Heading1"/>
        <w:pageBreakBefore/>
      </w:pPr>
      <w:bookmarkStart w:name="_Toc15" w:id="15"/>
      <w:r>
        <w:t xml:space="preserve">Chapter 13: Performance and Debugging</w:t>
      </w:r>
      <w:bookmarkEnd w:id="15"/>
    </w:p>
    <w:p>
      <w:pPr>
        <w:spacing w:after="100" w:line="276"/>
      </w:pPr>
      <w:r>
        <w:rPr>
          <w:sz w:val="22"/>
          <w:szCs w:val="22"/>
        </w:rPr>
        <w:t xml:space="preserve">Keep predicates precise. Use partial-flow debugging when paths are missing. See examples/chapter13/.</w:t>
      </w:r>
    </w:p>
    <w:p>
      <w:pPr>
        <w:pStyle w:val="Heading1"/>
        <w:pageBreakBefore/>
      </w:pPr>
      <w:bookmarkStart w:name="_Toc16" w:id="16"/>
      <w:r>
        <w:t xml:space="preserve">Chapter 14: Case Studies</w:t>
      </w:r>
      <w:bookmarkEnd w:id="16"/>
    </w:p>
    <w:p>
      <w:pPr>
        <w:spacing w:after="100" w:line="276"/>
      </w:pPr>
      <w:r>
        <w:rPr>
          <w:sz w:val="22"/>
          <w:szCs w:val="22"/>
        </w:rPr>
        <w:t xml:space="preserve">Published analyses and examples/chapter14/ illustrate complete source-to-sink queries that belong in a production pack.</w:t>
      </w:r>
    </w:p>
    <w:p>
      <w:pPr>
        <w:pStyle w:val="Heading1"/>
        <w:pageBreakBefore/>
      </w:pPr>
      <w:bookmarkStart w:name="_Toc17" w:id="17"/>
      <w:r>
        <w:t xml:space="preserve">Chapter 15: Best Practices</w:t>
      </w:r>
      <w:bookmarkEnd w:id="17"/>
    </w:p>
    <w:p>
      <w:pPr>
        <w:spacing w:after="100" w:line="276"/>
      </w:pPr>
      <w:r>
        <w:rPr>
          <w:sz w:val="22"/>
          <w:szCs w:val="22"/>
        </w:rPr>
        <w:t xml:space="preserve">Package models separately, test everything, pin versions, and contribute stable models upstream.</w:t>
      </w:r>
    </w:p>
    <w:p>
      <w:pPr>
        <w:pStyle w:val="Heading1"/>
        <w:pageBreakBefore/>
      </w:pPr>
      <w:bookmarkStart w:name="_Toc18" w:id="18"/>
      <w:r>
        <w:t xml:space="preserve">Appendix</w:t>
      </w:r>
      <w:bookmarkEnd w:id="18"/>
    </w:p>
    <w:p>
      <w:pPr>
        <w:spacing w:after="100" w:line="276"/>
      </w:pPr>
      <w:r>
        <w:rPr>
          <w:sz w:val="22"/>
          <w:szCs w:val="22"/>
        </w:rPr>
        <w:t xml:space="preserve">Chapter 11 examples: examples/chapter11/qlpack.yml and example-suite.qls. Official docs: https://codeql.github.com/docs/. Repository: https://github.com/rod-trent/MustLearnCodeQL.</w:t>
      </w:r>
    </w:p>
    <w:p>
      <w:pPr>
        <w:spacing w:before="200"/>
        <w:jc w:val="center"/>
      </w:pPr>
      <w:r>
        <w:rPr>
          <w:i/>
          <w:iCs/>
          <w:color w:val="666666"/>
          <w:sz w:val="20"/>
          <w:szCs w:val="20"/>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60" w:before="16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fbe-nxutnr_ksaawvvseo"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2026-10-15T17:12:14.846Z</dcterms:created>
  <dcterms:modified xsi:type="dcterms:W3CDTF">2026-10-15T17:12:14.847Z</dcterms:modified>
</cp:coreProperties>
</file>

<file path=docProps/custom.xml><?xml version="1.0" encoding="utf-8"?>
<Properties xmlns="http://schemas.openxmlformats.org/officeDocument/2006/custom-properties" xmlns:vt="http://schemas.openxmlformats.org/officeDocument/2006/docPropsVTypes"/>
</file>