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F4E79"/>
          <w:sz w:val="38"/>
          <w:szCs w:val="38"/>
        </w:rPr>
        <w:t xml:space="preserve">Must Learn CodeQL</w:t>
      </w:r>
    </w:p>
    <w:p>
      <w:pPr>
        <w:spacing w:after="60"/>
        <w:jc w:val="center"/>
      </w:pPr>
      <w:r>
        <w:rPr>
          <w:i/>
          <w:iCs/>
          <w:color w:val="5B9BD5"/>
          <w:sz w:val="18"/>
          <w:szCs w:val="18"/>
        </w:rPr>
        <w:t xml:space="preserve">A Practical Guide to Semantic Code Analysis</w:t>
      </w:r>
    </w:p>
    <w:p>
      <w:pPr>
        <w:jc w:val="center"/>
      </w:pPr>
      <w:r>
        <w:rPr>
          <w:sz w:val="16"/>
          <w:szCs w:val="16"/>
        </w:rPr>
        <w:t xml:space="preserve">Rod Trent • 2026</w:t>
      </w:r>
    </w:p>
    <w:p>
      <w:pPr>
        <w:spacing w:before="20"/>
        <w:jc w:val="center"/>
      </w:pPr>
      <w:hyperlink w:history="1" r:id="rIdhd7m76vakir2j9bl2vfrp">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Prior Chapters</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14: Real-World Case Studies and Patterns</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Learning from Published Analyses</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Common Vulnerability Classes</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SQL Injection Skeleton</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From Seed to Variant Analysis</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Studying Standard Library Queries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Adapting a Case Study</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What Good Case Studies Share</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Chapter 15: Best Practices</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Appendix</w:t>
            </w:r>
            <w:r>
              <w:tab/>
            </w:r>
            <w:r>
              <w:fldChar w:fldCharType="begin" w:dirty="true"/>
              <w:instrText xml:space="preserve">PAGEREF _Toc13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70" w:line="276"/>
      </w:pPr>
      <w:r>
        <w:rPr>
          <w:sz w:val="22"/>
          <w:szCs w:val="22"/>
        </w:rPr>
        <w:t xml:space="preserve">Chapter 14 on case studies and patterns has been expanded. Related example: examples/chapter14/sql-injection-example.ql.</w:t>
      </w:r>
    </w:p>
    <w:p>
      <w:pPr>
        <w:pStyle w:val="Heading1"/>
        <w:pageBreakBefore/>
      </w:pPr>
      <w:bookmarkStart w:name="_Toc3" w:id="3"/>
      <w:r>
        <w:t xml:space="preserve">Prior Chapters</w:t>
      </w:r>
      <w:bookmarkEnd w:id="3"/>
    </w:p>
    <w:p>
      <w:pPr>
        <w:spacing w:after="70" w:line="276"/>
      </w:pPr>
      <w:r>
        <w:rPr>
          <w:sz w:val="22"/>
          <w:szCs w:val="22"/>
        </w:rPr>
        <w:t xml:space="preserve">Chapters 1–13 cover fundamentals through performance and debugging. This chapter shows how those techniques appear in real analyses.</w:t>
      </w:r>
    </w:p>
    <w:p>
      <w:pPr>
        <w:pStyle w:val="Heading1"/>
        <w:pageBreakBefore/>
      </w:pPr>
      <w:bookmarkStart w:name="_Toc4" w:id="4"/>
      <w:r>
        <w:t xml:space="preserve">Chapter 14: Real-World Case Studies and Patterns</w:t>
      </w:r>
      <w:bookmarkEnd w:id="4"/>
    </w:p>
    <w:p>
      <w:pPr>
        <w:pStyle w:val="Heading2"/>
      </w:pPr>
      <w:bookmarkStart w:name="_Toc5" w:id="5"/>
      <w:r>
        <w:t xml:space="preserve">Learning from Published Analyses</w:t>
      </w:r>
      <w:bookmarkEnd w:id="5"/>
    </w:p>
    <w:p>
      <w:pPr>
        <w:spacing w:after="70" w:line="276"/>
      </w:pPr>
      <w:r>
        <w:rPr>
          <w:sz w:val="22"/>
          <w:szCs w:val="22"/>
        </w:rPr>
        <w:t xml:space="preserve">The fastest way to internalize effective query patterns is to study complete, published work. The GitHub Security Lab Zero-to-Hero blog series, the Secure Code Game, individual vulnerability write-ups, and the queries shipped in the standard CodeQL packs all show how researchers move from a single seed finding to a robust, low-noise query. Pay attention to how they choose sources, model sinks, add barriers, and handle library functions that are not yet covered.</w:t>
      </w:r>
    </w:p>
    <w:p>
      <w:pPr>
        <w:pStyle w:val="Heading2"/>
      </w:pPr>
      <w:bookmarkStart w:name="_Toc6" w:id="6"/>
      <w:r>
        <w:t xml:space="preserve">Common Vulnerability Classes</w:t>
      </w:r>
      <w:bookmarkEnd w:id="6"/>
    </w:p>
    <w:p>
      <w:pPr>
        <w:spacing w:after="70" w:line="276"/>
      </w:pPr>
      <w:r>
        <w:rPr>
          <w:sz w:val="22"/>
          <w:szCs w:val="22"/>
        </w:rPr>
        <w:t xml:space="preserve">Most security queries follow the same source-to-sink skeleton you practiced in the taint-tracking chapter. The classes you will encounter most often are:</w:t>
      </w:r>
    </w:p>
    <w:p>
      <w:pPr>
        <w:spacing w:after="70" w:line="276"/>
      </w:pPr>
      <w:r>
        <w:rPr>
          <w:sz w:val="22"/>
          <w:szCs w:val="22"/>
        </w:rPr>
        <w:t xml:space="preserve">• Injection flaws (SQL, command, LDAP, XPath)</w:t>
      </w:r>
    </w:p>
    <w:p>
      <w:pPr>
        <w:spacing w:after="70" w:line="276"/>
      </w:pPr>
      <w:r>
        <w:rPr>
          <w:sz w:val="22"/>
          <w:szCs w:val="22"/>
        </w:rPr>
        <w:t xml:space="preserve">• Cross-site scripting (reflected, stored, DOM-based)</w:t>
      </w:r>
    </w:p>
    <w:p>
      <w:pPr>
        <w:spacing w:after="70" w:line="276"/>
      </w:pPr>
      <w:r>
        <w:rPr>
          <w:sz w:val="22"/>
          <w:szCs w:val="22"/>
        </w:rPr>
        <w:t xml:space="preserve">• Path traversal and file inclusion</w:t>
      </w:r>
    </w:p>
    <w:p>
      <w:pPr>
        <w:spacing w:after="70" w:line="276"/>
      </w:pPr>
      <w:r>
        <w:rPr>
          <w:sz w:val="22"/>
          <w:szCs w:val="22"/>
        </w:rPr>
        <w:t xml:space="preserve">• Insecure deserialization</w:t>
      </w:r>
    </w:p>
    <w:p>
      <w:pPr>
        <w:spacing w:after="70" w:line="276"/>
      </w:pPr>
      <w:r>
        <w:rPr>
          <w:sz w:val="22"/>
          <w:szCs w:val="22"/>
        </w:rPr>
        <w:t xml:space="preserve">• Unsafe cryptographic or random usage</w:t>
      </w:r>
    </w:p>
    <w:p>
      <w:pPr>
        <w:spacing w:after="70" w:line="276"/>
      </w:pPr>
      <w:r>
        <w:rPr>
          <w:sz w:val="22"/>
          <w:szCs w:val="22"/>
        </w:rPr>
        <w:t xml:space="preserve">• Open redirects and SSRF</w:t>
      </w:r>
    </w:p>
    <w:p>
      <w:pPr>
        <w:spacing w:after="70" w:line="276"/>
      </w:pPr>
      <w:r>
        <w:rPr>
          <w:sz w:val="22"/>
          <w:szCs w:val="22"/>
        </w:rPr>
        <w:t xml:space="preserve">Each class has a characteristic set of sources and sinks. Once those are modeled, the configuration style remains identical.</w:t>
      </w:r>
    </w:p>
    <w:p>
      <w:pPr>
        <w:pStyle w:val="Heading2"/>
      </w:pPr>
      <w:bookmarkStart w:name="_Toc7" w:id="7"/>
      <w:r>
        <w:t xml:space="preserve">SQL Injection Skeleton</w:t>
      </w:r>
      <w:bookmarkEnd w:id="7"/>
    </w:p>
    <w:p>
      <w:pPr>
        <w:spacing w:after="70" w:line="276"/>
      </w:pPr>
      <w:r>
        <w:rPr>
          <w:sz w:val="22"/>
          <w:szCs w:val="22"/>
        </w:rPr>
        <w:t xml:space="preserve">A simplified path query that demonstrates the structure is in examples/chapter14/sql-injection-example.ql. In production you replace the placeholder sink with a properly modeled SQL execution API or with an extension that recognizes your data-access layer. The same file can serve as a template for command injection or LDAP injection by changing only the sink predicate.</w:t>
      </w:r>
    </w:p>
    <w:p>
      <w:pPr>
        <w:spacing w:after="8" w:before="30"/>
      </w:pP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 @kind path-problem</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 @id mustlearn/sql-injection-example</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 @name Example SQL injection</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import javascript</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module Config implements DataFlow::ConfigSig {</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predicate isSource(DataFlow::Node n) { n instanceof RemoteFlowSource }</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predicate isSink(DataFlow::Node n) {</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 Replace with a real modeled sink</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n.asExpr().(CallExpr).getCalleeName() = "query"</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  }</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module Flow = TaintTracking::Global&lt;Config&gt;;</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import Flow::PathGraph</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from Flow::PathNode source, Flow::PathNode sink</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where Flow::flowPath(source, sink)</w:t>
      </w:r>
    </w:p>
    <w:p>
      <w:pPr>
        <w:pBdr>
          <w:left w:val="single" w:color="2E75B6" w:sz="10" w:space="4"/>
        </w:pBdr>
        <w:shd w:fill="F7F9FC" w:val="clear"/>
        <w:spacing w:after="0" w:line="240"/>
        <w:ind w:left="280"/>
      </w:pPr>
      <w:r>
        <w:rPr>
          <w:rFonts w:ascii="Consolas" w:cs="Consolas" w:eastAsia="Consolas" w:hAnsi="Consolas"/>
          <w:color w:val="1E293B"/>
          <w:sz w:val="18"/>
          <w:szCs w:val="18"/>
        </w:rPr>
        <w:t xml:space="preserve">select sink.getNode(), source, sink, "SQL injection via $@.", source.getNode(), "user input"</w:t>
      </w:r>
    </w:p>
    <w:p>
      <w:pPr>
        <w:spacing w:after="50" w:before="8"/>
      </w:pPr>
    </w:p>
    <w:p>
      <w:pPr>
        <w:pStyle w:val="Heading2"/>
      </w:pPr>
      <w:bookmarkStart w:name="_Toc8" w:id="8"/>
      <w:r>
        <w:t xml:space="preserve">From Seed to Variant Analysis</w:t>
      </w:r>
      <w:bookmarkEnd w:id="8"/>
    </w:p>
    <w:p>
      <w:pPr>
        <w:spacing w:after="70" w:line="276"/>
      </w:pPr>
      <w:r>
        <w:rPr>
          <w:sz w:val="22"/>
          <w:szCs w:val="22"/>
        </w:rPr>
        <w:t xml:space="preserve">A typical research or internal workflow is: discover one vulnerability manually or from a report, write a query that captures the essential conditions, refine sources, sinks, barriers, and additional steps until false positives are acceptable, then run the query at scale with multi-repository variant analysis or inside CI. The finished query becomes both a detector for similar bugs and a regression test that prevents the pattern from returning.</w:t>
      </w:r>
    </w:p>
    <w:p>
      <w:pPr>
        <w:pStyle w:val="Heading2"/>
      </w:pPr>
      <w:bookmarkStart w:name="_Toc9" w:id="9"/>
      <w:r>
        <w:t xml:space="preserve">Studying Standard Library Queries</w:t>
      </w:r>
      <w:bookmarkEnd w:id="9"/>
    </w:p>
    <w:p>
      <w:pPr>
        <w:spacing w:after="70" w:line="276"/>
      </w:pPr>
      <w:r>
        <w:rPr>
          <w:sz w:val="22"/>
          <w:szCs w:val="22"/>
        </w:rPr>
        <w:t xml:space="preserve">The queries shipped with CodeQL are excellent case studies. Open a security query for your language, observe how it defines its configuration, which library classes it reuses, and how it documents metadata and help text. Copy the structure, then adapt the source and sink predicates for an internal API. This is usually faster and more precise than starting from a blank file.</w:t>
      </w:r>
    </w:p>
    <w:p>
      <w:pPr>
        <w:pStyle w:val="Heading2"/>
      </w:pPr>
      <w:bookmarkStart w:name="_Toc10" w:id="10"/>
      <w:r>
        <w:t xml:space="preserve">Adapting a Case Study</w:t>
      </w:r>
      <w:bookmarkEnd w:id="10"/>
    </w:p>
    <w:p>
      <w:pPr>
        <w:spacing w:after="70" w:line="276"/>
      </w:pPr>
      <w:r>
        <w:rPr>
          <w:sz w:val="22"/>
          <w:szCs w:val="22"/>
        </w:rPr>
        <w:t xml:space="preserve">When you adapt a published query:</w:t>
      </w:r>
    </w:p>
    <w:p>
      <w:pPr>
        <w:spacing w:after="70" w:line="276"/>
      </w:pPr>
      <w:r>
        <w:rPr>
          <w:sz w:val="22"/>
          <w:szCs w:val="22"/>
        </w:rPr>
        <w:t xml:space="preserve">1. Identify the original sources and sinks.</w:t>
      </w:r>
    </w:p>
    <w:p>
      <w:pPr>
        <w:spacing w:after="70" w:line="276"/>
      </w:pPr>
      <w:r>
        <w:rPr>
          <w:sz w:val="22"/>
          <w:szCs w:val="22"/>
        </w:rPr>
        <w:t xml:space="preserve">2. Map them to the equivalent concepts in your codebase (or add extensions).</w:t>
      </w:r>
    </w:p>
    <w:p>
      <w:pPr>
        <w:spacing w:after="70" w:line="276"/>
      </w:pPr>
      <w:r>
        <w:rPr>
          <w:sz w:val="22"/>
          <w:szCs w:val="22"/>
        </w:rPr>
        <w:t xml:space="preserve">3. Run against a small positive/negative test database.</w:t>
      </w:r>
    </w:p>
    <w:p>
      <w:pPr>
        <w:spacing w:after="70" w:line="276"/>
      </w:pPr>
      <w:r>
        <w:rPr>
          <w:sz w:val="22"/>
          <w:szCs w:val="22"/>
        </w:rPr>
        <w:t xml:space="preserve">4. Add barriers for known sanitizers.</w:t>
      </w:r>
    </w:p>
    <w:p>
      <w:pPr>
        <w:spacing w:after="70" w:line="276"/>
      </w:pPr>
      <w:r>
        <w:rPr>
          <w:sz w:val="22"/>
          <w:szCs w:val="22"/>
        </w:rPr>
        <w:t xml:space="preserve">5. Measure precision, then add the query to a suite.</w:t>
      </w:r>
    </w:p>
    <w:p>
      <w:pPr>
        <w:pStyle w:val="Heading2"/>
      </w:pPr>
      <w:bookmarkStart w:name="_Toc11" w:id="11"/>
      <w:r>
        <w:t xml:space="preserve">What Good Case Studies Share</w:t>
      </w:r>
      <w:bookmarkEnd w:id="11"/>
    </w:p>
    <w:p>
      <w:pPr>
        <w:spacing w:after="70" w:line="276"/>
      </w:pPr>
      <w:r>
        <w:rPr>
          <w:sz w:val="22"/>
          <w:szCs w:val="22"/>
        </w:rPr>
        <w:t xml:space="preserve">Clear metadata, a focused configuration, reuse of standard library classes, explicit handling of common sanitizers, and a set of tests. They also document limitations—what the query does not detect—so future maintainers know where models still need to be added.</w:t>
      </w:r>
    </w:p>
    <w:p>
      <w:pPr>
        <w:pStyle w:val="Heading1"/>
        <w:pageBreakBefore/>
      </w:pPr>
      <w:bookmarkStart w:name="_Toc12" w:id="12"/>
      <w:r>
        <w:t xml:space="preserve">Chapter 15: Best Practices</w:t>
      </w:r>
      <w:bookmarkEnd w:id="12"/>
    </w:p>
    <w:p>
      <w:pPr>
        <w:spacing w:after="70" w:line="276"/>
      </w:pPr>
      <w:r>
        <w:rPr>
          <w:sz w:val="22"/>
          <w:szCs w:val="22"/>
        </w:rPr>
        <w:t xml:space="preserve">Apply the patterns from case studies: small tested configurations, library extension, and precise barriers.</w:t>
      </w:r>
    </w:p>
    <w:p>
      <w:pPr>
        <w:pStyle w:val="Heading1"/>
        <w:pageBreakBefore/>
      </w:pPr>
      <w:bookmarkStart w:name="_Toc13" w:id="13"/>
      <w:r>
        <w:t xml:space="preserve">Appendix</w:t>
      </w:r>
      <w:bookmarkEnd w:id="13"/>
    </w:p>
    <w:p>
      <w:pPr>
        <w:spacing w:after="70" w:line="276"/>
      </w:pPr>
      <w:r>
        <w:rPr>
          <w:sz w:val="22"/>
          <w:szCs w:val="22"/>
        </w:rPr>
        <w:t xml:space="preserve">SQL injection example: examples/chapter14/sql-injection-example.ql. Security Lab Zero-to-Hero series and official CodeQL security queries. Repository: https://github.com/rod-trent/MustLearnCodeQL.</w:t>
      </w:r>
    </w:p>
    <w:p>
      <w:pPr>
        <w:spacing w:before="100"/>
        <w:jc w:val="center"/>
      </w:pPr>
      <w:r>
        <w:rPr>
          <w:i/>
          <w:iCs/>
          <w:color w:val="666666"/>
          <w:sz w:val="18"/>
          <w:szCs w:val="18"/>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8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30" w:before="10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d7m76vakir2j9bl2vfrp"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2026-10-15T17:20:33.474Z</dcterms:created>
  <dcterms:modified xsi:type="dcterms:W3CDTF">2026-10-15T17:20:33.474Z</dcterms:modified>
</cp:coreProperties>
</file>

<file path=docProps/custom.xml><?xml version="1.0" encoding="utf-8"?>
<Properties xmlns="http://schemas.openxmlformats.org/officeDocument/2006/custom-properties" xmlns:vt="http://schemas.openxmlformats.org/officeDocument/2006/docPropsVTypes"/>
</file>