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Practical Guide to Semantic Code Analysis</w:t>
      </w:r>
    </w:p>
    <w:p>
      <w:pPr>
        <w:spacing w:before="400"/>
        <w:jc w:val="center"/>
      </w:pPr>
      <w:r>
        <w:rPr>
          <w:b/>
          <w:bCs/>
          <w:sz w:val="28"/>
          <w:szCs w:val="28"/>
        </w:rPr>
        <w:t xml:space="preserve">Rod Trent</w:t>
      </w:r>
    </w:p>
    <w:p>
      <w:pPr>
        <w:spacing w:before="120"/>
        <w:jc w:val="center"/>
      </w:pPr>
      <w:r>
        <w:rPr>
          <w:i/>
          <w:iCs/>
          <w:sz w:val="24"/>
          <w:szCs w:val="24"/>
        </w:rPr>
        <w:t xml:space="preserve">2026</w:t>
      </w:r>
    </w:p>
    <w:p>
      <w:pPr>
        <w:spacing w:before="600"/>
        <w:jc w:val="center"/>
      </w:pPr>
      <w:hyperlink w:history="1" r:id="rIdrfnkb54tlqwh_y4qmo2ag">
        <w:r>
          <w:rPr>
            <w:rStyle w:val="Hyperlink"/>
          </w:rPr>
          <w:t xml:space="preserve">Companion Repository: github.com/rod-trent/MustLearnCodeQL</w:t>
        </w:r>
      </w:hyperlink>
    </w:p>
    <w:p>
      <w:pPr>
        <w:pStyle w:val="Heading1"/>
        <w:pageBreakBefore/>
      </w:pPr>
      <w:bookmarkStart w:name="_Toc1" w:id="1"/>
      <w:r>
        <w:t xml:space="preserve">Table of Contents</w:t>
      </w:r>
      <w:bookmarkEnd w:id="1"/>
    </w:p>
    <w:sdt>
      <w:sdtPr>
        <w:alias w:val="Table of 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Chapter 1: Why CodeQL and How It Works</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The Limits of Traditional Analysis</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Code as Data</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Variant Analysis</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The Analysis Pipeline</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Chapter 2: Tools, Setup, and Your First Database</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Environments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Creating a Database</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Chapter 3: CodeQL Database Creation</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What a Database Contains</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Creation Examples</w:t>
            </w:r>
            <w:r>
              <w:tab/>
            </w:r>
            <w:r>
              <w:fldChar w:fldCharType="begin" w:dirty="true"/>
              <w:instrText xml:space="preserve">PAGEREF _Toc13 \h</w:instrText>
              <w:fldChar w:fldCharType="separate"/>
              <w:fldChar w:fldCharType="end"/>
            </w:r>
          </w:hyperlink>
        </w:p>
        <w:p>
          <w:pPr>
            <w:pStyle w:val="TOC1"/>
            <w:tabs>
              <w:tab w:val="right" w:pos="9360" w:leader="dot"/>
            </w:tabs>
          </w:pPr>
          <w:hyperlink w:history="1" w:anchor="_Toc14">
            <w:r>
              <w:t xml:space="preserve">Chapter 4: QL Language Fundamentals</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Declarative Queries</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Simple Example</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Chapter 5: Writing Custom Predicates</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Predicates as Reusable Units</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Chapter 6: Writing Your First CodeQL Queries</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Query Structure</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Chapter 7: Exploring Code with Language Libraries</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Standard Libraries</w:t>
            </w:r>
            <w:r>
              <w:tab/>
            </w:r>
            <w:r>
              <w:fldChar w:fldCharType="begin" w:dirty="true"/>
              <w:instrText xml:space="preserve">PAGEREF _Toc22 \h</w:instrText>
              <w:fldChar w:fldCharType="separate"/>
              <w:fldChar w:fldCharType="end"/>
            </w:r>
          </w:hyperlink>
        </w:p>
        <w:p>
          <w:pPr>
            <w:pStyle w:val="TOC1"/>
            <w:tabs>
              <w:tab w:val="right" w:pos="9360" w:leader="dot"/>
            </w:tabs>
          </w:pPr>
          <w:hyperlink w:history="1" w:anchor="_Toc23">
            <w:r>
              <w:t xml:space="preserve">Chapter 8: Data Flow Analysis</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Local and Global Flow</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Configuration Example</w:t>
            </w:r>
            <w:r>
              <w:tab/>
            </w:r>
            <w:r>
              <w:fldChar w:fldCharType="begin" w:dirty="true"/>
              <w:instrText xml:space="preserve">PAGEREF _Toc25 \h</w:instrText>
              <w:fldChar w:fldCharType="separate"/>
              <w:fldChar w:fldCharType="end"/>
            </w:r>
          </w:hyperlink>
        </w:p>
        <w:p>
          <w:pPr>
            <w:pStyle w:val="TOC2"/>
            <w:tabs>
              <w:tab w:val="right" w:pos="9360" w:leader="dot"/>
            </w:tabs>
            <w:ind w:left="220"/>
          </w:pPr>
          <w:hyperlink w:history="1" w:anchor="_Toc26">
            <w:r>
              <w:t xml:space="preserve">Exercises</w:t>
            </w:r>
            <w:r>
              <w:tab/>
            </w:r>
            <w:r>
              <w:fldChar w:fldCharType="begin" w:dirty="true"/>
              <w:instrText xml:space="preserve">PAGEREF _Toc26 \h</w:instrText>
              <w:fldChar w:fldCharType="separate"/>
              <w:fldChar w:fldCharType="end"/>
            </w:r>
          </w:hyperlink>
        </w:p>
        <w:p>
          <w:pPr>
            <w:pStyle w:val="TOC1"/>
            <w:tabs>
              <w:tab w:val="right" w:pos="9360" w:leader="dot"/>
            </w:tabs>
          </w:pPr>
          <w:hyperlink w:history="1" w:anchor="_Toc27">
            <w:r>
              <w:t xml:space="preserve">Chapter 9: Taint Tracking and Path Queries</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Taint Tracking</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Complete Path Query Example</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Exercises</w:t>
            </w:r>
            <w:r>
              <w:tab/>
            </w:r>
            <w:r>
              <w:fldChar w:fldCharType="begin" w:dirty="true"/>
              <w:instrText xml:space="preserve">PAGEREF _Toc30 \h</w:instrText>
              <w:fldChar w:fldCharType="separate"/>
              <w:fldChar w:fldCharType="end"/>
            </w:r>
          </w:hyperlink>
        </w:p>
        <w:p>
          <w:pPr>
            <w:pStyle w:val="TOC1"/>
            <w:tabs>
              <w:tab w:val="right" w:pos="9360" w:leader="dot"/>
            </w:tabs>
          </w:pPr>
          <w:hyperlink w:history="1" w:anchor="_Toc31">
            <w:r>
              <w:t xml:space="preserve">Chapter 10: CodeQL Library Extension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Custom Sources</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Exercises</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Chapter 11: Query Packs, Suites, Metadata, and Production Use</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Chapter 12: Integrating CodeQL into Development Workflows</w:t>
            </w:r>
            <w:r>
              <w:tab/>
            </w:r>
            <w:r>
              <w:fldChar w:fldCharType="begin" w:dirty="true"/>
              <w:instrText xml:space="preserve">PAGEREF _Toc35 \h</w:instrText>
              <w:fldChar w:fldCharType="separate"/>
              <w:fldChar w:fldCharType="end"/>
            </w:r>
          </w:hyperlink>
        </w:p>
        <w:p>
          <w:pPr>
            <w:pStyle w:val="TOC1"/>
            <w:tabs>
              <w:tab w:val="right" w:pos="9360" w:leader="dot"/>
            </w:tabs>
          </w:pPr>
          <w:hyperlink w:history="1" w:anchor="_Toc36">
            <w:r>
              <w:t xml:space="preserve">Chapter 13: Advanced Techniques and Performance</w:t>
            </w:r>
            <w:r>
              <w:tab/>
            </w:r>
            <w:r>
              <w:fldChar w:fldCharType="begin" w:dirty="true"/>
              <w:instrText xml:space="preserve">PAGEREF _Toc36 \h</w:instrText>
              <w:fldChar w:fldCharType="separate"/>
              <w:fldChar w:fldCharType="end"/>
            </w:r>
          </w:hyperlink>
        </w:p>
        <w:p>
          <w:pPr>
            <w:pStyle w:val="TOC1"/>
            <w:tabs>
              <w:tab w:val="right" w:pos="9360" w:leader="dot"/>
            </w:tabs>
          </w:pPr>
          <w:hyperlink w:history="1" w:anchor="_Toc37">
            <w:r>
              <w:t xml:space="preserve">Chapter 14: Real-World Case Studies and Patterns</w:t>
            </w:r>
            <w:r>
              <w:tab/>
            </w:r>
            <w:r>
              <w:fldChar w:fldCharType="begin" w:dirty="true"/>
              <w:instrText xml:space="preserve">PAGEREF _Toc37 \h</w:instrText>
              <w:fldChar w:fldCharType="separate"/>
              <w:fldChar w:fldCharType="end"/>
            </w:r>
          </w:hyperlink>
        </w:p>
        <w:p>
          <w:pPr>
            <w:pStyle w:val="TOC1"/>
            <w:tabs>
              <w:tab w:val="right" w:pos="9360" w:leader="dot"/>
            </w:tabs>
          </w:pPr>
          <w:hyperlink w:history="1" w:anchor="_Toc38">
            <w:r>
              <w:t xml:space="preserve">Chapter 15: Best Practices, Common Pitfalls, and Next Steps</w:t>
            </w:r>
            <w:r>
              <w:tab/>
            </w:r>
            <w:r>
              <w:fldChar w:fldCharType="begin" w:dirty="true"/>
              <w:instrText xml:space="preserve">PAGEREF _Toc38 \h</w:instrText>
              <w:fldChar w:fldCharType="separate"/>
              <w:fldChar w:fldCharType="end"/>
            </w:r>
          </w:hyperlink>
        </w:p>
        <w:p>
          <w:pPr>
            <w:pStyle w:val="TOC1"/>
            <w:tabs>
              <w:tab w:val="right" w:pos="9360" w:leader="dot"/>
            </w:tabs>
          </w:pPr>
          <w:hyperlink w:history="1" w:anchor="_Toc39">
            <w:r>
              <w:t xml:space="preserve">Appendix: Exercise and Resource Index</w:t>
            </w:r>
            <w:r>
              <w:tab/>
            </w:r>
            <w:r>
              <w:fldChar w:fldCharType="begin" w:dirty="true"/>
              <w:instrText xml:space="preserve">PAGEREF _Toc39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160"/>
      </w:pPr>
      <w:r>
        <w:rPr>
          <w:sz w:val="22"/>
          <w:szCs w:val="22"/>
        </w:rPr>
        <w:t xml:space="preserve">This book is a complete, progressive guide to CodeQL. It moves from core concepts through data-flow analysis, taint tracking, and library extension, with concrete examples and exercises throughout.</w:t>
      </w:r>
    </w:p>
    <w:p>
      <w:pPr>
        <w:spacing w:after="160"/>
      </w:pPr>
      <w:r>
        <w:rPr>
          <w:sz w:val="22"/>
          <w:szCs w:val="22"/>
        </w:rPr>
        <w:t xml:space="preserve">All runnable queries, exercise starters, and supporting files are in the companion repository under examples/chapterNN/. Open the referenced files, run them against a database you create, and complete the exercises.</w:t>
      </w:r>
    </w:p>
    <w:p>
      <w:pPr>
        <w:spacing w:after="160"/>
      </w:pPr>
      <w:r>
        <w:rPr>
          <w:sz w:val="22"/>
          <w:szCs w:val="22"/>
        </w:rPr>
        <w:t xml:space="preserve">JavaScript is used for most examples because it is compact. The same patterns apply to Python, Java, C/C++, Go, and the other supported languages.</w:t>
      </w:r>
    </w:p>
    <w:p>
      <w:pPr>
        <w:pStyle w:val="Heading1"/>
        <w:pageBreakBefore/>
      </w:pPr>
      <w:bookmarkStart w:name="_Toc3" w:id="3"/>
      <w:r>
        <w:t xml:space="preserve">Chapter 1: Why CodeQL and How It Works</w:t>
      </w:r>
      <w:bookmarkEnd w:id="3"/>
    </w:p>
    <w:p>
      <w:pPr>
        <w:pStyle w:val="Heading2"/>
      </w:pPr>
      <w:bookmarkStart w:name="_Toc4" w:id="4"/>
      <w:r>
        <w:t xml:space="preserve">The Limits of Traditional Analysis</w:t>
      </w:r>
      <w:bookmarkEnd w:id="4"/>
    </w:p>
    <w:p>
      <w:pPr>
        <w:spacing w:after="160"/>
      </w:pPr>
      <w:r>
        <w:rPr>
          <w:sz w:val="22"/>
          <w:szCs w:val="22"/>
        </w:rPr>
        <w:t xml:space="preserve">Traditional static analysis tools rely on text patterns or shallow syntax matching. They struggle when untrusted data passes through multiple functions, assignments, or transformations before reaching a dangerous operation. The result is either missed vulnerabilities or excessive false positives.</w:t>
      </w:r>
    </w:p>
    <w:p>
      <w:pPr>
        <w:pStyle w:val="Heading2"/>
      </w:pPr>
      <w:bookmarkStart w:name="_Toc5" w:id="5"/>
      <w:r>
        <w:t xml:space="preserve">Code as Data</w:t>
      </w:r>
      <w:bookmarkEnd w:id="5"/>
    </w:p>
    <w:p>
      <w:pPr>
        <w:spacing w:after="160"/>
      </w:pPr>
      <w:r>
        <w:rPr>
          <w:sz w:val="22"/>
          <w:szCs w:val="22"/>
        </w:rPr>
        <w:t xml:space="preserve">CodeQL extracts a relational model of your program that includes the abstract syntax tree, control-flow graph, and data-flow foundations. You then write declarative queries against that model. A single query can find every instance of a vulnerability pattern even when the flow spans many functions and files.</w:t>
      </w:r>
    </w:p>
    <w:p>
      <w:pPr>
        <w:pStyle w:val="Heading2"/>
      </w:pPr>
      <w:bookmarkStart w:name="_Toc6" w:id="6"/>
      <w:r>
        <w:t xml:space="preserve">Variant Analysis</w:t>
      </w:r>
      <w:bookmarkEnd w:id="6"/>
    </w:p>
    <w:p>
      <w:pPr>
        <w:spacing w:after="160"/>
      </w:pPr>
      <w:r>
        <w:rPr>
          <w:sz w:val="22"/>
          <w:szCs w:val="22"/>
        </w:rPr>
        <w:t xml:space="preserve">Variant analysis takes one known vulnerability and searches for all similar instances. CodeQL makes this systematic. Encode the pattern once, run it at any scale, and add it to CI so the issue cannot return unnoticed.</w:t>
      </w:r>
    </w:p>
    <w:p>
      <w:pPr>
        <w:pStyle w:val="Heading2"/>
      </w:pPr>
      <w:bookmarkStart w:name="_Toc7" w:id="7"/>
      <w:r>
        <w:t xml:space="preserve">The Analysis Pipeline</w:t>
      </w:r>
      <w:bookmarkEnd w:id="7"/>
    </w:p>
    <w:p>
      <w:pPr>
        <w:spacing w:after="160"/>
      </w:pPr>
      <w:r>
        <w:rPr>
          <w:sz w:val="22"/>
          <w:szCs w:val="22"/>
        </w:rPr>
        <w:t xml:space="preserve">Analysis has three stages: database creation by an extractor, query execution, and result interpretation into alerts (usually SARIF). Supported languages include C/C++, C#, Go, Java/Kotlin, JavaScript/TypeScript, Python, Ruby, Rust, Swift, and GitHub Actions.</w:t>
      </w:r>
    </w:p>
    <w:p>
      <w:pPr>
        <w:pStyle w:val="Heading1"/>
        <w:pageBreakBefore/>
      </w:pPr>
      <w:bookmarkStart w:name="_Toc8" w:id="8"/>
      <w:r>
        <w:t xml:space="preserve">Chapter 2: Tools, Setup, and Your First Database</w:t>
      </w:r>
      <w:bookmarkEnd w:id="8"/>
    </w:p>
    <w:p>
      <w:pPr>
        <w:pStyle w:val="Heading2"/>
      </w:pPr>
      <w:bookmarkStart w:name="_Toc9" w:id="9"/>
      <w:r>
        <w:t xml:space="preserve">Environments</w:t>
      </w:r>
      <w:bookmarkEnd w:id="9"/>
    </w:p>
    <w:p>
      <w:pPr>
        <w:spacing w:after="160"/>
      </w:pPr>
      <w:r>
        <w:rPr>
          <w:sz w:val="22"/>
          <w:szCs w:val="22"/>
        </w:rPr>
        <w:t xml:space="preserve">Use the CodeQL CLI for automation, the Visual Studio Code extension for interactive learning, or GitHub Codespaces for a zero-install environment.</w:t>
      </w:r>
    </w:p>
    <w:p>
      <w:pPr>
        <w:pStyle w:val="Heading2"/>
      </w:pPr>
      <w:bookmarkStart w:name="_Toc10" w:id="10"/>
      <w:r>
        <w:t xml:space="preserve">Creating a Database</w:t>
      </w:r>
      <w:bookmarkEnd w:id="10"/>
    </w:p>
    <w:p>
      <w:pPr>
        <w:spacing w:after="160"/>
      </w:pPr>
      <w:r>
        <w:rPr>
          <w:sz w:val="22"/>
          <w:szCs w:val="22"/>
        </w:rPr>
        <w:t xml:space="preserve">The basic command is:</w:t>
      </w:r>
    </w:p>
    <w:p>
      <w:pPr>
        <w:pBdr>
          <w:left w:val="single" w:color="CCCCCC" w:sz="12"/>
        </w:pBdr>
        <w:shd w:fill="F0F0F0" w:val="clear"/>
        <w:spacing w:after="40" w:before="40"/>
        <w:ind w:left="200"/>
      </w:pPr>
      <w:r>
        <w:rPr>
          <w:rFonts w:ascii="Consolas" w:cs="Consolas" w:eastAsia="Consolas" w:hAnsi="Consolas"/>
          <w:sz w:val="18"/>
          <w:szCs w:val="18"/>
        </w:rPr>
        <w:t xml:space="preserve">codeql database create my-db --language=javascript --source-root=./my-project</w:t>
      </w:r>
    </w:p>
    <w:p>
      <w:pPr>
        <w:spacing w:after="160"/>
      </w:pPr>
      <w:r>
        <w:rPr>
          <w:sz w:val="22"/>
          <w:szCs w:val="22"/>
        </w:rPr>
        <w:t xml:space="preserve">For compiled languages add a --command that builds the project. Pre-built databases are available for many open-source repositories.</w:t>
      </w:r>
    </w:p>
    <w:p>
      <w:pPr>
        <w:pStyle w:val="Heading1"/>
        <w:pageBreakBefore/>
      </w:pPr>
      <w:bookmarkStart w:name="_Toc11" w:id="11"/>
      <w:r>
        <w:t xml:space="preserve">Chapter 3: CodeQL Database Creation</w:t>
      </w:r>
      <w:bookmarkEnd w:id="11"/>
    </w:p>
    <w:p>
      <w:pPr>
        <w:pStyle w:val="Heading2"/>
      </w:pPr>
      <w:bookmarkStart w:name="_Toc12" w:id="12"/>
      <w:r>
        <w:t xml:space="preserve">What a Database Contains</w:t>
      </w:r>
      <w:bookmarkEnd w:id="12"/>
    </w:p>
    <w:p>
      <w:pPr>
        <w:spacing w:after="160"/>
      </w:pPr>
      <w:r>
        <w:rPr>
          <w:sz w:val="22"/>
          <w:szCs w:val="22"/>
        </w:rPr>
        <w:t xml:space="preserve">A database is a directory holding extracted relational data, source references, the language schema, and logs. It is an immutable snapshot of one language.</w:t>
      </w:r>
    </w:p>
    <w:p>
      <w:pPr>
        <w:pStyle w:val="Heading2"/>
      </w:pPr>
      <w:bookmarkStart w:name="_Toc13" w:id="13"/>
      <w:r>
        <w:t xml:space="preserve">Creation Examples</w:t>
      </w:r>
      <w:bookmarkEnd w:id="13"/>
    </w:p>
    <w:p>
      <w:pPr>
        <w:pBdr>
          <w:left w:val="single" w:color="CCCCCC" w:sz="12"/>
        </w:pBdr>
        <w:shd w:fill="F0F0F0" w:val="clear"/>
        <w:spacing w:after="40" w:before="40"/>
        <w:ind w:left="200"/>
      </w:pPr>
      <w:r>
        <w:rPr>
          <w:rFonts w:ascii="Consolas" w:cs="Consolas" w:eastAsia="Consolas" w:hAnsi="Consolas"/>
          <w:sz w:val="18"/>
          <w:szCs w:val="18"/>
        </w:rPr>
        <w:t xml:space="preserve">codeql database create js-db --language=javascript --source-root=.</w:t>
      </w:r>
    </w:p>
    <w:p>
      <w:pPr>
        <w:pBdr>
          <w:left w:val="single" w:color="CCCCCC" w:sz="12"/>
        </w:pBdr>
        <w:shd w:fill="F0F0F0" w:val="clear"/>
        <w:spacing w:after="40" w:before="40"/>
        <w:ind w:left="200"/>
      </w:pPr>
      <w:r>
        <w:rPr>
          <w:rFonts w:ascii="Consolas" w:cs="Consolas" w:eastAsia="Consolas" w:hAnsi="Consolas"/>
          <w:sz w:val="18"/>
          <w:szCs w:val="18"/>
        </w:rPr>
        <w:t xml:space="preserve">codeql database create py-db --language=python --source-root=.</w:t>
      </w:r>
    </w:p>
    <w:p>
      <w:pPr>
        <w:pBdr>
          <w:left w:val="single" w:color="CCCCCC" w:sz="12"/>
        </w:pBdr>
        <w:shd w:fill="F0F0F0" w:val="clear"/>
        <w:spacing w:after="40" w:before="40"/>
        <w:ind w:left="200"/>
      </w:pPr>
      <w:r>
        <w:rPr>
          <w:rFonts w:ascii="Consolas" w:cs="Consolas" w:eastAsia="Consolas" w:hAnsi="Consolas"/>
          <w:sz w:val="18"/>
          <w:szCs w:val="18"/>
        </w:rPr>
        <w:t xml:space="preserve">codeql database create java-db --language=java --source-root=. --command="mvn clean compile -DskipTests"</w:t>
      </w:r>
    </w:p>
    <w:p>
      <w:pPr>
        <w:spacing w:after="160"/>
      </w:pPr>
      <w:r>
        <w:rPr>
          <w:sz w:val="22"/>
          <w:szCs w:val="22"/>
        </w:rPr>
        <w:t xml:space="preserve">Inspect with codeql database info. Incomplete builds are the most common cause of missing results. See examples/chapter03/.</w:t>
      </w:r>
    </w:p>
    <w:p>
      <w:pPr>
        <w:pStyle w:val="Heading1"/>
        <w:pageBreakBefore/>
      </w:pPr>
      <w:bookmarkStart w:name="_Toc14" w:id="14"/>
      <w:r>
        <w:t xml:space="preserve">Chapter 4: QL Language Fundamentals</w:t>
      </w:r>
      <w:bookmarkEnd w:id="14"/>
    </w:p>
    <w:p>
      <w:pPr>
        <w:pStyle w:val="Heading2"/>
      </w:pPr>
      <w:bookmarkStart w:name="_Toc15" w:id="15"/>
      <w:r>
        <w:t xml:space="preserve">Declarative Queries</w:t>
      </w:r>
      <w:bookmarkEnd w:id="15"/>
    </w:p>
    <w:p>
      <w:pPr>
        <w:spacing w:after="160"/>
      </w:pPr>
      <w:r>
        <w:rPr>
          <w:sz w:val="22"/>
          <w:szCs w:val="22"/>
        </w:rPr>
        <w:t xml:space="preserve">QL is a declarative language. You describe the results you want using predicates, formulas (and/or/not/exists/forall), classes, and modules. Recursion and aggregates are supported.</w:t>
      </w:r>
    </w:p>
    <w:p>
      <w:pPr>
        <w:pStyle w:val="Heading2"/>
      </w:pPr>
      <w:bookmarkStart w:name="_Toc16" w:id="16"/>
      <w:r>
        <w:t xml:space="preserve">Simple Example</w:t>
      </w:r>
      <w:bookmarkEnd w:id="16"/>
    </w:p>
    <w:p>
      <w:pPr>
        <w:pBdr>
          <w:left w:val="single" w:color="CCCCCC" w:sz="12"/>
        </w:pBdr>
        <w:shd w:fill="F0F0F0" w:val="clear"/>
        <w:spacing w:after="40" w:before="40"/>
        <w:ind w:left="200"/>
      </w:pPr>
      <w:r>
        <w:rPr>
          <w:rFonts w:ascii="Consolas" w:cs="Consolas" w:eastAsia="Consolas" w:hAnsi="Consolas"/>
          <w:sz w:val="18"/>
          <w:szCs w:val="18"/>
        </w:rPr>
        <w:t xml:space="preserve">import javascript</w:t>
      </w:r>
    </w:p>
    <w:p>
      <w:pPr>
        <w:pBdr>
          <w:left w:val="single" w:color="CCCCCC" w:sz="12"/>
        </w:pBdr>
        <w:shd w:fill="F0F0F0" w:val="clear"/>
        <w:spacing w:after="40" w:before="40"/>
        <w:ind w:left="200"/>
      </w:pPr>
      <w:r>
        <w:rPr>
          <w:rFonts w:ascii="Consolas" w:cs="Consolas" w:eastAsia="Consolas" w:hAnsi="Consolas"/>
          <w:sz w:val="18"/>
          <w:szCs w:val="18"/>
        </w:rPr>
        <w:t xml:space="preserve">from Function f</w:t>
      </w:r>
    </w:p>
    <w:p>
      <w:pPr>
        <w:pBdr>
          <w:left w:val="single" w:color="CCCCCC" w:sz="12"/>
        </w:pBdr>
        <w:shd w:fill="F0F0F0" w:val="clear"/>
        <w:spacing w:after="40" w:before="40"/>
        <w:ind w:left="200"/>
      </w:pPr>
      <w:r>
        <w:rPr>
          <w:rFonts w:ascii="Consolas" w:cs="Consolas" w:eastAsia="Consolas" w:hAnsi="Consolas"/>
          <w:sz w:val="18"/>
          <w:szCs w:val="18"/>
        </w:rPr>
        <w:t xml:space="preserve">where f.getName() = "main"</w:t>
      </w:r>
    </w:p>
    <w:p>
      <w:pPr>
        <w:pBdr>
          <w:left w:val="single" w:color="CCCCCC" w:sz="12"/>
        </w:pBdr>
        <w:shd w:fill="F0F0F0" w:val="clear"/>
        <w:spacing w:after="40" w:before="40"/>
        <w:ind w:left="200"/>
      </w:pPr>
      <w:r>
        <w:rPr>
          <w:rFonts w:ascii="Consolas" w:cs="Consolas" w:eastAsia="Consolas" w:hAnsi="Consolas"/>
          <w:sz w:val="18"/>
          <w:szCs w:val="18"/>
        </w:rPr>
        <w:t xml:space="preserve">select f, "Found main"</w:t>
      </w:r>
    </w:p>
    <w:p>
      <w:pPr>
        <w:pStyle w:val="Heading1"/>
        <w:pageBreakBefore/>
      </w:pPr>
      <w:bookmarkStart w:name="_Toc17" w:id="17"/>
      <w:r>
        <w:t xml:space="preserve">Chapter 5: Writing Custom Predicates</w:t>
      </w:r>
      <w:bookmarkEnd w:id="17"/>
    </w:p>
    <w:p>
      <w:pPr>
        <w:pStyle w:val="Heading2"/>
      </w:pPr>
      <w:bookmarkStart w:name="_Toc18" w:id="18"/>
      <w:r>
        <w:t xml:space="preserve">Predicates as Reusable Units</w:t>
      </w:r>
      <w:bookmarkEnd w:id="18"/>
    </w:p>
    <w:p>
      <w:pPr>
        <w:spacing w:after="160"/>
      </w:pPr>
      <w:r>
        <w:rPr>
          <w:sz w:val="22"/>
          <w:szCs w:val="22"/>
        </w:rPr>
        <w:t xml:space="preserve">Predicates encapsulate logical conditions so they can be reused and tested. They may take parameters, return results, and be recursive.</w:t>
      </w:r>
    </w:p>
    <w:p>
      <w:pPr>
        <w:pBdr>
          <w:left w:val="single" w:color="CCCCCC" w:sz="12"/>
        </w:pBdr>
        <w:shd w:fill="F0F0F0" w:val="clear"/>
        <w:spacing w:after="40" w:before="40"/>
        <w:ind w:left="200"/>
      </w:pPr>
      <w:r>
        <w:rPr>
          <w:rFonts w:ascii="Consolas" w:cs="Consolas" w:eastAsia="Consolas" w:hAnsi="Consolas"/>
          <w:sz w:val="18"/>
          <w:szCs w:val="18"/>
        </w:rPr>
        <w:t xml:space="preserve">predicate isEvalCall(CallExpr call) {</w:t>
      </w:r>
    </w:p>
    <w:p>
      <w:pPr>
        <w:pBdr>
          <w:left w:val="single" w:color="CCCCCC" w:sz="12"/>
        </w:pBdr>
        <w:shd w:fill="F0F0F0" w:val="clear"/>
        <w:spacing w:after="40" w:before="40"/>
        <w:ind w:left="200"/>
      </w:pPr>
      <w:r>
        <w:rPr>
          <w:rFonts w:ascii="Consolas" w:cs="Consolas" w:eastAsia="Consolas" w:hAnsi="Consolas"/>
          <w:sz w:val="18"/>
          <w:szCs w:val="18"/>
        </w:rPr>
        <w:t xml:space="preserve">  call.getCalleeName() = "eval"</w:t>
      </w:r>
    </w:p>
    <w:p>
      <w:pPr>
        <w:pBdr>
          <w:left w:val="single" w:color="CCCCCC" w:sz="12"/>
        </w:pBdr>
        <w:shd w:fill="F0F0F0" w:val="clear"/>
        <w:spacing w:after="40" w:before="40"/>
        <w:ind w:left="200"/>
      </w:pPr>
      <w:r>
        <w:rPr>
          <w:rFonts w:ascii="Consolas" w:cs="Consolas" w:eastAsia="Consolas" w:hAnsi="Consolas"/>
          <w:sz w:val="18"/>
          <w:szCs w:val="18"/>
        </w:rPr>
        <w:t xml:space="preserve">}</w:t>
      </w:r>
    </w:p>
    <w:p>
      <w:pPr>
        <w:spacing w:after="160"/>
      </w:pPr>
      <w:r>
        <w:rPr>
          <w:sz w:val="22"/>
          <w:szCs w:val="22"/>
        </w:rPr>
        <w:t xml:space="preserve">Full example: examples/chapter05/eval-call.ql. Place shared predicates in modules.</w:t>
      </w:r>
    </w:p>
    <w:p>
      <w:pPr>
        <w:pStyle w:val="Heading1"/>
        <w:pageBreakBefore/>
      </w:pPr>
      <w:bookmarkStart w:name="_Toc19" w:id="19"/>
      <w:r>
        <w:t xml:space="preserve">Chapter 6: Writing Your First CodeQL Queries</w:t>
      </w:r>
      <w:bookmarkEnd w:id="19"/>
    </w:p>
    <w:p>
      <w:pPr>
        <w:pStyle w:val="Heading2"/>
      </w:pPr>
      <w:bookmarkStart w:name="_Toc20" w:id="20"/>
      <w:r>
        <w:t xml:space="preserve">Query Structure</w:t>
      </w:r>
      <w:bookmarkEnd w:id="20"/>
    </w:p>
    <w:p>
      <w:pPr>
        <w:spacing w:after="160"/>
      </w:pPr>
      <w:r>
        <w:rPr>
          <w:sz w:val="22"/>
          <w:szCs w:val="22"/>
        </w:rPr>
        <w:t xml:space="preserve">Queries begin with metadata (@kind, @id, @name, @description, severity). Alert queries use @kind problem. Path queries use @kind path-problem.</w:t>
      </w:r>
    </w:p>
    <w:p>
      <w:pPr>
        <w:pBdr>
          <w:left w:val="single" w:color="CCCCCC" w:sz="12"/>
        </w:pBdr>
        <w:shd w:fill="F0F0F0" w:val="clear"/>
        <w:spacing w:after="40" w:before="40"/>
        <w:ind w:left="200"/>
      </w:pPr>
      <w:r>
        <w:rPr>
          <w:rFonts w:ascii="Consolas" w:cs="Consolas" w:eastAsia="Consolas" w:hAnsi="Consolas"/>
          <w:sz w:val="18"/>
          <w:szCs w:val="18"/>
        </w:rPr>
        <w:t xml:space="preserve">/**</w:t>
      </w:r>
    </w:p>
    <w:p>
      <w:pPr>
        <w:pBdr>
          <w:left w:val="single" w:color="CCCCCC" w:sz="12"/>
        </w:pBdr>
        <w:shd w:fill="F0F0F0" w:val="clear"/>
        <w:spacing w:after="40" w:before="40"/>
        <w:ind w:left="200"/>
      </w:pPr>
      <w:r>
        <w:rPr>
          <w:rFonts w:ascii="Consolas" w:cs="Consolas" w:eastAsia="Consolas" w:hAnsi="Consolas"/>
          <w:sz w:val="18"/>
          <w:szCs w:val="18"/>
        </w:rPr>
        <w:t xml:space="preserve"> * @kind problem</w:t>
      </w:r>
    </w:p>
    <w:p>
      <w:pPr>
        <w:pBdr>
          <w:left w:val="single" w:color="CCCCCC" w:sz="12"/>
        </w:pBdr>
        <w:shd w:fill="F0F0F0" w:val="clear"/>
        <w:spacing w:after="40" w:before="40"/>
        <w:ind w:left="200"/>
      </w:pPr>
      <w:r>
        <w:rPr>
          <w:rFonts w:ascii="Consolas" w:cs="Consolas" w:eastAsia="Consolas" w:hAnsi="Consolas"/>
          <w:sz w:val="18"/>
          <w:szCs w:val="18"/>
        </w:rPr>
        <w:t xml:space="preserve"> * @id mustlearn/interesting-calls</w:t>
      </w:r>
    </w:p>
    <w:p>
      <w:pPr>
        <w:pBdr>
          <w:left w:val="single" w:color="CCCCCC" w:sz="12"/>
        </w:pBdr>
        <w:shd w:fill="F0F0F0" w:val="clear"/>
        <w:spacing w:after="40" w:before="40"/>
        <w:ind w:left="200"/>
      </w:pPr>
      <w:r>
        <w:rPr>
          <w:rFonts w:ascii="Consolas" w:cs="Consolas" w:eastAsia="Consolas" w:hAnsi="Consolas"/>
          <w:sz w:val="18"/>
          <w:szCs w:val="18"/>
        </w:rPr>
        <w:t xml:space="preserve"> * @name Interesting calls</w:t>
      </w:r>
    </w:p>
    <w:p>
      <w:pPr>
        <w:pBdr>
          <w:left w:val="single" w:color="CCCCCC" w:sz="12"/>
        </w:pBdr>
        <w:shd w:fill="F0F0F0" w:val="clear"/>
        <w:spacing w:after="40" w:before="40"/>
        <w:ind w:left="200"/>
      </w:pPr>
      <w:r>
        <w:rPr>
          <w:rFonts w:ascii="Consolas" w:cs="Consolas" w:eastAsia="Consolas" w:hAnsi="Consolas"/>
          <w:sz w:val="18"/>
          <w:szCs w:val="18"/>
        </w:rPr>
        <w:t xml:space="preserve"> */</w:t>
      </w:r>
    </w:p>
    <w:p>
      <w:pPr>
        <w:pBdr>
          <w:left w:val="single" w:color="CCCCCC" w:sz="12"/>
        </w:pBdr>
        <w:shd w:fill="F0F0F0" w:val="clear"/>
        <w:spacing w:after="40" w:before="40"/>
        <w:ind w:left="200"/>
      </w:pPr>
      <w:r>
        <w:rPr>
          <w:rFonts w:ascii="Consolas" w:cs="Consolas" w:eastAsia="Consolas" w:hAnsi="Consolas"/>
          <w:sz w:val="18"/>
          <w:szCs w:val="18"/>
        </w:rPr>
        <w:t xml:space="preserve">import javascript</w:t>
      </w:r>
    </w:p>
    <w:p>
      <w:pPr>
        <w:pBdr>
          <w:left w:val="single" w:color="CCCCCC" w:sz="12"/>
        </w:pBdr>
        <w:shd w:fill="F0F0F0" w:val="clear"/>
        <w:spacing w:after="40" w:before="40"/>
        <w:ind w:left="200"/>
      </w:pPr>
      <w:r>
        <w:rPr>
          <w:rFonts w:ascii="Consolas" w:cs="Consolas" w:eastAsia="Consolas" w:hAnsi="Consolas"/>
          <w:sz w:val="18"/>
          <w:szCs w:val="18"/>
        </w:rPr>
        <w:t xml:space="preserve">from CallExpr c</w:t>
      </w:r>
    </w:p>
    <w:p>
      <w:pPr>
        <w:pBdr>
          <w:left w:val="single" w:color="CCCCCC" w:sz="12"/>
        </w:pBdr>
        <w:shd w:fill="F0F0F0" w:val="clear"/>
        <w:spacing w:after="40" w:before="40"/>
        <w:ind w:left="200"/>
      </w:pPr>
      <w:r>
        <w:rPr>
          <w:rFonts w:ascii="Consolas" w:cs="Consolas" w:eastAsia="Consolas" w:hAnsi="Consolas"/>
          <w:sz w:val="18"/>
          <w:szCs w:val="18"/>
        </w:rPr>
        <w:t xml:space="preserve">where c.getCalleeName() = "eval"</w:t>
      </w:r>
    </w:p>
    <w:p>
      <w:pPr>
        <w:pBdr>
          <w:left w:val="single" w:color="CCCCCC" w:sz="12"/>
        </w:pBdr>
        <w:shd w:fill="F0F0F0" w:val="clear"/>
        <w:spacing w:after="40" w:before="40"/>
        <w:ind w:left="200"/>
      </w:pPr>
      <w:r>
        <w:rPr>
          <w:rFonts w:ascii="Consolas" w:cs="Consolas" w:eastAsia="Consolas" w:hAnsi="Consolas"/>
          <w:sz w:val="18"/>
          <w:szCs w:val="18"/>
        </w:rPr>
        <w:t xml:space="preserve">select c, "Interesting call."</w:t>
      </w:r>
    </w:p>
    <w:p>
      <w:pPr>
        <w:spacing w:after="160"/>
      </w:pPr>
      <w:r>
        <w:rPr>
          <w:sz w:val="22"/>
          <w:szCs w:val="22"/>
        </w:rPr>
        <w:t xml:space="preserve">See examples/chapter06/interesting-calls.ql.</w:t>
      </w:r>
    </w:p>
    <w:p>
      <w:pPr>
        <w:pStyle w:val="Heading1"/>
        <w:pageBreakBefore/>
      </w:pPr>
      <w:bookmarkStart w:name="_Toc21" w:id="21"/>
      <w:r>
        <w:t xml:space="preserve">Chapter 7: Exploring Code with Language Libraries</w:t>
      </w:r>
      <w:bookmarkEnd w:id="21"/>
    </w:p>
    <w:p>
      <w:pPr>
        <w:pStyle w:val="Heading2"/>
      </w:pPr>
      <w:bookmarkStart w:name="_Toc22" w:id="22"/>
      <w:r>
        <w:t xml:space="preserve">Standard Libraries</w:t>
      </w:r>
      <w:bookmarkEnd w:id="22"/>
    </w:p>
    <w:p>
      <w:pPr>
        <w:spacing w:after="160"/>
      </w:pPr>
      <w:r>
        <w:rPr>
          <w:sz w:val="22"/>
          <w:szCs w:val="22"/>
        </w:rPr>
        <w:t xml:space="preserve">Language libraries provide classes such as Function, CallExpr, and RemoteFlowSource. Start with broad selections, inspect results, then refine with additional predicates. Navigation style is consistent across languages.</w:t>
      </w:r>
    </w:p>
    <w:p>
      <w:pPr>
        <w:pStyle w:val="Heading1"/>
        <w:pageBreakBefore/>
      </w:pPr>
      <w:bookmarkStart w:name="_Toc23" w:id="23"/>
      <w:r>
        <w:t xml:space="preserve">Chapter 8: Data Flow Analysis</w:t>
      </w:r>
      <w:bookmarkEnd w:id="23"/>
    </w:p>
    <w:p>
      <w:pPr>
        <w:pStyle w:val="Heading2"/>
      </w:pPr>
      <w:bookmarkStart w:name="_Toc24" w:id="24"/>
      <w:r>
        <w:t xml:space="preserve">Local and Global Flow</w:t>
      </w:r>
      <w:bookmarkEnd w:id="24"/>
    </w:p>
    <w:p>
      <w:pPr>
        <w:spacing w:after="160"/>
      </w:pPr>
      <w:r>
        <w:rPr>
          <w:sz w:val="22"/>
          <w:szCs w:val="22"/>
        </w:rPr>
        <w:t xml:space="preserve">Local data flow stays inside one function. Global data flow crosses function boundaries and is the foundation of security queries. Both operate on DataFlow nodes.</w:t>
      </w:r>
    </w:p>
    <w:p>
      <w:pPr>
        <w:pStyle w:val="Heading2"/>
      </w:pPr>
      <w:bookmarkStart w:name="_Toc25" w:id="25"/>
      <w:r>
        <w:t xml:space="preserve">Configuration Example</w:t>
      </w:r>
      <w:bookmarkEnd w:id="25"/>
    </w:p>
    <w:p>
      <w:pPr>
        <w:pBdr>
          <w:left w:val="single" w:color="CCCCCC" w:sz="12"/>
        </w:pBdr>
        <w:shd w:fill="F0F0F0" w:val="clear"/>
        <w:spacing w:after="40" w:before="40"/>
        <w:ind w:left="200"/>
      </w:pPr>
      <w:r>
        <w:rPr>
          <w:rFonts w:ascii="Consolas" w:cs="Consolas" w:eastAsia="Consolas" w:hAnsi="Consolas"/>
          <w:sz w:val="18"/>
          <w:szCs w:val="18"/>
        </w:rPr>
        <w:t xml:space="preserve">module MyConfig implements DataFlow::ConfigSig {</w:t>
      </w:r>
    </w:p>
    <w:p>
      <w:pPr>
        <w:pBdr>
          <w:left w:val="single" w:color="CCCCCC" w:sz="12"/>
        </w:pBdr>
        <w:shd w:fill="F0F0F0" w:val="clear"/>
        <w:spacing w:after="40" w:before="40"/>
        <w:ind w:left="200"/>
      </w:pPr>
      <w:r>
        <w:rPr>
          <w:rFonts w:ascii="Consolas" w:cs="Consolas" w:eastAsia="Consolas" w:hAnsi="Consolas"/>
          <w:sz w:val="18"/>
          <w:szCs w:val="18"/>
        </w:rPr>
        <w:t xml:space="preserve">  predicate isSource(DataFlow::Node n) { n instanceof RemoteFlowSource }</w:t>
      </w:r>
    </w:p>
    <w:p>
      <w:pPr>
        <w:pBdr>
          <w:left w:val="single" w:color="CCCCCC" w:sz="12"/>
        </w:pBdr>
        <w:shd w:fill="F0F0F0" w:val="clear"/>
        <w:spacing w:after="40" w:before="40"/>
        <w:ind w:left="200"/>
      </w:pPr>
      <w:r>
        <w:rPr>
          <w:rFonts w:ascii="Consolas" w:cs="Consolas" w:eastAsia="Consolas" w:hAnsi="Consolas"/>
          <w:sz w:val="18"/>
          <w:szCs w:val="18"/>
        </w:rPr>
        <w:t xml:space="preserve">  predicate isSink(DataFlow::Node n) { n instanceof DomBasedXssSink }</w:t>
      </w:r>
    </w:p>
    <w:p>
      <w:pPr>
        <w:pBdr>
          <w:left w:val="single" w:color="CCCCCC" w:sz="12"/>
        </w:pBdr>
        <w:shd w:fill="F0F0F0" w:val="clear"/>
        <w:spacing w:after="40" w:before="40"/>
        <w:ind w:left="200"/>
      </w:pPr>
      <w:r>
        <w:rPr>
          <w:rFonts w:ascii="Consolas" w:cs="Consolas" w:eastAsia="Consolas" w:hAnsi="Consolas"/>
          <w:sz w:val="18"/>
          <w:szCs w:val="18"/>
        </w:rPr>
        <w:t xml:space="preserve">}</w:t>
      </w:r>
    </w:p>
    <w:p>
      <w:pPr>
        <w:pBdr>
          <w:left w:val="single" w:color="CCCCCC" w:sz="12"/>
        </w:pBdr>
        <w:shd w:fill="F0F0F0" w:val="clear"/>
        <w:spacing w:after="40" w:before="40"/>
        <w:ind w:left="200"/>
      </w:pPr>
      <w:r>
        <w:rPr>
          <w:rFonts w:ascii="Consolas" w:cs="Consolas" w:eastAsia="Consolas" w:hAnsi="Consolas"/>
          <w:sz w:val="18"/>
          <w:szCs w:val="18"/>
        </w:rPr>
        <w:t xml:space="preserve">module MyFlow = DataFlow::Global&lt;MyConfig&gt;;</w:t>
      </w:r>
    </w:p>
    <w:p>
      <w:pPr>
        <w:pBdr>
          <w:left w:val="single" w:color="CCCCCC" w:sz="12"/>
        </w:pBdr>
        <w:shd w:fill="F0F0F0" w:val="clear"/>
        <w:spacing w:after="40" w:before="40"/>
        <w:ind w:left="200"/>
      </w:pPr>
      <w:r>
        <w:rPr>
          <w:rFonts w:ascii="Consolas" w:cs="Consolas" w:eastAsia="Consolas" w:hAnsi="Consolas"/>
          <w:sz w:val="18"/>
          <w:szCs w:val="18"/>
        </w:rPr>
        <w:t xml:space="preserve">from MyFlow::PathNode source, MyFlow::PathNode sink</w:t>
      </w:r>
    </w:p>
    <w:p>
      <w:pPr>
        <w:pBdr>
          <w:left w:val="single" w:color="CCCCCC" w:sz="12"/>
        </w:pBdr>
        <w:shd w:fill="F0F0F0" w:val="clear"/>
        <w:spacing w:after="40" w:before="40"/>
        <w:ind w:left="200"/>
      </w:pPr>
      <w:r>
        <w:rPr>
          <w:rFonts w:ascii="Consolas" w:cs="Consolas" w:eastAsia="Consolas" w:hAnsi="Consolas"/>
          <w:sz w:val="18"/>
          <w:szCs w:val="18"/>
        </w:rPr>
        <w:t xml:space="preserve">where MyFlow::flowPath(source, sink)</w:t>
      </w:r>
    </w:p>
    <w:p>
      <w:pPr>
        <w:pBdr>
          <w:left w:val="single" w:color="CCCCCC" w:sz="12"/>
        </w:pBdr>
        <w:shd w:fill="F0F0F0" w:val="clear"/>
        <w:spacing w:after="40" w:before="40"/>
        <w:ind w:left="200"/>
      </w:pPr>
      <w:r>
        <w:rPr>
          <w:rFonts w:ascii="Consolas" w:cs="Consolas" w:eastAsia="Consolas" w:hAnsi="Consolas"/>
          <w:sz w:val="18"/>
          <w:szCs w:val="18"/>
        </w:rPr>
        <w:t xml:space="preserve">select sink.getNode(), source, sink, "Flow detected."</w:t>
      </w:r>
    </w:p>
    <w:p>
      <w:pPr>
        <w:spacing w:after="160"/>
      </w:pPr>
      <w:r>
        <w:rPr>
          <w:sz w:val="22"/>
          <w:szCs w:val="22"/>
        </w:rPr>
        <w:t xml:space="preserve">Skeleton: examples/chapter08/global-flow-skeleton.ql. Use TaintTracking::Global for most security work.</w:t>
      </w:r>
    </w:p>
    <w:p>
      <w:pPr>
        <w:pStyle w:val="Heading2"/>
      </w:pPr>
      <w:bookmarkStart w:name="_Toc26" w:id="26"/>
      <w:r>
        <w:t xml:space="preserve">Exercises</w:t>
      </w:r>
      <w:bookmarkEnd w:id="26"/>
    </w:p>
    <w:p>
      <w:pPr>
        <w:spacing w:after="160"/>
      </w:pPr>
      <w:r>
        <w:rPr>
          <w:sz w:val="22"/>
          <w:szCs w:val="22"/>
        </w:rPr>
        <w:t xml:space="preserve">Exercise 8.1: Compare local and global flow by moving a sink into a helper.</w:t>
      </w:r>
    </w:p>
    <w:p>
      <w:pPr>
        <w:spacing w:after="160"/>
      </w:pPr>
      <w:r>
        <w:rPr>
          <w:sz w:val="22"/>
          <w:szCs w:val="22"/>
        </w:rPr>
        <w:t xml:space="preserve">Exercise 8.2: Add an isAdditionalFlowStep for a pass-through function and observe new paths.</w:t>
      </w:r>
    </w:p>
    <w:p>
      <w:pPr>
        <w:pStyle w:val="Heading1"/>
        <w:pageBreakBefore/>
      </w:pPr>
      <w:bookmarkStart w:name="_Toc27" w:id="27"/>
      <w:r>
        <w:t xml:space="preserve">Chapter 9: Taint Tracking and Path Queries</w:t>
      </w:r>
      <w:bookmarkEnd w:id="27"/>
    </w:p>
    <w:p>
      <w:pPr>
        <w:pStyle w:val="Heading2"/>
      </w:pPr>
      <w:bookmarkStart w:name="_Toc28" w:id="28"/>
      <w:r>
        <w:t xml:space="preserve">Taint Tracking</w:t>
      </w:r>
      <w:bookmarkEnd w:id="28"/>
    </w:p>
    <w:p>
      <w:pPr>
        <w:spacing w:after="160"/>
      </w:pPr>
      <w:r>
        <w:rPr>
          <w:sz w:val="22"/>
          <w:szCs w:val="22"/>
        </w:rPr>
        <w:t xml:space="preserve">Taint tracking propagates through derived values. Path queries (@kind path-problem) display the full path from source to sink.</w:t>
      </w:r>
    </w:p>
    <w:p>
      <w:pPr>
        <w:pStyle w:val="Heading2"/>
      </w:pPr>
      <w:bookmarkStart w:name="_Toc29" w:id="29"/>
      <w:r>
        <w:t xml:space="preserve">Complete Path Query Example</w:t>
      </w:r>
      <w:bookmarkEnd w:id="29"/>
    </w:p>
    <w:p>
      <w:pPr>
        <w:pBdr>
          <w:left w:val="single" w:color="CCCCCC" w:sz="12"/>
        </w:pBdr>
        <w:shd w:fill="F0F0F0" w:val="clear"/>
        <w:spacing w:after="40" w:before="40"/>
        <w:ind w:left="200"/>
      </w:pPr>
      <w:r>
        <w:rPr>
          <w:rFonts w:ascii="Consolas" w:cs="Consolas" w:eastAsia="Consolas" w:hAnsi="Consolas"/>
          <w:sz w:val="18"/>
          <w:szCs w:val="18"/>
        </w:rPr>
        <w:t xml:space="preserve">/**</w:t>
      </w:r>
    </w:p>
    <w:p>
      <w:pPr>
        <w:pBdr>
          <w:left w:val="single" w:color="CCCCCC" w:sz="12"/>
        </w:pBdr>
        <w:shd w:fill="F0F0F0" w:val="clear"/>
        <w:spacing w:after="40" w:before="40"/>
        <w:ind w:left="200"/>
      </w:pPr>
      <w:r>
        <w:rPr>
          <w:rFonts w:ascii="Consolas" w:cs="Consolas" w:eastAsia="Consolas" w:hAnsi="Consolas"/>
          <w:sz w:val="18"/>
          <w:szCs w:val="18"/>
        </w:rPr>
        <w:t xml:space="preserve"> * @kind path-problem</w:t>
      </w:r>
    </w:p>
    <w:p>
      <w:pPr>
        <w:pBdr>
          <w:left w:val="single" w:color="CCCCCC" w:sz="12"/>
        </w:pBdr>
        <w:shd w:fill="F0F0F0" w:val="clear"/>
        <w:spacing w:after="40" w:before="40"/>
        <w:ind w:left="200"/>
      </w:pPr>
      <w:r>
        <w:rPr>
          <w:rFonts w:ascii="Consolas" w:cs="Consolas" w:eastAsia="Consolas" w:hAnsi="Consolas"/>
          <w:sz w:val="18"/>
          <w:szCs w:val="18"/>
        </w:rPr>
        <w:t xml:space="preserve"> * @problem.severity error</w:t>
      </w:r>
    </w:p>
    <w:p>
      <w:pPr>
        <w:pBdr>
          <w:left w:val="single" w:color="CCCCCC" w:sz="12"/>
        </w:pBdr>
        <w:shd w:fill="F0F0F0" w:val="clear"/>
        <w:spacing w:after="40" w:before="40"/>
        <w:ind w:left="200"/>
      </w:pPr>
      <w:r>
        <w:rPr>
          <w:rFonts w:ascii="Consolas" w:cs="Consolas" w:eastAsia="Consolas" w:hAnsi="Consolas"/>
          <w:sz w:val="18"/>
          <w:szCs w:val="18"/>
        </w:rPr>
        <w:t xml:space="preserve"> */</w:t>
      </w:r>
    </w:p>
    <w:p>
      <w:pPr>
        <w:pBdr>
          <w:left w:val="single" w:color="CCCCCC" w:sz="12"/>
        </w:pBdr>
        <w:shd w:fill="F0F0F0" w:val="clear"/>
        <w:spacing w:after="40" w:before="40"/>
        <w:ind w:left="200"/>
      </w:pPr>
      <w:r>
        <w:rPr>
          <w:rFonts w:ascii="Consolas" w:cs="Consolas" w:eastAsia="Consolas" w:hAnsi="Consolas"/>
          <w:sz w:val="18"/>
          <w:szCs w:val="18"/>
        </w:rPr>
        <w:t xml:space="preserve">import javascript</w:t>
      </w:r>
    </w:p>
    <w:p>
      <w:pPr>
        <w:pBdr>
          <w:left w:val="single" w:color="CCCCCC" w:sz="12"/>
        </w:pBdr>
        <w:shd w:fill="F0F0F0" w:val="clear"/>
        <w:spacing w:after="40" w:before="40"/>
        <w:ind w:left="200"/>
      </w:pPr>
      <w:r>
        <w:rPr>
          <w:rFonts w:ascii="Consolas" w:cs="Consolas" w:eastAsia="Consolas" w:hAnsi="Consolas"/>
          <w:sz w:val="18"/>
          <w:szCs w:val="18"/>
        </w:rPr>
        <w:t xml:space="preserve">module Config implements DataFlow::ConfigSig {</w:t>
      </w:r>
    </w:p>
    <w:p>
      <w:pPr>
        <w:pBdr>
          <w:left w:val="single" w:color="CCCCCC" w:sz="12"/>
        </w:pBdr>
        <w:shd w:fill="F0F0F0" w:val="clear"/>
        <w:spacing w:after="40" w:before="40"/>
        <w:ind w:left="200"/>
      </w:pPr>
      <w:r>
        <w:rPr>
          <w:rFonts w:ascii="Consolas" w:cs="Consolas" w:eastAsia="Consolas" w:hAnsi="Consolas"/>
          <w:sz w:val="18"/>
          <w:szCs w:val="18"/>
        </w:rPr>
        <w:t xml:space="preserve">  predicate isSource(DataFlow::Node n) { n instanceof RemoteFlowSource }</w:t>
      </w:r>
    </w:p>
    <w:p>
      <w:pPr>
        <w:pBdr>
          <w:left w:val="single" w:color="CCCCCC" w:sz="12"/>
        </w:pBdr>
        <w:shd w:fill="F0F0F0" w:val="clear"/>
        <w:spacing w:after="40" w:before="40"/>
        <w:ind w:left="200"/>
      </w:pPr>
      <w:r>
        <w:rPr>
          <w:rFonts w:ascii="Consolas" w:cs="Consolas" w:eastAsia="Consolas" w:hAnsi="Consolas"/>
          <w:sz w:val="18"/>
          <w:szCs w:val="18"/>
        </w:rPr>
        <w:t xml:space="preserve">  predicate isSink(DataFlow::Node n) { n instanceof DomBasedXssSink }</w:t>
      </w:r>
    </w:p>
    <w:p>
      <w:pPr>
        <w:pBdr>
          <w:left w:val="single" w:color="CCCCCC" w:sz="12"/>
        </w:pBdr>
        <w:shd w:fill="F0F0F0" w:val="clear"/>
        <w:spacing w:after="40" w:before="40"/>
        <w:ind w:left="200"/>
      </w:pPr>
      <w:r>
        <w:rPr>
          <w:rFonts w:ascii="Consolas" w:cs="Consolas" w:eastAsia="Consolas" w:hAnsi="Consolas"/>
          <w:sz w:val="18"/>
          <w:szCs w:val="18"/>
        </w:rPr>
        <w:t xml:space="preserve">}</w:t>
      </w:r>
    </w:p>
    <w:p>
      <w:pPr>
        <w:pBdr>
          <w:left w:val="single" w:color="CCCCCC" w:sz="12"/>
        </w:pBdr>
        <w:shd w:fill="F0F0F0" w:val="clear"/>
        <w:spacing w:after="40" w:before="40"/>
        <w:ind w:left="200"/>
      </w:pPr>
      <w:r>
        <w:rPr>
          <w:rFonts w:ascii="Consolas" w:cs="Consolas" w:eastAsia="Consolas" w:hAnsi="Consolas"/>
          <w:sz w:val="18"/>
          <w:szCs w:val="18"/>
        </w:rPr>
        <w:t xml:space="preserve">module Flow = TaintTracking::Global&lt;Config&gt;;</w:t>
      </w:r>
    </w:p>
    <w:p>
      <w:pPr>
        <w:pBdr>
          <w:left w:val="single" w:color="CCCCCC" w:sz="12"/>
        </w:pBdr>
        <w:shd w:fill="F0F0F0" w:val="clear"/>
        <w:spacing w:after="40" w:before="40"/>
        <w:ind w:left="200"/>
      </w:pPr>
      <w:r>
        <w:rPr>
          <w:rFonts w:ascii="Consolas" w:cs="Consolas" w:eastAsia="Consolas" w:hAnsi="Consolas"/>
          <w:sz w:val="18"/>
          <w:szCs w:val="18"/>
        </w:rPr>
        <w:t xml:space="preserve">import Flow::PathGraph</w:t>
      </w:r>
    </w:p>
    <w:p>
      <w:pPr>
        <w:pBdr>
          <w:left w:val="single" w:color="CCCCCC" w:sz="12"/>
        </w:pBdr>
        <w:shd w:fill="F0F0F0" w:val="clear"/>
        <w:spacing w:after="40" w:before="40"/>
        <w:ind w:left="200"/>
      </w:pPr>
      <w:r>
        <w:rPr>
          <w:rFonts w:ascii="Consolas" w:cs="Consolas" w:eastAsia="Consolas" w:hAnsi="Consolas"/>
          <w:sz w:val="18"/>
          <w:szCs w:val="18"/>
        </w:rPr>
        <w:t xml:space="preserve">from Flow::PathNode source, Flow::PathNode sink</w:t>
      </w:r>
    </w:p>
    <w:p>
      <w:pPr>
        <w:pBdr>
          <w:left w:val="single" w:color="CCCCCC" w:sz="12"/>
        </w:pBdr>
        <w:shd w:fill="F0F0F0" w:val="clear"/>
        <w:spacing w:after="40" w:before="40"/>
        <w:ind w:left="200"/>
      </w:pPr>
      <w:r>
        <w:rPr>
          <w:rFonts w:ascii="Consolas" w:cs="Consolas" w:eastAsia="Consolas" w:hAnsi="Consolas"/>
          <w:sz w:val="18"/>
          <w:szCs w:val="18"/>
        </w:rPr>
        <w:t xml:space="preserve">where Flow::flowPath(source, sink)</w:t>
      </w:r>
    </w:p>
    <w:p>
      <w:pPr>
        <w:pBdr>
          <w:left w:val="single" w:color="CCCCCC" w:sz="12"/>
        </w:pBdr>
        <w:shd w:fill="F0F0F0" w:val="clear"/>
        <w:spacing w:after="40" w:before="40"/>
        <w:ind w:left="200"/>
      </w:pPr>
      <w:r>
        <w:rPr>
          <w:rFonts w:ascii="Consolas" w:cs="Consolas" w:eastAsia="Consolas" w:hAnsi="Consolas"/>
          <w:sz w:val="18"/>
          <w:szCs w:val="18"/>
        </w:rPr>
        <w:t xml:space="preserve">select sink.getNode(), source, sink, "XSS via $@.", source.getNode(), "user input"</w:t>
      </w:r>
    </w:p>
    <w:p>
      <w:pPr>
        <w:spacing w:after="160"/>
      </w:pPr>
      <w:r>
        <w:rPr>
          <w:sz w:val="22"/>
          <w:szCs w:val="22"/>
        </w:rPr>
        <w:t xml:space="preserve">Full query: examples/chapter09/xss-path.ql.</w:t>
      </w:r>
    </w:p>
    <w:p>
      <w:pPr>
        <w:pStyle w:val="Heading2"/>
      </w:pPr>
      <w:bookmarkStart w:name="_Toc30" w:id="30"/>
      <w:r>
        <w:t xml:space="preserve">Exercises</w:t>
      </w:r>
      <w:bookmarkEnd w:id="30"/>
    </w:p>
    <w:p>
      <w:pPr>
        <w:spacing w:after="160"/>
      </w:pPr>
      <w:r>
        <w:rPr>
          <w:sz w:val="22"/>
          <w:szCs w:val="22"/>
        </w:rPr>
        <w:t xml:space="preserve">Exercise 9.1: Complete examples/chapter09/exercise-sql-injection.ql.</w:t>
      </w:r>
    </w:p>
    <w:p>
      <w:pPr>
        <w:spacing w:after="160"/>
      </w:pPr>
      <w:r>
        <w:rPr>
          <w:sz w:val="22"/>
          <w:szCs w:val="22"/>
        </w:rPr>
        <w:t xml:space="preserve">Exercise 9.2: Add a barrier in examples/chapter09/exercise-add-barrier.ql.</w:t>
      </w:r>
    </w:p>
    <w:p>
      <w:pPr>
        <w:spacing w:after="160"/>
      </w:pPr>
      <w:r>
        <w:rPr>
          <w:sz w:val="22"/>
          <w:szCs w:val="22"/>
        </w:rPr>
        <w:t xml:space="preserve">Exercise 9.3: Practice partial-flow debugging.</w:t>
      </w:r>
    </w:p>
    <w:p>
      <w:pPr>
        <w:pStyle w:val="Heading1"/>
        <w:pageBreakBefore/>
      </w:pPr>
      <w:bookmarkStart w:name="_Toc31" w:id="31"/>
      <w:r>
        <w:t xml:space="preserve">Chapter 10: CodeQL Library Extension</w:t>
      </w:r>
      <w:bookmarkEnd w:id="31"/>
    </w:p>
    <w:p>
      <w:pPr>
        <w:pStyle w:val="Heading2"/>
      </w:pPr>
      <w:bookmarkStart w:name="_Toc32" w:id="32"/>
      <w:r>
        <w:t xml:space="preserve">Custom Sources</w:t>
      </w:r>
      <w:bookmarkEnd w:id="32"/>
    </w:p>
    <w:p>
      <w:pPr>
        <w:pBdr>
          <w:left w:val="single" w:color="CCCCCC" w:sz="12"/>
        </w:pBdr>
        <w:shd w:fill="F0F0F0" w:val="clear"/>
        <w:spacing w:after="40" w:before="40"/>
        <w:ind w:left="200"/>
      </w:pPr>
      <w:r>
        <w:rPr>
          <w:rFonts w:ascii="Consolas" w:cs="Consolas" w:eastAsia="Consolas" w:hAnsi="Consolas"/>
          <w:sz w:val="18"/>
          <w:szCs w:val="18"/>
        </w:rPr>
        <w:t xml:space="preserve">class CustomRemoteSource extends RemoteFlowSource {</w:t>
      </w:r>
    </w:p>
    <w:p>
      <w:pPr>
        <w:pBdr>
          <w:left w:val="single" w:color="CCCCCC" w:sz="12"/>
        </w:pBdr>
        <w:shd w:fill="F0F0F0" w:val="clear"/>
        <w:spacing w:after="40" w:before="40"/>
        <w:ind w:left="200"/>
      </w:pPr>
      <w:r>
        <w:rPr>
          <w:rFonts w:ascii="Consolas" w:cs="Consolas" w:eastAsia="Consolas" w:hAnsi="Consolas"/>
          <w:sz w:val="18"/>
          <w:szCs w:val="18"/>
        </w:rPr>
        <w:t xml:space="preserve">  CustomRemoteSource() {</w:t>
      </w:r>
    </w:p>
    <w:p>
      <w:pPr>
        <w:pBdr>
          <w:left w:val="single" w:color="CCCCCC" w:sz="12"/>
        </w:pBdr>
        <w:shd w:fill="F0F0F0" w:val="clear"/>
        <w:spacing w:after="40" w:before="40"/>
        <w:ind w:left="200"/>
      </w:pPr>
      <w:r>
        <w:rPr>
          <w:rFonts w:ascii="Consolas" w:cs="Consolas" w:eastAsia="Consolas" w:hAnsi="Consolas"/>
          <w:sz w:val="18"/>
          <w:szCs w:val="18"/>
        </w:rPr>
        <w:t xml:space="preserve">    this = any(CallExpr c | c.getCalleeName() = "getUserInput").flow()</w:t>
      </w:r>
    </w:p>
    <w:p>
      <w:pPr>
        <w:pBdr>
          <w:left w:val="single" w:color="CCCCCC" w:sz="12"/>
        </w:pBdr>
        <w:shd w:fill="F0F0F0" w:val="clear"/>
        <w:spacing w:after="40" w:before="40"/>
        <w:ind w:left="200"/>
      </w:pPr>
      <w:r>
        <w:rPr>
          <w:rFonts w:ascii="Consolas" w:cs="Consolas" w:eastAsia="Consolas" w:hAnsi="Consolas"/>
          <w:sz w:val="18"/>
          <w:szCs w:val="18"/>
        </w:rPr>
        <w:t xml:space="preserve">  }</w:t>
      </w:r>
    </w:p>
    <w:p>
      <w:pPr>
        <w:pBdr>
          <w:left w:val="single" w:color="CCCCCC" w:sz="12"/>
        </w:pBdr>
        <w:shd w:fill="F0F0F0" w:val="clear"/>
        <w:spacing w:after="40" w:before="40"/>
        <w:ind w:left="200"/>
      </w:pPr>
      <w:r>
        <w:rPr>
          <w:rFonts w:ascii="Consolas" w:cs="Consolas" w:eastAsia="Consolas" w:hAnsi="Consolas"/>
          <w:sz w:val="18"/>
          <w:szCs w:val="18"/>
        </w:rPr>
        <w:t xml:space="preserve">}</w:t>
      </w:r>
    </w:p>
    <w:p>
      <w:pPr>
        <w:spacing w:after="160"/>
      </w:pPr>
      <w:r>
        <w:rPr>
          <w:sz w:val="22"/>
          <w:szCs w:val="22"/>
        </w:rPr>
        <w:t xml:space="preserve">Example: examples/chapter10/custom-source.ql. Existing queries automatically include the new source.</w:t>
      </w:r>
    </w:p>
    <w:p>
      <w:pPr>
        <w:pStyle w:val="Heading2"/>
      </w:pPr>
      <w:bookmarkStart w:name="_Toc33" w:id="33"/>
      <w:r>
        <w:t xml:space="preserve">Exercises</w:t>
      </w:r>
      <w:bookmarkEnd w:id="33"/>
    </w:p>
    <w:p>
      <w:pPr>
        <w:spacing w:after="160"/>
      </w:pPr>
      <w:r>
        <w:rPr>
          <w:sz w:val="22"/>
          <w:szCs w:val="22"/>
        </w:rPr>
        <w:t xml:space="preserve">Exercise 10.1: Add a second custom source.</w:t>
      </w:r>
    </w:p>
    <w:p>
      <w:pPr>
        <w:spacing w:after="160"/>
      </w:pPr>
      <w:r>
        <w:rPr>
          <w:sz w:val="22"/>
          <w:szCs w:val="22"/>
        </w:rPr>
        <w:t xml:space="preserve">Exercise 10.2: Complete examples/chapter10/exercise-custom-sink.ql.</w:t>
      </w:r>
    </w:p>
    <w:p>
      <w:pPr>
        <w:spacing w:after="160"/>
      </w:pPr>
      <w:r>
        <w:rPr>
          <w:sz w:val="22"/>
          <w:szCs w:val="22"/>
        </w:rPr>
        <w:t xml:space="preserve">Exercise 10.3: Sketch a model pack.</w:t>
      </w:r>
    </w:p>
    <w:p>
      <w:pPr>
        <w:spacing w:after="160"/>
      </w:pPr>
      <w:r>
        <w:rPr>
          <w:sz w:val="22"/>
          <w:szCs w:val="22"/>
        </w:rPr>
        <w:t xml:space="preserve">Test every extension with positive and negative cases. Incorrect models affect all dependent queries.</w:t>
      </w:r>
    </w:p>
    <w:p>
      <w:pPr>
        <w:pStyle w:val="Heading1"/>
        <w:pageBreakBefore/>
      </w:pPr>
      <w:bookmarkStart w:name="_Toc34" w:id="34"/>
      <w:r>
        <w:t xml:space="preserve">Chapter 11: Query Packs, Suites, Metadata, and Production Use</w:t>
      </w:r>
      <w:bookmarkEnd w:id="34"/>
    </w:p>
    <w:p>
      <w:pPr>
        <w:spacing w:after="160"/>
      </w:pPr>
      <w:r>
        <w:rPr>
          <w:sz w:val="22"/>
          <w:szCs w:val="22"/>
        </w:rPr>
        <w:t xml:space="preserve">Packs are defined by qlpack.yml. Suites (.qls) select queries. Complete metadata and expected-result tests are required for production. See examples/chapter11/.</w:t>
      </w:r>
    </w:p>
    <w:p>
      <w:pPr>
        <w:pStyle w:val="Heading1"/>
        <w:pageBreakBefore/>
      </w:pPr>
      <w:bookmarkStart w:name="_Toc35" w:id="35"/>
      <w:r>
        <w:t xml:space="preserve">Chapter 12: Integrating CodeQL into Development Workflows</w:t>
      </w:r>
      <w:bookmarkEnd w:id="35"/>
    </w:p>
    <w:p>
      <w:pPr>
        <w:spacing w:after="160"/>
      </w:pPr>
      <w:r>
        <w:rPr>
          <w:sz w:val="22"/>
          <w:szCs w:val="22"/>
        </w:rPr>
        <w:t xml:space="preserve">The CodeQL GitHub Action creates databases, runs queries, and uploads SARIF. A sample workflow is in examples/chapter12/codeql-analysis.yml. Other CI systems use the CLI bundle. MRVA supports multi-repository analysis.</w:t>
      </w:r>
    </w:p>
    <w:p>
      <w:pPr>
        <w:pStyle w:val="Heading1"/>
        <w:pageBreakBefore/>
      </w:pPr>
      <w:bookmarkStart w:name="_Toc36" w:id="36"/>
      <w:r>
        <w:t xml:space="preserve">Chapter 13: Advanced Techniques and Performance</w:t>
      </w:r>
      <w:bookmarkEnd w:id="36"/>
    </w:p>
    <w:p>
      <w:pPr>
        <w:spacing w:after="160"/>
      </w:pPr>
      <w:r>
        <w:rPr>
          <w:sz w:val="22"/>
          <w:szCs w:val="22"/>
        </w:rPr>
        <w:t xml:space="preserve">Keep predicates small and precise. Use partial-flow debugging for missing paths. Prefer library predicates. See examples/chapter13/performance-predicate.ql.</w:t>
      </w:r>
    </w:p>
    <w:p>
      <w:pPr>
        <w:pStyle w:val="Heading1"/>
        <w:pageBreakBefore/>
      </w:pPr>
      <w:bookmarkStart w:name="_Toc37" w:id="37"/>
      <w:r>
        <w:t xml:space="preserve">Chapter 14: Real-World Case Studies and Patterns</w:t>
      </w:r>
      <w:bookmarkEnd w:id="37"/>
    </w:p>
    <w:p>
      <w:pPr>
        <w:spacing w:after="160"/>
      </w:pPr>
      <w:r>
        <w:rPr>
          <w:sz w:val="22"/>
          <w:szCs w:val="22"/>
        </w:rPr>
        <w:t xml:space="preserve">Study the Security Lab Zero-to-Hero series. A SQL injection skeleton is in examples/chapter14/sql-injection-example.ql. Combine standard queries with your library extensions.</w:t>
      </w:r>
    </w:p>
    <w:p>
      <w:pPr>
        <w:pStyle w:val="Heading1"/>
        <w:pageBreakBefore/>
      </w:pPr>
      <w:bookmarkStart w:name="_Toc38" w:id="38"/>
      <w:r>
        <w:t xml:space="preserve">Chapter 15: Best Practices, Common Pitfalls, and Next Steps</w:t>
      </w:r>
      <w:bookmarkEnd w:id="38"/>
    </w:p>
    <w:p>
      <w:pPr>
        <w:spacing w:after="160"/>
      </w:pPr>
      <w:r>
        <w:rPr>
          <w:sz w:val="22"/>
          <w:szCs w:val="22"/>
        </w:rPr>
        <w:t xml:space="preserve">Write small tested predicates. Extend libraries rather than duplicating logic. Use precise barriers. Maintain positive and negative tests. Contribute good models upstream.</w:t>
      </w:r>
    </w:p>
    <w:p>
      <w:pPr>
        <w:pStyle w:val="Heading1"/>
        <w:pageBreakBefore/>
      </w:pPr>
      <w:bookmarkStart w:name="_Toc39" w:id="39"/>
      <w:r>
        <w:t xml:space="preserve">Appendix: Exercise and Resource Index</w:t>
      </w:r>
      <w:bookmarkEnd w:id="39"/>
    </w:p>
    <w:p>
      <w:pPr>
        <w:spacing w:after="160"/>
      </w:pPr>
      <w:r>
        <w:rPr>
          <w:sz w:val="22"/>
          <w:szCs w:val="22"/>
        </w:rPr>
        <w:t xml:space="preserve">Chapter 8 exercises: local vs global flow; additional flow step.</w:t>
      </w:r>
    </w:p>
    <w:p>
      <w:pPr>
        <w:spacing w:after="160"/>
      </w:pPr>
      <w:r>
        <w:rPr>
          <w:sz w:val="22"/>
          <w:szCs w:val="22"/>
        </w:rPr>
        <w:t xml:space="preserve">Chapter 9 exercises: SQL injection starter; add barrier; partial-flow debugging.</w:t>
      </w:r>
    </w:p>
    <w:p>
      <w:pPr>
        <w:spacing w:after="160"/>
      </w:pPr>
      <w:r>
        <w:rPr>
          <w:sz w:val="22"/>
          <w:szCs w:val="22"/>
        </w:rPr>
        <w:t xml:space="preserve">Chapter 10 exercises: second source; custom sink; model pack sketch.</w:t>
      </w:r>
    </w:p>
    <w:p>
      <w:pPr>
        <w:spacing w:after="160"/>
      </w:pPr>
      <w:r>
        <w:rPr>
          <w:sz w:val="22"/>
          <w:szCs w:val="22"/>
        </w:rPr>
        <w:t xml:space="preserve">All starter files are in the companion repository. Official documentation: https://codeql.github.com/docs/</w:t>
      </w:r>
    </w:p>
    <w:p>
      <w:pPr>
        <w:spacing w:before="400"/>
      </w:pPr>
      <w:r>
        <w:rPr>
          <w:i/>
          <w:iCs/>
          <w:sz w:val="24"/>
          <w:szCs w:val="24"/>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B9BD5"/>
      <w:sz w:val="24"/>
      <w:szCs w:val="24"/>
    </w:rPr>
  </w:style>
  <w:style w:type="paragraph" w:styleId="Title">
    <w:name w:val="Title"/>
    <w:basedOn w:val="Normal"/>
    <w:pPr>
      <w:spacing w:after="200" w:before="0"/>
      <w:jc w:val="center"/>
    </w:pPr>
    <w:rPr>
      <w:rFonts w:ascii="Calibri" w:cs="Calibri" w:eastAsia="Calibri" w:hAnsi="Calibri"/>
      <w:b/>
      <w:bCs/>
      <w:color w:val="1F4E79"/>
      <w:sz w:val="48"/>
      <w:szCs w:val="48"/>
    </w:rPr>
  </w:style>
  <w:style w:type="paragraph" w:styleId="Subtitle">
    <w:name w:val="Subtitle"/>
    <w:basedOn w:val="Normal"/>
    <w:pPr>
      <w:spacing w:after="400" w:before="0"/>
      <w:jc w:val="center"/>
    </w:pPr>
    <w:rPr>
      <w:rFonts w:ascii="Calibri" w:cs="Calibri" w:eastAsia="Calibri" w:hAnsi="Calibri"/>
      <w:i/>
      <w:iCs/>
      <w:color w:val="5B9BD5"/>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rfnkb54tlqwh_y4qmo2ag"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2026-10-15T16:52:19.880Z</dcterms:created>
  <dcterms:modified xsi:type="dcterms:W3CDTF">2026-10-15T16:52:19.884Z</dcterms:modified>
</cp:coreProperties>
</file>

<file path=docProps/custom.xml><?xml version="1.0" encoding="utf-8"?>
<Properties xmlns="http://schemas.openxmlformats.org/officeDocument/2006/custom-properties" xmlns:vt="http://schemas.openxmlformats.org/officeDocument/2006/docPropsVTypes"/>
</file>