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Practical Guide to Semantic Code Analysis with GitHub CodeQL</w:t>
      </w:r>
    </w:p>
    <w:p>
      <w:pPr>
        <w:spacing w:before="400"/>
        <w:jc w:val="center"/>
      </w:pPr>
      <w:r>
        <w:rPr>
          <w:b/>
          <w:bCs/>
          <w:sz w:val="28"/>
          <w:szCs w:val="28"/>
        </w:rPr>
        <w:t xml:space="preserve">Rod Trent</w:t>
      </w:r>
    </w:p>
    <w:p>
      <w:pPr>
        <w:spacing w:before="200"/>
        <w:jc w:val="center"/>
      </w:pPr>
      <w:r>
        <w:rPr>
          <w:i/>
          <w:iCs/>
          <w:sz w:val="24"/>
          <w:szCs w:val="24"/>
        </w:rPr>
        <w:t xml:space="preserve">2026</w:t>
      </w:r>
    </w:p>
    <w:p>
      <w:pPr>
        <w:spacing w:before="600"/>
        <w:jc w:val="center"/>
      </w:pPr>
      <w:hyperlink w:history="1" r:id="rIdverwpscisjky83q3ph6oq">
        <w:r>
          <w:rPr>
            <w:rStyle w:val="Hyperlink"/>
          </w:rPr>
          <w:t xml:space="preserve">Companion Repository: github.com/rod-trent/MustLearnCodeQL</w:t>
        </w:r>
      </w:hyperlink>
    </w:p>
    <w:p>
      <w:pPr>
        <w:pStyle w:val="Heading1"/>
        <w:pageBreakBefore/>
      </w:pPr>
      <w:bookmarkStart w:name="_Toc1" w:id="1"/>
      <w:r>
        <w:t xml:space="preserve">Table of Contents</w:t>
      </w:r>
      <w:bookmarkEnd w:id="1"/>
    </w:p>
    <w:sdt>
      <w:sdtPr>
        <w:alias w:val="Table of 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Chapter 1: Why CodeQL and How It Works</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What CodeQL 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Variant Analysis</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The Analysis Pipeline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Simple Example</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Chapter 3: CodeQL Database Creation</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What a Database Contains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Creating a Database with the CLI</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Database Structure in Detail</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Inspection Commands</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Chapter 5: Writing Custom Predicates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Basic Predicate</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Predicates with Results</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Recursive Predicates</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Chapter 8: Data Flow Analysis</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Local Data Flow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Global Data Flow</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Chapter 9: Taint Tracking and Path Queries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Chapter 10: CodeQL Library Extension</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Why Extend Libraries</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Custom Sources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Additional Flow Steps and Summaries</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Chapter 11: Query Packs, Suites, Metadata, and Production Use</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Pack Structure</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Query Suites</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Metadata Best Practices</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Chapter 12: Integrating CodeQL into Development Workflows</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Sample Workflow</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Other CI Systems</w:t>
            </w:r>
            <w:r>
              <w:tab/>
            </w:r>
            <w:r>
              <w:fldChar w:fldCharType="begin" w:dirty="true"/>
              <w:instrText xml:space="preserve">PAGEREF _Toc31 \h</w:instrText>
              <w:fldChar w:fldCharType="separate"/>
              <w:fldChar w:fldCharType="end"/>
            </w:r>
          </w:hyperlink>
        </w:p>
        <w:p>
          <w:pPr>
            <w:pStyle w:val="TOC1"/>
            <w:tabs>
              <w:tab w:val="right" w:pos="9360" w:leader="dot"/>
            </w:tabs>
          </w:pPr>
          <w:hyperlink w:history="1" w:anchor="_Toc32">
            <w:r>
              <w:t xml:space="preserve">Chapter 13: Advanced Techniques and Performance</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Performance-Conscious Predicates</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Debugging and Optimization</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Chapter 14: Real-World Case Studies and Patterns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SQL Injection Example</w:t>
            </w:r>
            <w:r>
              <w:tab/>
            </w:r>
            <w:r>
              <w:fldChar w:fldCharType="begin" w:dirty="true"/>
              <w:instrText xml:space="preserve">PAGEREF _Toc36 \h</w:instrText>
              <w:fldChar w:fldCharType="separate"/>
              <w:fldChar w:fldCharType="end"/>
            </w:r>
          </w:hyperlink>
        </w:p>
        <w:p>
          <w:pPr>
            <w:pStyle w:val="TOC1"/>
            <w:tabs>
              <w:tab w:val="right" w:pos="9360" w:leader="dot"/>
            </w:tabs>
          </w:pPr>
          <w:hyperlink w:history="1" w:anchor="_Toc37">
            <w:r>
              <w:t xml:space="preserve">Chapter 15: Best Practices, Common Pitfalls, and Next Steps</w:t>
            </w:r>
            <w:r>
              <w:tab/>
            </w:r>
            <w:r>
              <w:fldChar w:fldCharType="begin" w:dirty="true"/>
              <w:instrText xml:space="preserve">PAGEREF _Toc37 \h</w:instrText>
              <w:fldChar w:fldCharType="separate"/>
              <w:fldChar w:fldCharType="end"/>
            </w:r>
          </w:hyperlink>
        </w:p>
        <w:p>
          <w:pPr>
            <w:pStyle w:val="TOC2"/>
            <w:tabs>
              <w:tab w:val="right" w:pos="9360" w:leader="dot"/>
            </w:tabs>
            <w:ind w:left="220"/>
          </w:pPr>
          <w:hyperlink w:history="1" w:anchor="_Toc38">
            <w:r>
              <w:t xml:space="preserve">Writing and Testing</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Reducing False Positives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Contributing and Staying Current</w:t>
            </w:r>
            <w:r>
              <w:tab/>
            </w:r>
            <w:r>
              <w:fldChar w:fldCharType="begin" w:dirty="true"/>
              <w:instrText xml:space="preserve">PAGEREF _Toc40 \h</w:instrText>
              <w:fldChar w:fldCharType="separate"/>
              <w:fldChar w:fldCharType="end"/>
            </w:r>
          </w:hyperlink>
        </w:p>
        <w:p>
          <w:pPr>
            <w:pStyle w:val="TOC1"/>
            <w:tabs>
              <w:tab w:val="right" w:pos="9360" w:leader="dot"/>
            </w:tabs>
          </w:pPr>
          <w:hyperlink w:history="1" w:anchor="_Toc41">
            <w:r>
              <w:t xml:space="preserve">Appendix A: Quick Reference</w:t>
            </w:r>
            <w:r>
              <w:tab/>
            </w:r>
            <w:r>
              <w:fldChar w:fldCharType="begin" w:dirty="true"/>
              <w:instrText xml:space="preserve">PAGEREF _Toc41 \h</w:instrText>
              <w:fldChar w:fldCharType="separate"/>
              <w:fldChar w:fldCharType="end"/>
            </w:r>
          </w:hyperlink>
        </w:p>
        <w:p>
          <w:pPr>
            <w:pStyle w:val="TOC1"/>
            <w:tabs>
              <w:tab w:val="right" w:pos="9360" w:leader="dot"/>
            </w:tabs>
          </w:pPr>
          <w:hyperlink w:history="1" w:anchor="_Toc42">
            <w:r>
              <w:t xml:space="preserve">Appendix B: Glossary</w:t>
            </w:r>
            <w:r>
              <w:tab/>
            </w:r>
            <w:r>
              <w:fldChar w:fldCharType="begin" w:dirty="true"/>
              <w:instrText xml:space="preserve">PAGEREF _Toc42 \h</w:instrText>
              <w:fldChar w:fldCharType="separate"/>
              <w:fldChar w:fldCharType="end"/>
            </w:r>
          </w:hyperlink>
        </w:p>
        <w:p>
          <w:pPr>
            <w:pStyle w:val="TOC1"/>
            <w:tabs>
              <w:tab w:val="right" w:pos="9360" w:leader="dot"/>
            </w:tabs>
          </w:pPr>
          <w:hyperlink w:history="1" w:anchor="_Toc43">
            <w:r>
              <w:t xml:space="preserve">Appendix C: Recommended Resources</w:t>
            </w:r>
            <w:r>
              <w:tab/>
            </w:r>
            <w:r>
              <w:fldChar w:fldCharType="begin" w:dirty="true"/>
              <w:instrText xml:space="preserve">PAGEREF _Toc43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160"/>
      </w:pPr>
      <w:r>
        <w:t xml:space="preserve">This book is a progressive, hands-on guide to CodeQL. Every chapter includes explanations and concrete query examples. All runnable code, sample databases, and supporting files live in the companion repository organized by chapter:</w:t>
      </w:r>
    </w:p>
    <w:p>
      <w:hyperlink w:history="1" r:id="rIdnqqbeeqflwe5kr4txe1zc">
        <w:r>
          <w:rPr>
            <w:rStyle w:val="Hyperlink"/>
          </w:rPr>
          <w:t xml:space="preserve">https://github.com/rod-trent/MustLearnCodeQL</w:t>
        </w:r>
      </w:hyperlink>
    </w:p>
    <w:p>
      <w:pPr>
        <w:spacing w:after="160"/>
      </w:pPr>
      <w:r>
        <w:t xml:space="preserve">Examples are in examples/chapterNN/. You can open them directly in VS Code with the CodeQL extension, run them with the CLI, or explore them in Codespaces. The book references specific files so you can locate them instantly.</w:t>
      </w:r>
    </w:p>
    <w:p>
      <w:pPr>
        <w:pStyle w:val="Heading1"/>
        <w:pageBreakBefore/>
      </w:pPr>
      <w:bookmarkStart w:name="_Toc3" w:id="3"/>
      <w:r>
        <w:t xml:space="preserve">Chapter 1: Why CodeQL and How It Works</w:t>
      </w:r>
      <w:bookmarkEnd w:id="3"/>
    </w:p>
    <w:p>
      <w:pPr>
        <w:pStyle w:val="Heading2"/>
      </w:pPr>
      <w:bookmarkStart w:name="_Toc4" w:id="4"/>
      <w:r>
        <w:t xml:space="preserve">What CodeQL Is</w:t>
      </w:r>
      <w:bookmarkEnd w:id="4"/>
    </w:p>
    <w:p>
      <w:pPr>
        <w:spacing w:after="160"/>
      </w:pPr>
      <w:r>
        <w:t xml:space="preserve">CodeQL is GitHub’s semantic code analysis engine. It extracts a relational representation of source code and lets you query that representation with a declarative language called QL. Because the representation includes the abstract syntax tree, control-flow graph, and data-flow graph, queries can reason about meaning rather than just text patterns. This makes it possible to find complex vulnerabilities that span multiple functions or files.</w:t>
      </w:r>
    </w:p>
    <w:p>
      <w:pPr>
        <w:spacing w:after="160"/>
      </w:pPr>
      <w:r>
        <w:t xml:space="preserve">Traditional static analysis tools often rely on regular expressions or simple AST matching. CodeQL goes further by modeling how data moves through the program. A single well-written query can identify every instance of a vulnerability class across an entire organization.</w:t>
      </w:r>
    </w:p>
    <w:p>
      <w:pPr>
        <w:pStyle w:val="Heading2"/>
      </w:pPr>
      <w:bookmarkStart w:name="_Toc5" w:id="5"/>
      <w:r>
        <w:t xml:space="preserve">Variant Analysis</w:t>
      </w:r>
      <w:bookmarkEnd w:id="5"/>
    </w:p>
    <w:p>
      <w:pPr>
        <w:spacing w:after="160"/>
      </w:pPr>
      <w:r>
        <w:t xml:space="preserve">Variant analysis is the process of taking a known vulnerability (the seed) and systematically searching for similar bugs. CodeQL was designed for this use case. Security researchers write a query that captures the essence of a bug, then run it against many codebases. Developers use the same capability to enforce coding standards and catch regressions in CI.</w:t>
      </w:r>
    </w:p>
    <w:p>
      <w:pPr>
        <w:pStyle w:val="Heading2"/>
      </w:pPr>
      <w:bookmarkStart w:name="_Toc6" w:id="6"/>
      <w:r>
        <w:t xml:space="preserve">The Analysis Pipeline</w:t>
      </w:r>
      <w:bookmarkEnd w:id="6"/>
    </w:p>
    <w:p>
      <w:pPr>
        <w:spacing w:after="160"/>
      </w:pPr>
      <w:r>
        <w:t xml:space="preserve">Analysis has three stages:</w:t>
      </w:r>
    </w:p>
    <w:p>
      <w:pPr>
        <w:pStyle w:val="ListParagraph"/>
        <w:numPr>
          <w:ilvl w:val="0"/>
          <w:numId w:val="2"/>
        </w:numPr>
      </w:pPr>
      <w:r>
        <w:t xml:space="preserve">Database creation – extractors produce a queryable relational snapshot of the code.</w:t>
      </w:r>
    </w:p>
    <w:p>
      <w:pPr>
        <w:pStyle w:val="ListParagraph"/>
        <w:numPr>
          <w:ilvl w:val="0"/>
          <w:numId w:val="2"/>
        </w:numPr>
      </w:pPr>
      <w:r>
        <w:t xml:space="preserve">Query execution – QL queries evaluate against the database.</w:t>
      </w:r>
    </w:p>
    <w:p>
      <w:pPr>
        <w:pStyle w:val="ListParagraph"/>
        <w:numPr>
          <w:ilvl w:val="0"/>
          <w:numId w:val="2"/>
        </w:numPr>
      </w:pPr>
      <w:r>
        <w:t xml:space="preserve">Result interpretation – hits are mapped back to source locations and emitted as alerts or path explanations (SARIF).</w:t>
      </w:r>
    </w:p>
    <w:p>
      <w:pPr>
        <w:spacing w:after="160"/>
      </w:pPr>
      <w:r>
        <w:t xml:space="preserve">Supported languages include C/C++, C#, Go, Java/Kotlin, JavaScript/TypeScript, Python, Ruby, Rust, Swift, and GitHub Actions. The default query suite covers hundreds of CWEs.</w:t>
      </w:r>
    </w:p>
    <w:p>
      <w:pPr>
        <w:pStyle w:val="Heading2"/>
      </w:pPr>
      <w:bookmarkStart w:name="_Toc7" w:id="7"/>
      <w:r>
        <w:t xml:space="preserve">Simple Example</w:t>
      </w:r>
      <w:bookmarkEnd w:id="7"/>
    </w:p>
    <w:p>
      <w:pPr>
        <w:spacing w:after="160"/>
      </w:pPr>
      <w:r>
        <w:t xml:space="preserve">Even the simplest query demonstrates the model. After creating a database you can run:</w:t>
      </w:r>
    </w:p>
    <w:p>
      <w:pPr>
        <w:spacing w:after="40"/>
      </w:pPr>
      <w:r>
        <w:rPr>
          <w:rFonts w:ascii="Consolas" w:cs="Consolas" w:eastAsia="Consolas" w:hAnsi="Consolas"/>
          <w:sz w:val="18"/>
          <w:szCs w:val="18"/>
        </w:rPr>
        <w:t xml:space="preserve">select "hello world"</w:t>
      </w:r>
    </w:p>
    <w:p>
      <w:pPr>
        <w:spacing w:after="160"/>
      </w:pPr>
      <w:r>
        <w:t xml:space="preserve">This returns a single result with no source location. Real queries select program elements and attach messages and locations.</w:t>
      </w:r>
    </w:p>
    <w:p>
      <w:pPr>
        <w:pStyle w:val="Heading1"/>
        <w:pageBreakBefore/>
      </w:pPr>
      <w:bookmarkStart w:name="_Toc8" w:id="8"/>
      <w:r>
        <w:t xml:space="preserve">Chapter 3: CodeQL Database Creation</w:t>
      </w:r>
      <w:bookmarkEnd w:id="8"/>
    </w:p>
    <w:p>
      <w:pPr>
        <w:pStyle w:val="Heading2"/>
      </w:pPr>
      <w:bookmarkStart w:name="_Toc9" w:id="9"/>
      <w:r>
        <w:t xml:space="preserve">What a Database Contains</w:t>
      </w:r>
      <w:bookmarkEnd w:id="9"/>
    </w:p>
    <w:p>
      <w:pPr>
        <w:spacing w:after="160"/>
      </w:pPr>
      <w:r>
        <w:t xml:space="preserve">A CodeQL database is a directory that holds a complete, queryable snapshot of a codebase for one language. It contains:</w:t>
      </w:r>
    </w:p>
    <w:p>
      <w:pPr>
        <w:pStyle w:val="ListParagraph"/>
        <w:numPr>
          <w:ilvl w:val="0"/>
          <w:numId w:val="3"/>
        </w:numPr>
      </w:pPr>
      <w:r>
        <w:t xml:space="preserve">Relational data extracted from the source (AST nodes, bindings, types, control-flow edges, data-flow foundations).</w:t>
      </w:r>
    </w:p>
    <w:p>
      <w:pPr>
        <w:pStyle w:val="ListParagraph"/>
        <w:numPr>
          <w:ilvl w:val="0"/>
          <w:numId w:val="3"/>
        </w:numPr>
      </w:pPr>
      <w:r>
        <w:t xml:space="preserve">Copies of or references to the original source files so results can be displayed at exact locations.</w:t>
      </w:r>
    </w:p>
    <w:p>
      <w:pPr>
        <w:pStyle w:val="ListParagraph"/>
        <w:numPr>
          <w:ilvl w:val="0"/>
          <w:numId w:val="3"/>
        </w:numPr>
      </w:pPr>
      <w:r>
        <w:t xml:space="preserve">The language-specific database schema that defines the tables.</w:t>
      </w:r>
    </w:p>
    <w:p>
      <w:pPr>
        <w:pStyle w:val="ListParagraph"/>
        <w:numPr>
          <w:ilvl w:val="0"/>
          <w:numId w:val="3"/>
        </w:numPr>
      </w:pPr>
      <w:r>
        <w:t xml:space="preserve">Log files from extraction and any build steps.</w:t>
      </w:r>
    </w:p>
    <w:p>
      <w:pPr>
        <w:pStyle w:val="Heading2"/>
      </w:pPr>
      <w:bookmarkStart w:name="_Toc10" w:id="10"/>
      <w:r>
        <w:t xml:space="preserve">Creating a Database with the CLI</w:t>
      </w:r>
      <w:bookmarkEnd w:id="10"/>
    </w:p>
    <w:p>
      <w:pPr>
        <w:spacing w:after="160"/>
      </w:pPr>
      <w:r>
        <w:t xml:space="preserve">The fundamental command is:</w:t>
      </w:r>
    </w:p>
    <w:p>
      <w:pPr>
        <w:spacing w:after="40"/>
      </w:pPr>
      <w:r>
        <w:rPr>
          <w:rFonts w:ascii="Consolas" w:cs="Consolas" w:eastAsia="Consolas" w:hAnsi="Consolas"/>
          <w:sz w:val="18"/>
          <w:szCs w:val="18"/>
        </w:rPr>
        <w:t xml:space="preserve">codeql database create my-database \</w:t>
      </w:r>
    </w:p>
    <w:p>
      <w:pPr>
        <w:spacing w:after="40"/>
      </w:pPr>
      <w:r>
        <w:rPr>
          <w:rFonts w:ascii="Consolas" w:cs="Consolas" w:eastAsia="Consolas" w:hAnsi="Consolas"/>
          <w:sz w:val="18"/>
          <w:szCs w:val="18"/>
        </w:rPr>
        <w:t xml:space="preserve">  --language=javascript \</w:t>
      </w:r>
    </w:p>
    <w:p>
      <w:pPr>
        <w:spacing w:after="40"/>
      </w:pPr>
      <w:r>
        <w:rPr>
          <w:rFonts w:ascii="Consolas" w:cs="Consolas" w:eastAsia="Consolas" w:hAnsi="Consolas"/>
          <w:sz w:val="18"/>
          <w:szCs w:val="18"/>
        </w:rPr>
        <w:t xml:space="preserve">  --source-root=./my-project</w:t>
      </w:r>
    </w:p>
    <w:p>
      <w:pPr>
        <w:spacing w:after="160"/>
      </w:pPr>
      <w:r>
        <w:t xml:space="preserve">For Python:</w:t>
      </w:r>
    </w:p>
    <w:p>
      <w:pPr>
        <w:spacing w:after="40"/>
      </w:pPr>
      <w:r>
        <w:rPr>
          <w:rFonts w:ascii="Consolas" w:cs="Consolas" w:eastAsia="Consolas" w:hAnsi="Consolas"/>
          <w:sz w:val="18"/>
          <w:szCs w:val="18"/>
        </w:rPr>
        <w:t xml:space="preserve">codeql database create py-db --language=python --source-root=.</w:t>
      </w:r>
    </w:p>
    <w:p>
      <w:pPr>
        <w:spacing w:after="160"/>
      </w:pPr>
      <w:r>
        <w:t xml:space="preserve">For compiled languages you normally let CodeQL monitor the build (autobuild) or supply an explicit build command. Example for a Maven Java project:</w:t>
      </w:r>
    </w:p>
    <w:p>
      <w:pPr>
        <w:spacing w:after="40"/>
      </w:pPr>
      <w:r>
        <w:rPr>
          <w:rFonts w:ascii="Consolas" w:cs="Consolas" w:eastAsia="Consolas" w:hAnsi="Consolas"/>
          <w:sz w:val="18"/>
          <w:szCs w:val="18"/>
        </w:rPr>
        <w:t xml:space="preserve">codeql database create java-db \</w:t>
      </w:r>
    </w:p>
    <w:p>
      <w:pPr>
        <w:spacing w:after="40"/>
      </w:pPr>
      <w:r>
        <w:rPr>
          <w:rFonts w:ascii="Consolas" w:cs="Consolas" w:eastAsia="Consolas" w:hAnsi="Consolas"/>
          <w:sz w:val="18"/>
          <w:szCs w:val="18"/>
        </w:rPr>
        <w:t xml:space="preserve">  --language=java \</w:t>
      </w:r>
    </w:p>
    <w:p>
      <w:pPr>
        <w:spacing w:after="40"/>
      </w:pPr>
      <w:r>
        <w:rPr>
          <w:rFonts w:ascii="Consolas" w:cs="Consolas" w:eastAsia="Consolas" w:hAnsi="Consolas"/>
          <w:sz w:val="18"/>
          <w:szCs w:val="18"/>
        </w:rPr>
        <w:t xml:space="preserve">  --source-root=. \</w:t>
      </w:r>
    </w:p>
    <w:p>
      <w:pPr>
        <w:spacing w:after="40"/>
      </w:pPr>
      <w:r>
        <w:rPr>
          <w:rFonts w:ascii="Consolas" w:cs="Consolas" w:eastAsia="Consolas" w:hAnsi="Consolas"/>
          <w:sz w:val="18"/>
          <w:szCs w:val="18"/>
        </w:rPr>
        <w:t xml:space="preserve">  --command="mvn clean compile -DskipTests"</w:t>
      </w:r>
    </w:p>
    <w:p>
      <w:pPr>
        <w:pStyle w:val="Heading2"/>
      </w:pPr>
      <w:bookmarkStart w:name="_Toc11" w:id="11"/>
      <w:r>
        <w:t xml:space="preserve">Database Structure in Detail</w:t>
      </w:r>
      <w:bookmarkEnd w:id="11"/>
    </w:p>
    <w:p>
      <w:pPr>
        <w:spacing w:after="160"/>
      </w:pPr>
      <w:r>
        <w:t xml:space="preserve">Inside the database directory you will find the extracted relations, a source archive or reference, and metadata. The raw tables are not meant to be queried directly. The standard libraries define classes such as Expr, Stmt, Function, and Call that sit on top of those tables and give an object-oriented interface.</w:t>
      </w:r>
    </w:p>
    <w:p>
      <w:pPr>
        <w:spacing w:after="160"/>
      </w:pPr>
      <w:r>
        <w:t xml:space="preserve">Each language has its own extractor and schema. A multi-language repository therefore produces one database per language. Databases are immutable snapshots; if the code changes you create a new database.</w:t>
      </w:r>
    </w:p>
    <w:p>
      <w:pPr>
        <w:pStyle w:val="Heading2"/>
      </w:pPr>
      <w:bookmarkStart w:name="_Toc12" w:id="12"/>
      <w:r>
        <w:t xml:space="preserve">Inspection Commands</w:t>
      </w:r>
      <w:bookmarkEnd w:id="12"/>
    </w:p>
    <w:p>
      <w:pPr>
        <w:spacing w:after="40"/>
      </w:pPr>
      <w:r>
        <w:rPr>
          <w:rFonts w:ascii="Consolas" w:cs="Consolas" w:eastAsia="Consolas" w:hAnsi="Consolas"/>
          <w:sz w:val="18"/>
          <w:szCs w:val="18"/>
        </w:rPr>
        <w:t xml:space="preserve">codeql database info my-database</w:t>
      </w:r>
    </w:p>
    <w:p>
      <w:pPr>
        <w:spacing w:after="40"/>
      </w:pPr>
      <w:r>
        <w:rPr>
          <w:rFonts w:ascii="Consolas" w:cs="Consolas" w:eastAsia="Consolas" w:hAnsi="Consolas"/>
          <w:sz w:val="18"/>
          <w:szCs w:val="18"/>
        </w:rPr>
        <w:t xml:space="preserve">codeql resolve database my-database</w:t>
      </w:r>
    </w:p>
    <w:p>
      <w:pPr>
        <w:spacing w:after="160"/>
      </w:pPr>
      <w:r>
        <w:t xml:space="preserve">These commands show language, source root, and creation time. You can also run queries immediately against a freshly created database.</w:t>
      </w:r>
    </w:p>
    <w:p>
      <w:pPr>
        <w:pStyle w:val="Heading1"/>
        <w:pageBreakBefore/>
      </w:pPr>
      <w:bookmarkStart w:name="_Toc13" w:id="13"/>
      <w:r>
        <w:t xml:space="preserve">Chapter 5: Writing Custom Predicates</w:t>
      </w:r>
      <w:bookmarkEnd w:id="13"/>
    </w:p>
    <w:p>
      <w:pPr>
        <w:spacing w:after="160"/>
      </w:pPr>
      <w:r>
        <w:t xml:space="preserve">Predicates are the fundamental reusable unit in QL. A predicate defines a logical relation that can be called from queries or other predicates.</w:t>
      </w:r>
    </w:p>
    <w:p>
      <w:pPr>
        <w:pStyle w:val="Heading2"/>
      </w:pPr>
      <w:bookmarkStart w:name="_Toc14" w:id="14"/>
      <w:r>
        <w:t xml:space="preserve">Basic Predicate</w:t>
      </w:r>
      <w:bookmarkEnd w:id="14"/>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Holds if the call is to a function named eval.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predicate isEvalCall(CallExpr call) {</w:t>
      </w:r>
    </w:p>
    <w:p>
      <w:pPr>
        <w:spacing w:after="40"/>
      </w:pPr>
      <w:r>
        <w:rPr>
          <w:rFonts w:ascii="Consolas" w:cs="Consolas" w:eastAsia="Consolas" w:hAnsi="Consolas"/>
          <w:sz w:val="18"/>
          <w:szCs w:val="18"/>
        </w:rPr>
        <w:t xml:space="preserve">  call.getCalleeName() = "eval"</w:t>
      </w:r>
    </w:p>
    <w:p>
      <w:pPr>
        <w:spacing w:after="40"/>
      </w:pPr>
      <w:r>
        <w:rPr>
          <w:rFonts w:ascii="Consolas" w:cs="Consolas" w:eastAsia="Consolas" w:hAnsi="Consolas"/>
          <w:sz w:val="18"/>
          <w:szCs w:val="18"/>
        </w:rPr>
        <w:t xml:space="preserve">}</w:t>
      </w:r>
    </w:p>
    <w:p>
      <w:pPr>
        <w:spacing w:after="160"/>
      </w:pPr>
      <w:r>
        <w:t xml:space="preserve">You can then use it in a query:</w:t>
      </w:r>
    </w:p>
    <w:p>
      <w:pPr>
        <w:spacing w:after="40"/>
      </w:pPr>
      <w:r>
        <w:rPr>
          <w:rFonts w:ascii="Consolas" w:cs="Consolas" w:eastAsia="Consolas" w:hAnsi="Consolas"/>
          <w:sz w:val="18"/>
          <w:szCs w:val="18"/>
        </w:rPr>
        <w:t xml:space="preserve">import javascript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from CallExpr c</w:t>
      </w:r>
    </w:p>
    <w:p>
      <w:pPr>
        <w:spacing w:after="40"/>
      </w:pPr>
      <w:r>
        <w:rPr>
          <w:rFonts w:ascii="Consolas" w:cs="Consolas" w:eastAsia="Consolas" w:hAnsi="Consolas"/>
          <w:sz w:val="18"/>
          <w:szCs w:val="18"/>
        </w:rPr>
        <w:t xml:space="preserve">where isEvalCall(c)</w:t>
      </w:r>
    </w:p>
    <w:p>
      <w:pPr>
        <w:spacing w:after="40"/>
      </w:pPr>
      <w:r>
        <w:rPr>
          <w:rFonts w:ascii="Consolas" w:cs="Consolas" w:eastAsia="Consolas" w:hAnsi="Consolas"/>
          <w:sz w:val="18"/>
          <w:szCs w:val="18"/>
        </w:rPr>
        <w:t xml:space="preserve">select c, "Direct call to eval."</w:t>
      </w:r>
    </w:p>
    <w:p>
      <w:pPr>
        <w:pStyle w:val="Heading2"/>
      </w:pPr>
      <w:bookmarkStart w:name="_Toc15" w:id="15"/>
      <w:r>
        <w:t xml:space="preserve">Predicates with Results</w:t>
      </w:r>
      <w:bookmarkEnd w:id="15"/>
    </w:p>
    <w:p>
      <w:pPr>
        <w:spacing w:after="40"/>
      </w:pPr>
      <w:r>
        <w:rPr>
          <w:rFonts w:ascii="Consolas" w:cs="Consolas" w:eastAsia="Consolas" w:hAnsi="Consolas"/>
          <w:sz w:val="18"/>
          <w:szCs w:val="18"/>
        </w:rPr>
        <w:t xml:space="preserve">string getCalleeNameOrEmpty(CallExpr c) {</w:t>
      </w:r>
    </w:p>
    <w:p>
      <w:pPr>
        <w:spacing w:after="40"/>
      </w:pPr>
      <w:r>
        <w:rPr>
          <w:rFonts w:ascii="Consolas" w:cs="Consolas" w:eastAsia="Consolas" w:hAnsi="Consolas"/>
          <w:sz w:val="18"/>
          <w:szCs w:val="18"/>
        </w:rPr>
        <w:t xml:space="preserve">  result = c.getCalleeName()</w:t>
      </w:r>
    </w:p>
    <w:p>
      <w:pPr>
        <w:spacing w:after="40"/>
      </w:pPr>
      <w:r>
        <w:rPr>
          <w:rFonts w:ascii="Consolas" w:cs="Consolas" w:eastAsia="Consolas" w:hAnsi="Consolas"/>
          <w:sz w:val="18"/>
          <w:szCs w:val="18"/>
        </w:rPr>
        <w:t xml:space="preserve">  or</w:t>
      </w:r>
    </w:p>
    <w:p>
      <w:pPr>
        <w:spacing w:after="40"/>
      </w:pPr>
      <w:r>
        <w:rPr>
          <w:rFonts w:ascii="Consolas" w:cs="Consolas" w:eastAsia="Consolas" w:hAnsi="Consolas"/>
          <w:sz w:val="18"/>
          <w:szCs w:val="18"/>
        </w:rPr>
        <w:t xml:space="preserve">  not exists(c.getCalleeName()) and result = ""</w:t>
      </w:r>
    </w:p>
    <w:p>
      <w:pPr>
        <w:spacing w:after="40"/>
      </w:pPr>
      <w:r>
        <w:rPr>
          <w:rFonts w:ascii="Consolas" w:cs="Consolas" w:eastAsia="Consolas" w:hAnsi="Consolas"/>
          <w:sz w:val="18"/>
          <w:szCs w:val="18"/>
        </w:rPr>
        <w:t xml:space="preserve">}</w:t>
      </w:r>
    </w:p>
    <w:p>
      <w:pPr>
        <w:pStyle w:val="Heading2"/>
      </w:pPr>
      <w:bookmarkStart w:name="_Toc16" w:id="16"/>
      <w:r>
        <w:t xml:space="preserve">Recursive Predicates</w:t>
      </w:r>
      <w:bookmarkEnd w:id="16"/>
    </w:p>
    <w:p>
      <w:pPr>
        <w:spacing w:after="160"/>
      </w:pPr>
      <w:r>
        <w:t xml:space="preserve">Recursion is natural in QL and is used for transitive relations such as “all callers of a function” or “all members of a class hierarchy.”</w:t>
      </w:r>
    </w:p>
    <w:p>
      <w:pPr>
        <w:spacing w:after="40"/>
      </w:pPr>
      <w:r>
        <w:rPr>
          <w:rFonts w:ascii="Consolas" w:cs="Consolas" w:eastAsia="Consolas" w:hAnsi="Consolas"/>
          <w:sz w:val="18"/>
          <w:szCs w:val="18"/>
        </w:rPr>
        <w:t xml:space="preserve">predicate callsTransitively(Function caller, Function callee) {</w:t>
      </w:r>
    </w:p>
    <w:p>
      <w:pPr>
        <w:spacing w:after="40"/>
      </w:pPr>
      <w:r>
        <w:rPr>
          <w:rFonts w:ascii="Consolas" w:cs="Consolas" w:eastAsia="Consolas" w:hAnsi="Consolas"/>
          <w:sz w:val="18"/>
          <w:szCs w:val="18"/>
        </w:rPr>
        <w:t xml:space="preserve">  caller.calls(callee)</w:t>
      </w:r>
    </w:p>
    <w:p>
      <w:pPr>
        <w:spacing w:after="40"/>
      </w:pPr>
      <w:r>
        <w:rPr>
          <w:rFonts w:ascii="Consolas" w:cs="Consolas" w:eastAsia="Consolas" w:hAnsi="Consolas"/>
          <w:sz w:val="18"/>
          <w:szCs w:val="18"/>
        </w:rPr>
        <w:t xml:space="preserve">  or</w:t>
      </w:r>
    </w:p>
    <w:p>
      <w:pPr>
        <w:spacing w:after="40"/>
      </w:pPr>
      <w:r>
        <w:rPr>
          <w:rFonts w:ascii="Consolas" w:cs="Consolas" w:eastAsia="Consolas" w:hAnsi="Consolas"/>
          <w:sz w:val="18"/>
          <w:szCs w:val="18"/>
        </w:rPr>
        <w:t xml:space="preserve">  exists(Function mid |</w:t>
      </w:r>
    </w:p>
    <w:p>
      <w:pPr>
        <w:spacing w:after="40"/>
      </w:pPr>
      <w:r>
        <w:rPr>
          <w:rFonts w:ascii="Consolas" w:cs="Consolas" w:eastAsia="Consolas" w:hAnsi="Consolas"/>
          <w:sz w:val="18"/>
          <w:szCs w:val="18"/>
        </w:rPr>
        <w:t xml:space="preserve">    callsTransitively(caller, mid) and</w:t>
      </w:r>
    </w:p>
    <w:p>
      <w:pPr>
        <w:spacing w:after="40"/>
      </w:pPr>
      <w:r>
        <w:rPr>
          <w:rFonts w:ascii="Consolas" w:cs="Consolas" w:eastAsia="Consolas" w:hAnsi="Consolas"/>
          <w:sz w:val="18"/>
          <w:szCs w:val="18"/>
        </w:rPr>
        <w:t xml:space="preserve">    mid.calls(callee)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160"/>
      </w:pPr>
      <w:r>
        <w:t xml:space="preserve">Place reusable predicates in modules so they can be imported across queries. The companion repository contains complete examples under examples/chapter05/.</w:t>
      </w:r>
    </w:p>
    <w:p>
      <w:pPr>
        <w:pStyle w:val="Heading1"/>
        <w:pageBreakBefore/>
      </w:pPr>
      <w:bookmarkStart w:name="_Toc17" w:id="17"/>
      <w:r>
        <w:t xml:space="preserve">Chapter 8: Data Flow Analysis</w:t>
      </w:r>
      <w:bookmarkEnd w:id="17"/>
    </w:p>
    <w:p>
      <w:pPr>
        <w:spacing w:after="160"/>
      </w:pPr>
      <w:r>
        <w:t xml:space="preserve">Data-flow analysis tracks how values move through a program. CodeQL distinguishes local (within a single function) and global (across functions) data flow.</w:t>
      </w:r>
    </w:p>
    <w:p>
      <w:pPr>
        <w:pStyle w:val="Heading2"/>
      </w:pPr>
      <w:bookmarkStart w:name="_Toc18" w:id="18"/>
      <w:r>
        <w:t xml:space="preserve">Local Data Flow</w:t>
      </w:r>
      <w:bookmarkEnd w:id="18"/>
    </w:p>
    <w:p>
      <w:pPr>
        <w:spacing w:after="160"/>
      </w:pPr>
      <w:r>
        <w:t xml:space="preserve">Local data flow is fast and sufficient for many intra-procedural patterns. The libraries provide predicates such as localFlow.</w:t>
      </w:r>
    </w:p>
    <w:p>
      <w:pPr>
        <w:pStyle w:val="Heading2"/>
      </w:pPr>
      <w:bookmarkStart w:name="_Toc19" w:id="19"/>
      <w:r>
        <w:t xml:space="preserve">Global Data Flow</w:t>
      </w:r>
      <w:bookmarkEnd w:id="19"/>
    </w:p>
    <w:p>
      <w:pPr>
        <w:spacing w:after="160"/>
      </w:pPr>
      <w:r>
        <w:t xml:space="preserve">Global data flow uses a configuration that defines sources, sinks, and optional barriers or additional steps. The modern API looks like this:</w:t>
      </w:r>
    </w:p>
    <w:p>
      <w:pPr>
        <w:spacing w:after="40"/>
      </w:pPr>
      <w:r>
        <w:rPr>
          <w:rFonts w:ascii="Consolas" w:cs="Consolas" w:eastAsia="Consolas" w:hAnsi="Consolas"/>
          <w:sz w:val="18"/>
          <w:szCs w:val="18"/>
        </w:rPr>
        <w:t xml:space="preserve">import javascript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module MyConfig implements DataFlow::ConfigSig {</w:t>
      </w:r>
    </w:p>
    <w:p>
      <w:pPr>
        <w:spacing w:after="40"/>
      </w:pPr>
      <w:r>
        <w:rPr>
          <w:rFonts w:ascii="Consolas" w:cs="Consolas" w:eastAsia="Consolas" w:hAnsi="Consolas"/>
          <w:sz w:val="18"/>
          <w:szCs w:val="18"/>
        </w:rPr>
        <w:t xml:space="preserve">  predicate isSource(DataFlow::Node source) {</w:t>
      </w:r>
    </w:p>
    <w:p>
      <w:pPr>
        <w:spacing w:after="40"/>
      </w:pPr>
      <w:r>
        <w:rPr>
          <w:rFonts w:ascii="Consolas" w:cs="Consolas" w:eastAsia="Consolas" w:hAnsi="Consolas"/>
          <w:sz w:val="18"/>
          <w:szCs w:val="18"/>
        </w:rPr>
        <w:t xml:space="preserve">    source = any(RemoteFlowSource rfs)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  predicate isSink(DataFlow::Node sink) {</w:t>
      </w:r>
    </w:p>
    <w:p>
      <w:pPr>
        <w:spacing w:after="40"/>
      </w:pPr>
      <w:r>
        <w:rPr>
          <w:rFonts w:ascii="Consolas" w:cs="Consolas" w:eastAsia="Consolas" w:hAnsi="Consolas"/>
          <w:sz w:val="18"/>
          <w:szCs w:val="18"/>
        </w:rPr>
        <w:t xml:space="preserve">    sink = any(DomBasedXssSink 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module MyFlow = DataFlow::Global&lt;MyConfig&gt;;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from MyFlow::PathNode source, MyFlow::PathNode sink</w:t>
      </w:r>
    </w:p>
    <w:p>
      <w:pPr>
        <w:spacing w:after="40"/>
      </w:pPr>
      <w:r>
        <w:rPr>
          <w:rFonts w:ascii="Consolas" w:cs="Consolas" w:eastAsia="Consolas" w:hAnsi="Consolas"/>
          <w:sz w:val="18"/>
          <w:szCs w:val="18"/>
        </w:rPr>
        <w:t xml:space="preserve">where MyFlow::flowPath(source, sink)</w:t>
      </w:r>
    </w:p>
    <w:p>
      <w:pPr>
        <w:spacing w:after="40"/>
      </w:pPr>
      <w:r>
        <w:rPr>
          <w:rFonts w:ascii="Consolas" w:cs="Consolas" w:eastAsia="Consolas" w:hAnsi="Consolas"/>
          <w:sz w:val="18"/>
          <w:szCs w:val="18"/>
        </w:rPr>
        <w:t xml:space="preserve">select sink.getNode(), source, sink, "Data flow from source to sink."</w:t>
      </w:r>
    </w:p>
    <w:p>
      <w:pPr>
        <w:spacing w:after="160"/>
      </w:pPr>
      <w:r>
        <w:t xml:space="preserve">For pure value flow use DataFlow::Global; for taint (where derived values remain tainted) use TaintTracking::Global. Full working examples are in examples/chapter08/ and examples/chapter09/.</w:t>
      </w:r>
    </w:p>
    <w:p>
      <w:pPr>
        <w:pStyle w:val="Heading1"/>
        <w:pageBreakBefore/>
      </w:pPr>
      <w:bookmarkStart w:name="_Toc20" w:id="20"/>
      <w:r>
        <w:t xml:space="preserve">Chapter 9: Taint Tracking and Path Queries</w:t>
      </w:r>
      <w:bookmarkEnd w:id="20"/>
    </w:p>
    <w:p>
      <w:pPr>
        <w:spacing w:after="160"/>
      </w:pPr>
      <w:r>
        <w:t xml:space="preserve">Most security queries are path-problem queries that report the path from an untrusted source to a dangerous sink. The metadata must include @kind path-problem.</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 @kind path-problem</w:t>
      </w:r>
    </w:p>
    <w:p>
      <w:pPr>
        <w:spacing w:after="40"/>
      </w:pPr>
      <w:r>
        <w:rPr>
          <w:rFonts w:ascii="Consolas" w:cs="Consolas" w:eastAsia="Consolas" w:hAnsi="Consolas"/>
          <w:sz w:val="18"/>
          <w:szCs w:val="18"/>
        </w:rPr>
        <w:t xml:space="preserve"> * @id example/xss</w:t>
      </w:r>
    </w:p>
    <w:p>
      <w:pPr>
        <w:spacing w:after="40"/>
      </w:pPr>
      <w:r>
        <w:rPr>
          <w:rFonts w:ascii="Consolas" w:cs="Consolas" w:eastAsia="Consolas" w:hAnsi="Consolas"/>
          <w:sz w:val="18"/>
          <w:szCs w:val="18"/>
        </w:rPr>
        <w:t xml:space="preserve"> * @name DOM XSS</w:t>
      </w:r>
    </w:p>
    <w:p>
      <w:pPr>
        <w:spacing w:after="40"/>
      </w:pPr>
      <w:r>
        <w:rPr>
          <w:rFonts w:ascii="Consolas" w:cs="Consolas" w:eastAsia="Consolas" w:hAnsi="Consolas"/>
          <w:sz w:val="18"/>
          <w:szCs w:val="18"/>
        </w:rPr>
        <w:t xml:space="preserve"> * @description User input reaches a DOM sink.</w:t>
      </w:r>
    </w:p>
    <w:p>
      <w:pPr>
        <w:spacing w:after="40"/>
      </w:pPr>
      <w:r>
        <w:rPr>
          <w:rFonts w:ascii="Consolas" w:cs="Consolas" w:eastAsia="Consolas" w:hAnsi="Consolas"/>
          <w:sz w:val="18"/>
          <w:szCs w:val="18"/>
        </w:rPr>
        <w:t xml:space="preserve"> * @problem.severity error</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import javascript</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module XssConfig implements DataFlow::ConfigSig {</w:t>
      </w:r>
    </w:p>
    <w:p>
      <w:pPr>
        <w:spacing w:after="40"/>
      </w:pPr>
      <w:r>
        <w:rPr>
          <w:rFonts w:ascii="Consolas" w:cs="Consolas" w:eastAsia="Consolas" w:hAnsi="Consolas"/>
          <w:sz w:val="18"/>
          <w:szCs w:val="18"/>
        </w:rPr>
        <w:t xml:space="preserve">  predicate isSource(DataFlow::Node n) { n instanceof RemoteFlowSource }</w:t>
      </w:r>
    </w:p>
    <w:p>
      <w:pPr>
        <w:spacing w:after="40"/>
      </w:pPr>
      <w:r>
        <w:rPr>
          <w:rFonts w:ascii="Consolas" w:cs="Consolas" w:eastAsia="Consolas" w:hAnsi="Consolas"/>
          <w:sz w:val="18"/>
          <w:szCs w:val="18"/>
        </w:rPr>
        <w:t xml:space="preserve">  predicate isSink(DataFlow::Node n) { n instanceof DomBasedXssSink }</w:t>
      </w:r>
    </w:p>
    <w:p>
      <w:pPr>
        <w:spacing w:after="40"/>
      </w:pPr>
      <w:r>
        <w:rPr>
          <w:rFonts w:ascii="Consolas" w:cs="Consolas" w:eastAsia="Consolas" w:hAnsi="Consolas"/>
          <w:sz w:val="18"/>
          <w:szCs w:val="18"/>
        </w:rPr>
        <w:t xml:space="preserve">}</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module XssFlow = TaintTracking::Global&lt;XssConfig&gt;;</w:t>
      </w:r>
    </w:p>
    <w:p>
      <w:pPr>
        <w:spacing w:after="40"/>
      </w:pPr>
      <w:r>
        <w:rPr>
          <w:rFonts w:ascii="Consolas" w:cs="Consolas" w:eastAsia="Consolas" w:hAnsi="Consolas"/>
          <w:sz w:val="18"/>
          <w:szCs w:val="18"/>
        </w:rPr>
        <w:t xml:space="preserve">import XssFlow::PathGraph</w:t>
      </w:r>
    </w:p>
    <w:p>
      <w:pPr>
        <w:spacing w:after="40"/>
      </w:pPr>
      <w:r>
        <w:rPr>
          <w:rFonts w:ascii="Consolas" w:cs="Consolas" w:eastAsia="Consolas" w:hAnsi="Consolas"/>
          <w:sz w:val="18"/>
          <w:szCs w:val="18"/>
        </w:rPr>
        <w:t xml:space="preserve"/>
      </w:r>
    </w:p>
    <w:p>
      <w:pPr>
        <w:spacing w:after="40"/>
      </w:pPr>
      <w:r>
        <w:rPr>
          <w:rFonts w:ascii="Consolas" w:cs="Consolas" w:eastAsia="Consolas" w:hAnsi="Consolas"/>
          <w:sz w:val="18"/>
          <w:szCs w:val="18"/>
        </w:rPr>
        <w:t xml:space="preserve">from XssFlow::PathNode source, XssFlow::PathNode sink</w:t>
      </w:r>
    </w:p>
    <w:p>
      <w:pPr>
        <w:spacing w:after="40"/>
      </w:pPr>
      <w:r>
        <w:rPr>
          <w:rFonts w:ascii="Consolas" w:cs="Consolas" w:eastAsia="Consolas" w:hAnsi="Consolas"/>
          <w:sz w:val="18"/>
          <w:szCs w:val="18"/>
        </w:rPr>
        <w:t xml:space="preserve">where XssFlow::flowPath(source, sink)</w:t>
      </w:r>
    </w:p>
    <w:p>
      <w:pPr>
        <w:spacing w:after="40"/>
      </w:pPr>
      <w:r>
        <w:rPr>
          <w:rFonts w:ascii="Consolas" w:cs="Consolas" w:eastAsia="Consolas" w:hAnsi="Consolas"/>
          <w:sz w:val="18"/>
          <w:szCs w:val="18"/>
        </w:rPr>
        <w:t xml:space="preserve">select sink.getNode(), source, sink, "XSS via $@.", source.getNode(), "user input"</w:t>
      </w:r>
    </w:p>
    <w:p>
      <w:pPr>
        <w:spacing w:after="160"/>
      </w:pPr>
      <w:r>
        <w:t xml:space="preserve">Additional flow steps, sanitizers (barriers), and flow state can be added inside the configuration for higher precision. See examples/chapter09/ for complete, tested queries.</w:t>
      </w:r>
    </w:p>
    <w:p>
      <w:pPr>
        <w:pStyle w:val="Heading1"/>
        <w:pageBreakBefore/>
      </w:pPr>
      <w:bookmarkStart w:name="_Toc21" w:id="21"/>
      <w:r>
        <w:t xml:space="preserve">Chapter 10: CodeQL Library Extension</w:t>
      </w:r>
      <w:bookmarkEnd w:id="21"/>
    </w:p>
    <w:p>
      <w:pPr>
        <w:spacing w:after="160"/>
      </w:pPr>
      <w:r>
        <w:t xml:space="preserve">When the standard CodeQL libraries do not model a framework, library, or custom API that your code uses, you extend them. Extensions improve both recall (finding more true positives) and precision (reducing false positives).</w:t>
      </w:r>
    </w:p>
    <w:p>
      <w:pPr>
        <w:pStyle w:val="Heading2"/>
      </w:pPr>
      <w:bookmarkStart w:name="_Toc22" w:id="22"/>
      <w:r>
        <w:t xml:space="preserve">Why Extend Libraries</w:t>
      </w:r>
      <w:bookmarkEnd w:id="22"/>
    </w:p>
    <w:p>
      <w:pPr>
        <w:spacing w:after="160"/>
      </w:pPr>
      <w:r>
        <w:t xml:space="preserve">Default models cover many popular libraries, but real-world codebases often use internal frameworks, niche packages, or custom wrappers. Modeling these lets existing security queries automatically understand your code.</w:t>
      </w:r>
    </w:p>
    <w:p>
      <w:pPr>
        <w:pStyle w:val="Heading2"/>
      </w:pPr>
      <w:bookmarkStart w:name="_Toc23" w:id="23"/>
      <w:r>
        <w:t xml:space="preserve">Custom Sources</w:t>
      </w:r>
      <w:bookmarkEnd w:id="23"/>
    </w:p>
    <w:p>
      <w:pPr>
        <w:spacing w:after="160"/>
      </w:pPr>
      <w:r>
        <w:t xml:space="preserve">A common extension is to mark additional functions as remote flow sources. The example in examples/chapter10/custom-source.ql shows the pattern:</w:t>
      </w:r>
    </w:p>
    <w:p>
      <w:pPr>
        <w:spacing w:after="40"/>
      </w:pPr>
      <w:r>
        <w:rPr>
          <w:rFonts w:ascii="Consolas" w:cs="Consolas" w:eastAsia="Consolas" w:hAnsi="Consolas"/>
          <w:sz w:val="18"/>
          <w:szCs w:val="18"/>
        </w:rPr>
        <w:t xml:space="preserve">class CustomRemoteSource extends RemoteFlowSource {</w:t>
      </w:r>
    </w:p>
    <w:p>
      <w:pPr>
        <w:spacing w:after="40"/>
      </w:pPr>
      <w:r>
        <w:rPr>
          <w:rFonts w:ascii="Consolas" w:cs="Consolas" w:eastAsia="Consolas" w:hAnsi="Consolas"/>
          <w:sz w:val="18"/>
          <w:szCs w:val="18"/>
        </w:rPr>
        <w:t xml:space="preserve">  CustomRemoteSource() {</w:t>
      </w:r>
    </w:p>
    <w:p>
      <w:pPr>
        <w:spacing w:after="40"/>
      </w:pPr>
      <w:r>
        <w:rPr>
          <w:rFonts w:ascii="Consolas" w:cs="Consolas" w:eastAsia="Consolas" w:hAnsi="Consolas"/>
          <w:sz w:val="18"/>
          <w:szCs w:val="18"/>
        </w:rPr>
        <w:t xml:space="preserve">    this = any(CallExpr c | c.getCalleeName() = "getUserInput").flow()</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160"/>
      </w:pPr>
      <w:r>
        <w:t xml:space="preserve">Once defined, any query that looks for RemoteFlowSource will automatically include your custom source.</w:t>
      </w:r>
    </w:p>
    <w:p>
      <w:pPr>
        <w:pStyle w:val="Heading2"/>
      </w:pPr>
      <w:bookmarkStart w:name="_Toc24" w:id="24"/>
      <w:r>
        <w:t xml:space="preserve">Additional Flow Steps and Summaries</w:t>
      </w:r>
      <w:bookmarkEnd w:id="24"/>
    </w:p>
    <w:p>
      <w:pPr>
        <w:spacing w:after="160"/>
      </w:pPr>
      <w:r>
        <w:t xml:space="preserve">You can also add flow summaries so that taint propagates through library functions that transform data without the default models knowing about them. Model packs (data extension files) let you publish these extensions separately from queries so they can be shared and versioned.</w:t>
      </w:r>
    </w:p>
    <w:p>
      <w:pPr>
        <w:spacing w:after="160"/>
      </w:pPr>
      <w:r>
        <w:t xml:space="preserve">See examples/chapter10/ for the custom-source example and README with further notes.</w:t>
      </w:r>
    </w:p>
    <w:p>
      <w:pPr>
        <w:pStyle w:val="Heading1"/>
        <w:pageBreakBefore/>
      </w:pPr>
      <w:bookmarkStart w:name="_Toc25" w:id="25"/>
      <w:r>
        <w:t xml:space="preserve">Chapter 11: Query Packs, Suites, Metadata, and Production Use</w:t>
      </w:r>
      <w:bookmarkEnd w:id="25"/>
    </w:p>
    <w:p>
      <w:pPr>
        <w:spacing w:after="160"/>
      </w:pPr>
      <w:r>
        <w:t xml:space="preserve">CodeQL packs are the unit of distribution for queries, libraries, and models. A pack is defined by a qlpack.yml file and can declare dependencies on the official standard libraries.</w:t>
      </w:r>
    </w:p>
    <w:p>
      <w:pPr>
        <w:pStyle w:val="Heading2"/>
      </w:pPr>
      <w:bookmarkStart w:name="_Toc26" w:id="26"/>
      <w:r>
        <w:t xml:space="preserve">Pack Structure</w:t>
      </w:r>
      <w:bookmarkEnd w:id="26"/>
    </w:p>
    <w:p>
      <w:pPr>
        <w:spacing w:after="160"/>
      </w:pPr>
      <w:r>
        <w:t xml:space="preserve">Example qlpack.yml (see examples/chapter11/qlpack.yml):</w:t>
      </w:r>
    </w:p>
    <w:p>
      <w:pPr>
        <w:spacing w:after="40"/>
      </w:pPr>
      <w:r>
        <w:rPr>
          <w:rFonts w:ascii="Consolas" w:cs="Consolas" w:eastAsia="Consolas" w:hAnsi="Consolas"/>
          <w:sz w:val="18"/>
          <w:szCs w:val="18"/>
        </w:rPr>
        <w:t xml:space="preserve">name: mustlearn/example-queries</w:t>
      </w:r>
    </w:p>
    <w:p>
      <w:pPr>
        <w:spacing w:after="40"/>
      </w:pPr>
      <w:r>
        <w:rPr>
          <w:rFonts w:ascii="Consolas" w:cs="Consolas" w:eastAsia="Consolas" w:hAnsi="Consolas"/>
          <w:sz w:val="18"/>
          <w:szCs w:val="18"/>
        </w:rPr>
        <w:t xml:space="preserve">version: 1.0.0</w:t>
      </w:r>
    </w:p>
    <w:p>
      <w:pPr>
        <w:spacing w:after="40"/>
      </w:pPr>
      <w:r>
        <w:rPr>
          <w:rFonts w:ascii="Consolas" w:cs="Consolas" w:eastAsia="Consolas" w:hAnsi="Consolas"/>
          <w:sz w:val="18"/>
          <w:szCs w:val="18"/>
        </w:rPr>
        <w:t xml:space="preserve">dependencies:</w:t>
      </w:r>
    </w:p>
    <w:p>
      <w:pPr>
        <w:spacing w:after="40"/>
      </w:pPr>
      <w:r>
        <w:rPr>
          <w:rFonts w:ascii="Consolas" w:cs="Consolas" w:eastAsia="Consolas" w:hAnsi="Consolas"/>
          <w:sz w:val="18"/>
          <w:szCs w:val="18"/>
        </w:rPr>
        <w:t xml:space="preserve">  codeql/javascript-all: "*"</w:t>
      </w:r>
    </w:p>
    <w:p>
      <w:pPr>
        <w:pStyle w:val="Heading2"/>
      </w:pPr>
      <w:bookmarkStart w:name="_Toc27" w:id="27"/>
      <w:r>
        <w:t xml:space="preserve">Query Suites</w:t>
      </w:r>
      <w:bookmarkEnd w:id="27"/>
    </w:p>
    <w:p>
      <w:pPr>
        <w:spacing w:after="160"/>
      </w:pPr>
      <w:r>
        <w:t xml:space="preserve">Suites (.qls files) control which queries run. You can include or exclude by kind, tags, or path. An example suite is in examples/chapter11/example-suite.qls.</w:t>
      </w:r>
    </w:p>
    <w:p>
      <w:pPr>
        <w:pStyle w:val="Heading2"/>
      </w:pPr>
      <w:bookmarkStart w:name="_Toc28" w:id="28"/>
      <w:r>
        <w:t xml:space="preserve">Metadata Best Practices</w:t>
      </w:r>
      <w:bookmarkEnd w:id="28"/>
    </w:p>
    <w:p>
      <w:pPr>
        <w:spacing w:after="160"/>
      </w:pPr>
      <w:r>
        <w:t xml:space="preserve">Every production query should include complete metadata: unique @id, clear @name and @description, appropriate @kind (problem or path-problem), and severity. Good metadata makes results actionable in GitHub code scanning and improves query help pages.</w:t>
      </w:r>
    </w:p>
    <w:p>
      <w:pPr>
        <w:spacing w:after="160"/>
      </w:pPr>
      <w:r>
        <w:t xml:space="preserve">Always write expected-result tests before promoting a query to a shared pack.</w:t>
      </w:r>
    </w:p>
    <w:p>
      <w:pPr>
        <w:pStyle w:val="Heading1"/>
        <w:pageBreakBefore/>
      </w:pPr>
      <w:bookmarkStart w:name="_Toc29" w:id="29"/>
      <w:r>
        <w:t xml:space="preserve">Chapter 12: Integrating CodeQL into Development Workflows</w:t>
      </w:r>
      <w:bookmarkEnd w:id="29"/>
    </w:p>
    <w:p>
      <w:pPr>
        <w:spacing w:after="160"/>
      </w:pPr>
      <w:r>
        <w:t xml:space="preserve">The most common integration is the CodeQL GitHub Action. It creates the database, runs queries, and uploads SARIF results so alerts appear in the Security tab.</w:t>
      </w:r>
    </w:p>
    <w:p>
      <w:pPr>
        <w:pStyle w:val="Heading2"/>
      </w:pPr>
      <w:bookmarkStart w:name="_Toc30" w:id="30"/>
      <w:r>
        <w:t xml:space="preserve">Sample Workflow</w:t>
      </w:r>
      <w:bookmarkEnd w:id="30"/>
    </w:p>
    <w:p>
      <w:pPr>
        <w:spacing w:after="160"/>
      </w:pPr>
      <w:r>
        <w:t xml:space="preserve">A ready-to-use workflow is provided at examples/chapter12/codeql-analysis.yml. Key customizations include:</w:t>
      </w:r>
    </w:p>
    <w:p>
      <w:pPr>
        <w:pStyle w:val="ListParagraph"/>
        <w:numPr>
          <w:ilvl w:val="0"/>
          <w:numId w:val="3"/>
        </w:numPr>
      </w:pPr>
      <w:r>
        <w:t xml:space="preserve">languages matrix for multi-language repositories</w:t>
      </w:r>
    </w:p>
    <w:p>
      <w:pPr>
        <w:pStyle w:val="ListParagraph"/>
        <w:numPr>
          <w:ilvl w:val="0"/>
          <w:numId w:val="3"/>
        </w:numPr>
      </w:pPr>
      <w:r>
        <w:t xml:space="preserve">queries: security-extended or a custom pack</w:t>
      </w:r>
    </w:p>
    <w:p>
      <w:pPr>
        <w:pStyle w:val="ListParagraph"/>
        <w:numPr>
          <w:ilvl w:val="0"/>
          <w:numId w:val="3"/>
        </w:numPr>
      </w:pPr>
      <w:r>
        <w:t xml:space="preserve">build-mode or explicit build commands for compiled languages</w:t>
      </w:r>
    </w:p>
    <w:p>
      <w:pPr>
        <w:pStyle w:val="Heading2"/>
      </w:pPr>
      <w:bookmarkStart w:name="_Toc31" w:id="31"/>
      <w:r>
        <w:t xml:space="preserve">Other CI Systems</w:t>
      </w:r>
      <w:bookmarkEnd w:id="31"/>
    </w:p>
    <w:p>
      <w:pPr>
        <w:spacing w:after="160"/>
      </w:pPr>
      <w:r>
        <w:t xml:space="preserve">Download the CodeQL bundle, run the CLI to create a database and execute queries, then upload the resulting SARIF. Multi-repository variant analysis (MRVA) is available for research-scale runs across many repositories.</w:t>
      </w:r>
    </w:p>
    <w:p>
      <w:pPr>
        <w:spacing w:after="160"/>
      </w:pPr>
      <w:r>
        <w:t xml:space="preserve">Full workflow and notes are in examples/chapter12/.</w:t>
      </w:r>
    </w:p>
    <w:p>
      <w:pPr>
        <w:pStyle w:val="Heading1"/>
        <w:pageBreakBefore/>
      </w:pPr>
      <w:bookmarkStart w:name="_Toc32" w:id="32"/>
      <w:r>
        <w:t xml:space="preserve">Chapter 13: Advanced Techniques and Performance</w:t>
      </w:r>
      <w:bookmarkEnd w:id="32"/>
    </w:p>
    <w:p>
      <w:pPr>
        <w:spacing w:after="160"/>
      </w:pPr>
      <w:r>
        <w:t xml:space="preserve">As queries grow more complex, performance and maintainability become critical. Prefer small, focused predicates that the optimizer can handle efficiently.</w:t>
      </w:r>
    </w:p>
    <w:p>
      <w:pPr>
        <w:pStyle w:val="Heading2"/>
      </w:pPr>
      <w:bookmarkStart w:name="_Toc33" w:id="33"/>
      <w:r>
        <w:t xml:space="preserve">Performance-Conscious Predicates</w:t>
      </w:r>
      <w:bookmarkEnd w:id="33"/>
    </w:p>
    <w:p>
      <w:pPr>
        <w:spacing w:after="160"/>
      </w:pPr>
      <w:r>
        <w:t xml:space="preserve">The example in examples/chapter13/performance-predicate.ql shows a tighter predicate that avoids unnecessary work:</w:t>
      </w:r>
    </w:p>
    <w:p>
      <w:pPr>
        <w:spacing w:after="40"/>
      </w:pPr>
      <w:r>
        <w:rPr>
          <w:rFonts w:ascii="Consolas" w:cs="Consolas" w:eastAsia="Consolas" w:hAnsi="Consolas"/>
          <w:sz w:val="18"/>
          <w:szCs w:val="18"/>
        </w:rPr>
        <w:t xml:space="preserve">predicate isDirectEval(CallExpr c) {</w:t>
      </w:r>
    </w:p>
    <w:p>
      <w:pPr>
        <w:spacing w:after="40"/>
      </w:pPr>
      <w:r>
        <w:rPr>
          <w:rFonts w:ascii="Consolas" w:cs="Consolas" w:eastAsia="Consolas" w:hAnsi="Consolas"/>
          <w:sz w:val="18"/>
          <w:szCs w:val="18"/>
        </w:rPr>
        <w:t xml:space="preserve">  c.getCalleeName() = "eval" and</w:t>
      </w:r>
    </w:p>
    <w:p>
      <w:pPr>
        <w:spacing w:after="40"/>
      </w:pPr>
      <w:r>
        <w:rPr>
          <w:rFonts w:ascii="Consolas" w:cs="Consolas" w:eastAsia="Consolas" w:hAnsi="Consolas"/>
          <w:sz w:val="18"/>
          <w:szCs w:val="18"/>
        </w:rPr>
        <w:t xml:space="preserve">  not c.getCallee().(Function).getName().regexpMatch(".*wrapper.*")</w:t>
      </w:r>
    </w:p>
    <w:p>
      <w:pPr>
        <w:spacing w:after="40"/>
      </w:pPr>
      <w:r>
        <w:rPr>
          <w:rFonts w:ascii="Consolas" w:cs="Consolas" w:eastAsia="Consolas" w:hAnsi="Consolas"/>
          <w:sz w:val="18"/>
          <w:szCs w:val="18"/>
        </w:rPr>
        <w:t xml:space="preserve">}</w:t>
      </w:r>
    </w:p>
    <w:p>
      <w:pPr>
        <w:pStyle w:val="Heading2"/>
      </w:pPr>
      <w:bookmarkStart w:name="_Toc34" w:id="34"/>
      <w:r>
        <w:t xml:space="preserve">Debugging and Optimization</w:t>
      </w:r>
      <w:bookmarkEnd w:id="34"/>
    </w:p>
    <w:p>
      <w:pPr>
        <w:spacing w:after="160"/>
      </w:pPr>
      <w:r>
        <w:t xml:space="preserve">Use partial flow debugging when expected paths do not appear. Profile slow queries, reduce the scope of configurations, and leverage existing library predicates instead of reimplementing joins. Modular design (predicates in reusable modules) improves both speed and readability.</w:t>
      </w:r>
    </w:p>
    <w:p>
      <w:pPr>
        <w:pStyle w:val="Heading1"/>
        <w:pageBreakBefore/>
      </w:pPr>
      <w:bookmarkStart w:name="_Toc35" w:id="35"/>
      <w:r>
        <w:t xml:space="preserve">Chapter 14: Real-World Case Studies and Patterns</w:t>
      </w:r>
      <w:bookmarkEnd w:id="35"/>
    </w:p>
    <w:p>
      <w:pPr>
        <w:spacing w:after="160"/>
      </w:pPr>
      <w:r>
        <w:t xml:space="preserve">Studying published research and the GitHub Security Lab Zero-to-Hero series is the fastest way to internalize effective query patterns. Common classes include injection flaws, XSS, path traversal, and insecure deserialization.</w:t>
      </w:r>
    </w:p>
    <w:p>
      <w:pPr>
        <w:pStyle w:val="Heading2"/>
      </w:pPr>
      <w:bookmarkStart w:name="_Toc36" w:id="36"/>
      <w:r>
        <w:t xml:space="preserve">SQL Injection Example</w:t>
      </w:r>
      <w:bookmarkEnd w:id="36"/>
    </w:p>
    <w:p>
      <w:pPr>
        <w:spacing w:after="160"/>
      </w:pPr>
      <w:r>
        <w:t xml:space="preserve">A simplified path-query case study is in examples/chapter14/sql-injection-example.ql. It demonstrates the standard source-to-sink structure used in production security queries:</w:t>
      </w:r>
    </w:p>
    <w:p>
      <w:pPr>
        <w:spacing w:after="40"/>
      </w:pPr>
      <w:r>
        <w:rPr>
          <w:rFonts w:ascii="Consolas" w:cs="Consolas" w:eastAsia="Consolas" w:hAnsi="Consolas"/>
          <w:sz w:val="18"/>
          <w:szCs w:val="18"/>
        </w:rPr>
        <w:t xml:space="preserve">module SqlConfig implements DataFlow::ConfigSig {</w:t>
      </w:r>
    </w:p>
    <w:p>
      <w:pPr>
        <w:spacing w:after="40"/>
      </w:pPr>
      <w:r>
        <w:rPr>
          <w:rFonts w:ascii="Consolas" w:cs="Consolas" w:eastAsia="Consolas" w:hAnsi="Consolas"/>
          <w:sz w:val="18"/>
          <w:szCs w:val="18"/>
        </w:rPr>
        <w:t xml:space="preserve">  predicate isSource(DataFlow::Node n) { n instanceof RemoteFlowSource }</w:t>
      </w:r>
    </w:p>
    <w:p>
      <w:pPr>
        <w:spacing w:after="40"/>
      </w:pPr>
      <w:r>
        <w:rPr>
          <w:rFonts w:ascii="Consolas" w:cs="Consolas" w:eastAsia="Consolas" w:hAnsi="Consolas"/>
          <w:sz w:val="18"/>
          <w:szCs w:val="18"/>
        </w:rPr>
        <w:t xml:space="preserve">  predicate isSink(DataFlow::Node n) {</w:t>
      </w:r>
    </w:p>
    <w:p>
      <w:pPr>
        <w:spacing w:after="40"/>
      </w:pPr>
      <w:r>
        <w:rPr>
          <w:rFonts w:ascii="Consolas" w:cs="Consolas" w:eastAsia="Consolas" w:hAnsi="Consolas"/>
          <w:sz w:val="18"/>
          <w:szCs w:val="18"/>
        </w:rPr>
        <w:t xml:space="preserve">    n.asExpr().(CallExpr).getCalleeName() = "query"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w:t>
      </w:r>
    </w:p>
    <w:p>
      <w:pPr>
        <w:spacing w:after="160"/>
      </w:pPr>
      <w:r>
        <w:t xml:space="preserve">Replace the placeholder sink with a real modeled sink (or extend the library) for production use. Additional case-study queries can be added to examples/chapter14/.</w:t>
      </w:r>
    </w:p>
    <w:p>
      <w:pPr>
        <w:pStyle w:val="Heading1"/>
        <w:pageBreakBefore/>
      </w:pPr>
      <w:bookmarkStart w:name="_Toc37" w:id="37"/>
      <w:r>
        <w:t xml:space="preserve">Chapter 15: Best Practices, Common Pitfalls, and Next Steps</w:t>
      </w:r>
      <w:bookmarkEnd w:id="37"/>
    </w:p>
    <w:p>
      <w:pPr>
        <w:spacing w:after="160"/>
      </w:pPr>
      <w:r>
        <w:t xml:space="preserve">Successful CodeQL use rests on a few consistent habits.</w:t>
      </w:r>
    </w:p>
    <w:p>
      <w:pPr>
        <w:pStyle w:val="Heading2"/>
      </w:pPr>
      <w:bookmarkStart w:name="_Toc38" w:id="38"/>
      <w:r>
        <w:t xml:space="preserve">Writing and Testing</w:t>
      </w:r>
      <w:bookmarkEnd w:id="38"/>
    </w:p>
    <w:p>
      <w:pPr>
        <w:spacing w:after="160"/>
      </w:pPr>
      <w:r>
        <w:t xml:space="preserve">Keep predicates small and single-purpose. Document every query with complete metadata. Create expected-result tests that cover both vulnerable and safe cases. The checklist in examples/chapter15/README.md summarizes these practices.</w:t>
      </w:r>
    </w:p>
    <w:p>
      <w:pPr>
        <w:pStyle w:val="Heading2"/>
      </w:pPr>
      <w:bookmarkStart w:name="_Toc39" w:id="39"/>
      <w:r>
        <w:t xml:space="preserve">Reducing False Positives</w:t>
      </w:r>
      <w:bookmarkEnd w:id="39"/>
    </w:p>
    <w:p>
      <w:pPr>
        <w:spacing w:after="160"/>
      </w:pPr>
      <w:r>
        <w:t xml:space="preserve">Use precise barriers and flow state when needed. Model sanitizers explicitly. Prefer library models over ad-hoc joins.</w:t>
      </w:r>
    </w:p>
    <w:p>
      <w:pPr>
        <w:pStyle w:val="Heading2"/>
      </w:pPr>
      <w:bookmarkStart w:name="_Toc40" w:id="40"/>
      <w:r>
        <w:t xml:space="preserve">Contributing and Staying Current</w:t>
      </w:r>
      <w:bookmarkEnd w:id="40"/>
    </w:p>
    <w:p>
      <w:pPr>
        <w:spacing w:after="160"/>
      </w:pPr>
      <w:r>
        <w:t xml:space="preserve">High-quality queries and models can be contributed to the official CodeQL repository. Watch the changelog for extractor and library improvements. Keep the companion repository for this book updated as you add more examples.</w:t>
      </w:r>
    </w:p>
    <w:p>
      <w:pPr>
        <w:spacing w:after="160"/>
      </w:pPr>
      <w:r>
        <w:t xml:space="preserve">You now have the foundation to write, extend, package, and operationalize CodeQL queries. The examples in each chapter folder are ready to run and adapt.</w:t>
      </w:r>
    </w:p>
    <w:p>
      <w:pPr>
        <w:pStyle w:val="Heading1"/>
        <w:pageBreakBefore/>
      </w:pPr>
      <w:bookmarkStart w:name="_Toc41" w:id="41"/>
      <w:r>
        <w:t xml:space="preserve">Appendix A: Quick Reference</w:t>
      </w:r>
      <w:bookmarkEnd w:id="41"/>
    </w:p>
    <w:p>
      <w:pPr>
        <w:spacing w:after="160"/>
      </w:pPr>
      <w:r>
        <w:t xml:space="preserve">CLI commands, path-query template, essential metadata fields, and links to every example file in the repository (organized by chapter).</w:t>
      </w:r>
    </w:p>
    <w:p>
      <w:pPr>
        <w:pStyle w:val="Heading1"/>
        <w:pageBreakBefore/>
      </w:pPr>
      <w:bookmarkStart w:name="_Toc42" w:id="42"/>
      <w:r>
        <w:t xml:space="preserve">Appendix B: Glossary</w:t>
      </w:r>
      <w:bookmarkEnd w:id="42"/>
    </w:p>
    <w:p>
      <w:pPr>
        <w:spacing w:after="160"/>
      </w:pPr>
      <w:r>
        <w:t xml:space="preserve">Database, extractor, schema, predicate, data flow, taint tracking, path query, model pack, query suite, SARIF.</w:t>
      </w:r>
    </w:p>
    <w:p>
      <w:pPr>
        <w:pStyle w:val="Heading1"/>
        <w:pageBreakBefore/>
      </w:pPr>
      <w:bookmarkStart w:name="_Toc43" w:id="43"/>
      <w:r>
        <w:t xml:space="preserve">Appendix C: Recommended Resources</w:t>
      </w:r>
      <w:bookmarkEnd w:id="43"/>
    </w:p>
    <w:p>
      <w:pPr>
        <w:spacing w:after="160"/>
      </w:pPr>
      <w:r>
        <w:t xml:space="preserve">Official documentation: https://codeql.github.com/docs/</w:t>
      </w:r>
    </w:p>
    <w:p>
      <w:pPr>
        <w:spacing w:after="160"/>
      </w:pPr>
      <w:r>
        <w:t xml:space="preserve">Companion repository: https://github.com/rod-trent/MustLearnCodeQL</w:t>
      </w:r>
    </w:p>
    <w:p>
      <w:pPr>
        <w:spacing w:before="400"/>
      </w:pPr>
      <w:r>
        <w:rPr>
          <w:i/>
          <w:iCs/>
        </w:rPr>
        <w:t xml:space="preserve">End of Must Learn CodeQL – all examples are in the companion repository organized by chapter.</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 w:type="paragraph" w:styleId="Title">
    <w:name w:val="Title"/>
    <w:basedOn w:val="Normal"/>
    <w:pPr>
      <w:spacing w:after="200" w:before="0"/>
      <w:jc w:val="center"/>
    </w:pPr>
    <w:rPr>
      <w:rFonts w:ascii="Calibri" w:cs="Calibri" w:eastAsia="Calibri" w:hAnsi="Calibri"/>
      <w:b/>
      <w:bCs/>
      <w:color w:val="1F4E79"/>
      <w:sz w:val="48"/>
      <w:szCs w:val="48"/>
    </w:rPr>
  </w:style>
  <w:style w:type="paragraph" w:styleId="Subtitle">
    <w:name w:val="Subtitle"/>
    <w:basedOn w:val="Normal"/>
    <w:pPr>
      <w:spacing w:after="400" w:before="0"/>
      <w:jc w:val="center"/>
    </w:pPr>
    <w:rPr>
      <w:rFonts w:ascii="Calibri" w:cs="Calibri" w:eastAsia="Calibri" w:hAnsi="Calibri"/>
      <w:i/>
      <w:iCs/>
      <w:color w:val="5B9BD5"/>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verwpscisjky83q3ph6oq" Type="http://schemas.openxmlformats.org/officeDocument/2006/relationships/hyperlink" Target="https://github.com/rod-trent/MustLearnCodeQL" TargetMode="External"/><Relationship Id="rIdnqqbeeqflwe5kr4txe1zc" Type="http://schemas.openxmlformats.org/officeDocument/2006/relationships/hyperlink" Target="https://github.com/rod-trent/MustLearnCodeQ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2026-10-15T16:13:41.508Z</dcterms:created>
  <dcterms:modified xsi:type="dcterms:W3CDTF">2026-10-15T16:13:41.573Z</dcterms:modified>
</cp:coreProperties>
</file>

<file path=docProps/custom.xml><?xml version="1.0" encoding="utf-8"?>
<Properties xmlns="http://schemas.openxmlformats.org/officeDocument/2006/custom-properties" xmlns:vt="http://schemas.openxmlformats.org/officeDocument/2006/docPropsVTypes"/>
</file>